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gpcr-20260630x10q.htm"/>
        <w:bookmarkStart w:id="1" w:name="ksgpcr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8"/>
        </w:rPr>
      </w:pPr>
      <w:bookmarkStart w:id="2" w:name="_c41cba4d_5937_491f_88b4_bffda7dff1de"/>
      <w:bookmarkEnd w:id="2"/>
      <w:r>
        <w:rPr>
          <w:rFonts w:ascii="Arial;Helvetica;sans-serif" w:hAnsi="Arial;Helvetica;sans-serif"/>
          <w:b/>
          <w:sz w:val="18"/>
        </w:rPr>
        <w:t>UNITED STATES</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bidi w:val="0"/>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FORM 10-Q</w:t>
      </w:r>
    </w:p>
    <w:p>
      <w:pPr>
        <w:pStyle w:val="TextBody"/>
        <w:bidi w:val="0"/>
        <w:spacing w:before="0" w:after="0"/>
        <w:ind w:left="0" w:right="0" w:hanging="0"/>
        <w:jc w:val="center"/>
        <w:rPr/>
      </w:pPr>
      <w:r>
        <w:rPr/>
        <w:t>​</w:t>
      </w:r>
    </w:p>
    <w:tbl>
      <w:tblPr>
        <w:tblW w:w="8987" w:type="dxa"/>
        <w:jc w:val="left"/>
        <w:tblInd w:w="0" w:type="dxa"/>
        <w:tblLayout w:type="fixed"/>
        <w:tblCellMar>
          <w:top w:w="0" w:type="dxa"/>
          <w:left w:w="0" w:type="dxa"/>
          <w:bottom w:w="0" w:type="dxa"/>
          <w:right w:w="0" w:type="dxa"/>
        </w:tblCellMar>
      </w:tblPr>
      <w:tblGrid>
        <w:gridCol w:w="331"/>
        <w:gridCol w:w="8656"/>
      </w:tblGrid>
      <w:tr>
        <w:trPr/>
        <w:tc>
          <w:tcPr>
            <w:tcW w:w="331" w:type="dxa"/>
            <w:tcBorders/>
            <w:vAlign w:val="center"/>
          </w:tcPr>
          <w:p>
            <w:pPr>
              <w:pStyle w:val="TableContents"/>
              <w:bidi w:val="0"/>
              <w:spacing w:before="0" w:after="0"/>
              <w:jc w:val="left"/>
              <w:rPr/>
            </w:pPr>
            <w:r>
              <w:rPr/>
              <w:t>☒</w:t>
            </w:r>
          </w:p>
        </w:tc>
        <w:tc>
          <w:tcPr>
            <w:tcW w:w="8656" w:type="dxa"/>
            <w:tcBorders/>
            <w:vAlign w:val="center"/>
          </w:tcPr>
          <w:p>
            <w:pPr>
              <w:pStyle w:val="TableContents"/>
              <w:bidi w:val="0"/>
              <w:spacing w:before="0" w:after="0"/>
              <w:jc w:val="left"/>
              <w:rPr>
                <w:rFonts w:ascii="Arial;Helvetica;sans-serif" w:hAnsi="Arial;Helvetica;sans-serif"/>
                <w:b/>
                <w:sz w:val="16"/>
              </w:rPr>
            </w:pPr>
            <w:r>
              <w:rPr>
                <w:rFonts w:ascii="Arial;Helvetica;sans-serif" w:hAnsi="Arial;Helvetica;sans-serif"/>
                <w:b/>
                <w:sz w:val="16"/>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quarterly period ended 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bidi w:val="0"/>
        <w:spacing w:before="0" w:after="0"/>
        <w:ind w:left="0" w:right="0" w:hanging="0"/>
        <w:jc w:val="center"/>
        <w:rPr/>
      </w:pPr>
      <w:r>
        <w:rPr/>
        <w:t>​</w:t>
      </w:r>
    </w:p>
    <w:tbl>
      <w:tblPr>
        <w:tblW w:w="8972" w:type="dxa"/>
        <w:jc w:val="left"/>
        <w:tblInd w:w="0" w:type="dxa"/>
        <w:tblLayout w:type="fixed"/>
        <w:tblCellMar>
          <w:top w:w="0" w:type="dxa"/>
          <w:left w:w="0" w:type="dxa"/>
          <w:bottom w:w="0" w:type="dxa"/>
          <w:right w:w="0" w:type="dxa"/>
        </w:tblCellMar>
      </w:tblPr>
      <w:tblGrid>
        <w:gridCol w:w="331"/>
        <w:gridCol w:w="8641"/>
      </w:tblGrid>
      <w:tr>
        <w:trPr/>
        <w:tc>
          <w:tcPr>
            <w:tcW w:w="331" w:type="dxa"/>
            <w:tcBorders/>
            <w:vAlign w:val="center"/>
          </w:tcPr>
          <w:p>
            <w:pPr>
              <w:pStyle w:val="TableContents"/>
              <w:bidi w:val="0"/>
              <w:spacing w:before="0" w:after="0"/>
              <w:jc w:val="left"/>
              <w:rPr/>
            </w:pPr>
            <w:r>
              <w:rPr/>
              <w:t>☐</w:t>
            </w:r>
          </w:p>
        </w:tc>
        <w:tc>
          <w:tcPr>
            <w:tcW w:w="8641" w:type="dxa"/>
            <w:tcBorders/>
            <w:vAlign w:val="center"/>
          </w:tcPr>
          <w:p>
            <w:pPr>
              <w:pStyle w:val="TableContents"/>
              <w:bidi w:val="0"/>
              <w:spacing w:before="0" w:after="0"/>
              <w:jc w:val="left"/>
              <w:rPr>
                <w:rFonts w:ascii="Arial;Helvetica;sans-serif" w:hAnsi="Arial;Helvetica;sans-serif"/>
                <w:b/>
                <w:sz w:val="16"/>
              </w:rPr>
            </w:pPr>
            <w:r>
              <w:rPr>
                <w:rFonts w:ascii="Arial;Helvetica;sans-serif" w:hAnsi="Arial;Helvetica;sans-serif"/>
                <w:b/>
                <w:sz w:val="16"/>
              </w:rPr>
              <w:t>TRANSITION REPORT PURSUANT TO SECTION 13 OR 15(d) OF THE SECURITIES EXCHANGE ACT OF 1934</w:t>
            </w:r>
          </w:p>
        </w:tc>
      </w:tr>
    </w:tbl>
    <w:p>
      <w:pPr>
        <w:pStyle w:val="TextBody"/>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Transition Period FromTo</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Commission file number: 001-41608</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Arial;Helvetica;sans-serif" w:hAnsi="Arial;Helvetica;sans-serif"/>
          <w:b/>
          <w:sz w:val="22"/>
        </w:rPr>
      </w:pPr>
      <w:r>
        <w:rPr>
          <w:rFonts w:ascii="Arial;Helvetica;sans-serif" w:hAnsi="Arial;Helvetica;sans-serif"/>
          <w:b/>
          <w:sz w:val="22"/>
        </w:rPr>
        <w:t>Structure Therapeutics Inc.</w:t>
      </w:r>
    </w:p>
    <w:p>
      <w:pPr>
        <w:pStyle w:val="TextBody"/>
        <w:bidi w:val="0"/>
        <w:spacing w:before="0" w:after="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Bv2X0D3Z00mALBdEjSLjYA_3_2"/>
      <w:bookmarkStart w:id="4" w:name="Tc_HQCnD0sUlE2JCoBMLYWaug_3_0"/>
      <w:bookmarkStart w:id="5" w:name="Tc_FT1wlFQzFkaSVyCReuXivg_2_0"/>
      <w:bookmarkStart w:id="6" w:name="Tc_OxPqHnv9K0GCC67Yw6F71g_1_2"/>
      <w:bookmarkStart w:id="7" w:name="Tc_u2mx0kkGCEWM3PytOWa-KA_1_0"/>
      <w:bookmarkStart w:id="8" w:name="_8b31d12e_c3f2_4ca3_b24f_eb9184555ed2"/>
      <w:bookmarkStart w:id="9" w:name="Tc_Bv2X0D3Z00mALBdEjSLjYA_3_2"/>
      <w:bookmarkStart w:id="10" w:name="Tc_HQCnD0sUlE2JCoBMLYWaug_3_0"/>
      <w:bookmarkStart w:id="11" w:name="Tc_FT1wlFQzFkaSVyCReuXivg_2_0"/>
      <w:bookmarkStart w:id="12" w:name="Tc_OxPqHnv9K0GCC67Yw6F71g_1_2"/>
      <w:bookmarkStart w:id="13" w:name="Tc_u2mx0kkGCEWM3PytOWa-KA_1_0"/>
      <w:bookmarkStart w:id="14" w:name="_8b31d12e_c3f2_4ca3_b24f_eb9184555ed2"/>
      <w:bookmarkEnd w:id="9"/>
      <w:bookmarkEnd w:id="10"/>
      <w:bookmarkEnd w:id="11"/>
      <w:bookmarkEnd w:id="12"/>
      <w:bookmarkEnd w:id="13"/>
      <w:bookmarkEnd w:id="14"/>
    </w:p>
    <w:tbl>
      <w:tblPr>
        <w:tblW w:w="6498" w:type="dxa"/>
        <w:jc w:val="left"/>
        <w:tblInd w:w="0" w:type="dxa"/>
        <w:tblLayout w:type="fixed"/>
        <w:tblCellMar>
          <w:top w:w="0" w:type="dxa"/>
          <w:left w:w="0" w:type="dxa"/>
          <w:bottom w:w="0" w:type="dxa"/>
          <w:right w:w="0" w:type="dxa"/>
        </w:tblCellMar>
      </w:tblPr>
      <w:tblGrid>
        <w:gridCol w:w="3841"/>
        <w:gridCol w:w="346"/>
        <w:gridCol w:w="2311"/>
      </w:tblGrid>
      <w:tr>
        <w:trPr/>
        <w:tc>
          <w:tcPr>
            <w:tcW w:w="384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Cayman Islands</w:t>
            </w:r>
          </w:p>
        </w:tc>
        <w:tc>
          <w:tcPr>
            <w:tcW w:w="346" w:type="dxa"/>
            <w:tcBorders/>
            <w:vAlign w:val="center"/>
          </w:tcPr>
          <w:p>
            <w:pPr>
              <w:pStyle w:val="TableContents"/>
              <w:bidi w:val="0"/>
              <w:spacing w:before="0" w:after="0"/>
              <w:ind w:left="0" w:right="0" w:hanging="0"/>
              <w:jc w:val="left"/>
              <w:rPr/>
            </w:pPr>
            <w:r>
              <w:rPr/>
              <w:t>  ​ ​ ​</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98-1480821</w:t>
            </w:r>
          </w:p>
        </w:tc>
      </w:tr>
      <w:tr>
        <w:trPr/>
        <w:tc>
          <w:tcPr>
            <w:tcW w:w="384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384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4"/>
              </w:rPr>
              <w:t>601 Gateway Blvd., Suite 900</w:t>
            </w:r>
            <w:r>
              <w:rPr>
                <w:rFonts w:ascii="Arial;Helvetica;sans-serif" w:hAnsi="Arial;Helvetica;sans-serif"/>
                <w:sz w:val="20"/>
              </w:rPr>
              <w:t xml:space="preserve"> </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South San Francisco, California</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94080</w:t>
            </w:r>
          </w:p>
        </w:tc>
      </w:tr>
      <w:tr>
        <w:trPr/>
        <w:tc>
          <w:tcPr>
            <w:tcW w:w="384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231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 (650) 457-1978</w:t>
      </w:r>
    </w:p>
    <w:p>
      <w:pPr>
        <w:pStyle w:val="TextBody"/>
        <w:bidi w:val="0"/>
        <w:spacing w:before="0" w:after="0"/>
        <w:ind w:left="0" w:right="0" w:hanging="0"/>
        <w:jc w:val="center"/>
        <w:rPr/>
      </w:pPr>
      <w:r>
        <w:rPr/>
        <w:t>​</w:t>
      </w:r>
    </w:p>
    <w:p>
      <w:pPr>
        <w:pStyle w:val="TextBody"/>
        <w:bidi w:val="0"/>
        <w:spacing w:before="0" w:after="0"/>
        <w:ind w:left="0" w:right="0" w:hanging="0"/>
        <w:jc w:val="left"/>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Tc_Aam9Da26nEeOou-wx56e3w_2_4"/>
      <w:bookmarkStart w:id="16" w:name="Tc_pFJz54fACU6mZYnAKDPzLg_2_0"/>
      <w:bookmarkStart w:id="17" w:name="Tc_cvJGTlhY4UOjadO3WWq3fg_1_4"/>
      <w:bookmarkStart w:id="18" w:name="Tc_OyHsIltuCkqKIRn4TmA9Ow_1_2"/>
      <w:bookmarkStart w:id="19" w:name="Tc_nP51OZfHNEyXHVer3APvJQ_1_0"/>
      <w:bookmarkStart w:id="20" w:name="Tc_PBaEjcFecUOuGrAjI5MT8w_0_2"/>
      <w:bookmarkStart w:id="21" w:name="_1ef2d310_4c28_4b32_855d_65ecffa39655"/>
      <w:bookmarkStart w:id="22" w:name="Tc_Aam9Da26nEeOou-wx56e3w_2_4"/>
      <w:bookmarkStart w:id="23" w:name="Tc_pFJz54fACU6mZYnAKDPzLg_2_0"/>
      <w:bookmarkStart w:id="24" w:name="Tc_cvJGTlhY4UOjadO3WWq3fg_1_4"/>
      <w:bookmarkStart w:id="25" w:name="Tc_OyHsIltuCkqKIRn4TmA9Ow_1_2"/>
      <w:bookmarkStart w:id="26" w:name="Tc_nP51OZfHNEyXHVer3APvJQ_1_0"/>
      <w:bookmarkStart w:id="27" w:name="Tc_PBaEjcFecUOuGrAjI5MT8w_0_2"/>
      <w:bookmarkStart w:id="28" w:name="_1ef2d310_4c28_4b32_855d_65ecffa39655"/>
      <w:bookmarkEnd w:id="22"/>
      <w:bookmarkEnd w:id="23"/>
      <w:bookmarkEnd w:id="24"/>
      <w:bookmarkEnd w:id="25"/>
      <w:bookmarkEnd w:id="26"/>
      <w:bookmarkEnd w:id="27"/>
      <w:bookmarkEnd w:id="28"/>
    </w:p>
    <w:tbl>
      <w:tblPr>
        <w:tblW w:w="10205" w:type="dxa"/>
        <w:jc w:val="left"/>
        <w:tblInd w:w="0" w:type="dxa"/>
        <w:tblLayout w:type="fixed"/>
        <w:tblCellMar>
          <w:top w:w="0" w:type="dxa"/>
          <w:left w:w="0" w:type="dxa"/>
          <w:bottom w:w="0" w:type="dxa"/>
          <w:right w:w="0" w:type="dxa"/>
        </w:tblCellMar>
      </w:tblPr>
      <w:tblGrid>
        <w:gridCol w:w="6235"/>
        <w:gridCol w:w="346"/>
        <w:gridCol w:w="1681"/>
        <w:gridCol w:w="346"/>
        <w:gridCol w:w="1597"/>
      </w:tblGrid>
      <w:tr>
        <w:trPr/>
        <w:tc>
          <w:tcPr>
            <w:tcW w:w="62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1" w:type="dxa"/>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w:t>
            </w:r>
          </w:p>
        </w:tc>
        <w:tc>
          <w:tcPr>
            <w:tcW w:w="346" w:type="dxa"/>
            <w:tcBorders/>
            <w:vAlign w:val="center"/>
          </w:tcPr>
          <w:p>
            <w:pPr>
              <w:pStyle w:val="TableContents"/>
              <w:bidi w:val="0"/>
              <w:spacing w:before="0" w:after="0"/>
              <w:ind w:left="0" w:right="0" w:hanging="0"/>
              <w:jc w:val="left"/>
              <w:rPr/>
            </w:pPr>
            <w:r>
              <w:rPr/>
              <w:t>  ​ ​ ​</w:t>
            </w:r>
          </w:p>
        </w:tc>
        <w:tc>
          <w:tcPr>
            <w:tcW w:w="1597" w:type="dxa"/>
            <w:tcBorders/>
            <w:vAlign w:val="center"/>
          </w:tcPr>
          <w:p>
            <w:pPr>
              <w:pStyle w:val="TableContents"/>
              <w:bidi w:val="0"/>
              <w:spacing w:before="0" w:after="0"/>
              <w:ind w:left="0" w:right="0" w:hanging="0"/>
              <w:jc w:val="left"/>
              <w:rPr/>
            </w:pPr>
            <w:r>
              <w:rPr/>
              <w:t>​</w:t>
            </w:r>
          </w:p>
        </w:tc>
      </w:tr>
      <w:tr>
        <w:trPr/>
        <w:tc>
          <w:tcPr>
            <w:tcW w:w="623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597"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On Which Registered</w:t>
            </w:r>
          </w:p>
        </w:tc>
      </w:tr>
      <w:tr>
        <w:trPr/>
        <w:tc>
          <w:tcPr>
            <w:tcW w:w="6235"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American Depositary Shares (ADSs), each representing three ordinary shares, par value $0.0001 per ordinary share</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Ordinary shares, par value $0.0001 per share*</w:t>
            </w:r>
          </w:p>
        </w:tc>
        <w:tc>
          <w:tcPr>
            <w:tcW w:w="346" w:type="dxa"/>
            <w:tcBorders/>
            <w:vAlign w:val="center"/>
          </w:tcPr>
          <w:p>
            <w:pPr>
              <w:pStyle w:val="TableContents"/>
              <w:bidi w:val="0"/>
              <w:spacing w:before="0" w:after="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GPCR</w:t>
            </w:r>
          </w:p>
        </w:tc>
        <w:tc>
          <w:tcPr>
            <w:tcW w:w="346" w:type="dxa"/>
            <w:tcBorders/>
            <w:vAlign w:val="center"/>
          </w:tcPr>
          <w:p>
            <w:pPr>
              <w:pStyle w:val="TableContents"/>
              <w:bidi w:val="0"/>
              <w:spacing w:before="0" w:after="0"/>
              <w:ind w:left="0" w:right="0" w:hanging="0"/>
              <w:jc w:val="center"/>
              <w:rPr/>
            </w:pPr>
            <w:r>
              <w:rPr/>
              <w:t>​</w:t>
            </w:r>
          </w:p>
        </w:tc>
        <w:tc>
          <w:tcPr>
            <w:tcW w:w="1597"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14"/>
              </w:rPr>
              <w:t>Nasdaq</w:t>
            </w:r>
            <w:r>
              <w:rPr>
                <w:rFonts w:ascii="Arial;Helvetica;sans-serif" w:hAnsi="Arial;Helvetica;sans-serif"/>
                <w:sz w:val="20"/>
              </w:rPr>
              <w:t xml:space="preserve"> </w:t>
            </w:r>
            <w:r>
              <w:rPr>
                <w:rFonts w:ascii="Arial;Helvetica;sans-serif" w:hAnsi="Arial;Helvetica;sans-serif"/>
                <w:b/>
                <w:sz w:val="14"/>
              </w:rPr>
              <w:t>Global Market </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Nasdaq Global Market*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14"/>
        </w:rPr>
      </w:pPr>
      <w:r>
        <w:rPr>
          <w:rFonts w:ascii="Arial;Helvetica;sans-serif" w:hAnsi="Arial;Helvetica;sans-serif"/>
          <w:sz w:val="14"/>
        </w:rPr>
        <w:t>* Not for trading, but only in connection with the registration of the American Depositary Shares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w:t>
      </w:r>
      <w:r>
        <w:rPr>
          <w:rFonts w:ascii="Arial;Helvetica;sans-serif" w:hAnsi="Arial;Helvetica;sans-serif"/>
          <w:sz w:val="20"/>
        </w:rPr>
        <w:t xml:space="preserve"> ☒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9909" w:type="dxa"/>
        <w:jc w:val="left"/>
        <w:tblInd w:w="0" w:type="dxa"/>
        <w:tblLayout w:type="fixed"/>
        <w:tblCellMar>
          <w:top w:w="0" w:type="dxa"/>
          <w:left w:w="0" w:type="dxa"/>
          <w:bottom w:w="0" w:type="dxa"/>
          <w:right w:w="0" w:type="dxa"/>
        </w:tblCellMar>
      </w:tblPr>
      <w:tblGrid>
        <w:gridCol w:w="1741"/>
        <w:gridCol w:w="346"/>
        <w:gridCol w:w="1276"/>
        <w:gridCol w:w="346"/>
        <w:gridCol w:w="1546"/>
        <w:gridCol w:w="346"/>
        <w:gridCol w:w="1966"/>
        <w:gridCol w:w="346"/>
        <w:gridCol w:w="199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05535" cy="29210"/>
                      <wp:effectExtent l="0" t="0" r="0" b="0"/>
                      <wp:wrapNone/>
                      <wp:docPr id="1" name="Frame1"/>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810260" cy="29210"/>
                      <wp:effectExtent l="0" t="0" r="0" b="0"/>
                      <wp:wrapNone/>
                      <wp:docPr id="3" name="Frame3"/>
                      <a:graphic xmlns:a="http://schemas.openxmlformats.org/drawingml/2006/main">
                        <a:graphicData uri="http://schemas.microsoft.com/office/word/2010/wordprocessingShape">
                          <wps:wsp>
                            <wps:cNvSpPr txBox="1"/>
                            <wps:spPr>
                              <a:xfrm>
                                <a:off x="0" y="0"/>
                                <a:ext cx="810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81710" cy="29210"/>
                      <wp:effectExtent l="0" t="0" r="0" b="0"/>
                      <wp:wrapNone/>
                      <wp:docPr id="5" name="Frame5"/>
                      <a:graphic xmlns:a="http://schemas.openxmlformats.org/drawingml/2006/main">
                        <a:graphicData uri="http://schemas.microsoft.com/office/word/2010/wordprocessingShape">
                          <wps:wsp>
                            <wps:cNvSpPr txBox="1"/>
                            <wps:spPr>
                              <a:xfrm>
                                <a:off x="0" y="0"/>
                                <a:ext cx="981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8410" cy="29210"/>
                      <wp:effectExtent l="0" t="0" r="0" b="0"/>
                      <wp:wrapNone/>
                      <wp:docPr id="7" name="Frame7"/>
                      <a:graphic xmlns:a="http://schemas.openxmlformats.org/drawingml/2006/main">
                        <a:graphicData uri="http://schemas.microsoft.com/office/word/2010/wordprocessingShape">
                          <wps:wsp>
                            <wps:cNvSpPr txBox="1"/>
                            <wps:spPr>
                              <a:xfrm>
                                <a:off x="0" y="0"/>
                                <a:ext cx="1248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29210"/>
                      <wp:effectExtent l="0" t="0" r="0" b="0"/>
                      <wp:wrapNone/>
                      <wp:docPr id="8" name="Frame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67460" cy="29210"/>
                      <wp:effectExtent l="0" t="0" r="0" b="0"/>
                      <wp:wrapNone/>
                      <wp:docPr id="9" name="Frame9"/>
                      <a:graphic xmlns:a="http://schemas.openxmlformats.org/drawingml/2006/main">
                        <a:graphicData uri="http://schemas.microsoft.com/office/word/2010/wordprocessingShape">
                          <wps:wsp>
                            <wps:cNvSpPr txBox="1"/>
                            <wps:spPr>
                              <a:xfrm>
                                <a:off x="0" y="0"/>
                                <a:ext cx="1267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pBdr/>
              <w:bidi w:val="0"/>
              <w:spacing w:before="0" w:after="0"/>
              <w:ind w:left="0" w:right="0" w:hanging="0"/>
              <w:jc w:val="left"/>
              <w:rPr>
                <w:rFonts w:ascii="Arial;Helvetica;sans-serif" w:hAnsi="Arial;Helvetica;sans-serif"/>
                <w:sz w:val="20"/>
              </w:rPr>
            </w:pPr>
            <w:r>
              <w:rPr>
                <w:rFonts w:ascii="Arial;Helvetica;sans-serif" w:hAnsi="Arial;Helvetica;sans-serif"/>
                <w:sz w:val="14"/>
              </w:rPr>
              <w:t>Large accelerated filer</w:t>
            </w:r>
            <w:r>
              <w:rPr>
                <w:rFonts w:ascii="Arial;Helvetica;sans-serif" w:hAnsi="Arial;Helvetica;sans-serif"/>
                <w:sz w:val="20"/>
              </w:rPr>
              <w:t xml:space="preserve"> ☒</w:t>
            </w:r>
          </w:p>
        </w:tc>
        <w:tc>
          <w:tcPr>
            <w:tcW w:w="346" w:type="dxa"/>
            <w:tcBorders/>
            <w:vAlign w:val="center"/>
          </w:tcPr>
          <w:p>
            <w:pPr>
              <w:pStyle w:val="TableContents"/>
              <w:bidi w:val="0"/>
              <w:spacing w:before="0" w:after="0"/>
              <w:ind w:left="0" w:right="0" w:hanging="0"/>
              <w:jc w:val="left"/>
              <w:rPr/>
            </w:pPr>
            <w:r>
              <w:rPr/>
              <w:t>  ​ ​ ​</w:t>
            </w:r>
          </w:p>
        </w:tc>
        <w:tc>
          <w:tcPr>
            <w:tcW w:w="127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Accelerated filer ☐</w:t>
            </w:r>
          </w:p>
        </w:tc>
        <w:tc>
          <w:tcPr>
            <w:tcW w:w="346" w:type="dxa"/>
            <w:tcBorders/>
            <w:vAlign w:val="center"/>
          </w:tcPr>
          <w:p>
            <w:pPr>
              <w:pStyle w:val="TableContents"/>
              <w:bidi w:val="0"/>
              <w:spacing w:before="0" w:after="0"/>
              <w:ind w:left="0" w:right="0" w:hanging="0"/>
              <w:jc w:val="left"/>
              <w:rPr/>
            </w:pPr>
            <w:r>
              <w:rPr/>
              <w:t>  ​ ​ ​</w:t>
            </w:r>
          </w:p>
        </w:tc>
        <w:tc>
          <w:tcPr>
            <w:tcW w:w="154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Non-accelerated filer ☐</w:t>
            </w:r>
          </w:p>
        </w:tc>
        <w:tc>
          <w:tcPr>
            <w:tcW w:w="346" w:type="dxa"/>
            <w:tcBorders/>
            <w:vAlign w:val="center"/>
          </w:tcPr>
          <w:p>
            <w:pPr>
              <w:pStyle w:val="TableContents"/>
              <w:bidi w:val="0"/>
              <w:spacing w:before="0" w:after="0"/>
              <w:ind w:left="0" w:right="0" w:hanging="0"/>
              <w:jc w:val="left"/>
              <w:rPr/>
            </w:pPr>
            <w:r>
              <w:rPr/>
              <w:t>  ​ ​ ​</w:t>
            </w:r>
          </w:p>
        </w:tc>
        <w:tc>
          <w:tcPr>
            <w:tcW w:w="19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Smaller reporting company </w:t>
            </w:r>
            <w:r>
              <w:rPr>
                <w:rFonts w:ascii="Arial;Helvetica;sans-serif" w:hAnsi="Arial;Helvetica;sans-serif"/>
                <w:sz w:val="20"/>
              </w:rPr>
              <w:t>☐</w:t>
            </w:r>
          </w:p>
        </w:tc>
        <w:tc>
          <w:tcPr>
            <w:tcW w:w="346" w:type="dxa"/>
            <w:tcBorders/>
            <w:vAlign w:val="center"/>
          </w:tcPr>
          <w:p>
            <w:pPr>
              <w:pStyle w:val="TableContents"/>
              <w:bidi w:val="0"/>
              <w:spacing w:before="0" w:after="0"/>
              <w:ind w:left="0" w:right="0" w:hanging="0"/>
              <w:jc w:val="left"/>
              <w:rPr/>
            </w:pPr>
            <w:r>
              <w:rPr/>
              <w:t>  ​ ​ ​</w:t>
            </w:r>
          </w:p>
        </w:tc>
        <w:tc>
          <w:tcPr>
            <w:tcW w:w="199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Emerging growth company </w:t>
            </w: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4"/>
        </w:rPr>
        <w:t xml:space="preserve">Indicate by check mark whether the registrant is a shell company (as defined in Rule 12b-2 of the Exchange Act). Yes </w:t>
      </w:r>
      <w:r>
        <w:rPr>
          <w:rFonts w:ascii="Arial;Helvetica;sans-serif" w:hAnsi="Arial;Helvetica;sans-serif"/>
          <w:sz w:val="20"/>
        </w:rPr>
        <w:t xml:space="preserve">☐ </w:t>
      </w:r>
      <w:r>
        <w:rPr>
          <w:rFonts w:ascii="Arial;Helvetica;sans-serif" w:hAnsi="Arial;Helvetica;sans-serif"/>
          <w:sz w:val="14"/>
        </w:rPr>
        <w:t xml:space="preserve">No </w:t>
      </w:r>
      <w:r>
        <w:rPr>
          <w:rFonts w:ascii="Arial;Helvetica;sans-serif" w:hAnsi="Arial;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288"/>
        <w:jc w:val="left"/>
        <w:rPr/>
      </w:pPr>
      <w:r>
        <w:rPr/>
        <w:t>​</w:t>
      </w:r>
    </w:p>
    <w:p>
      <w:pPr>
        <w:pStyle w:val="TextBody"/>
        <w:bidi w:val="0"/>
        <w:spacing w:before="0" w:after="240"/>
        <w:ind w:left="0" w:right="0" w:hanging="0"/>
        <w:jc w:val="center"/>
        <w:rPr>
          <w:rFonts w:ascii="Arial;Helvetica;sans-serif" w:hAnsi="Arial;Helvetica;sans-serif"/>
          <w:b/>
          <w:sz w:val="14"/>
        </w:rPr>
      </w:pPr>
      <w:r>
        <w:rPr>
          <w:rFonts w:ascii="Arial;Helvetica;sans-serif" w:hAnsi="Arial;Helvetica;sans-serif"/>
          <w:b/>
          <w:sz w:val="14"/>
        </w:rPr>
        <w:t>The aggregate number of outstanding ordinary shares of the registrant, each with par value $0.0001 per share, as of July 31, 2026, was 213,929,572, of which 208,862,772 ordinary shares were held in the form of ADSs.</w:t>
      </w:r>
    </w:p>
    <w:p>
      <w:pPr>
        <w:pStyle w:val="TextBody"/>
        <w:bidi w:val="0"/>
        <w:spacing w:before="0" w:after="0"/>
        <w:ind w:left="0" w:right="0" w:firstLine="288"/>
        <w:jc w:val="left"/>
        <w:rPr/>
      </w:pPr>
      <w:r>
        <w:rPr/>
        <w:t>​</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29" w:name="TOC"/>
      <w:bookmarkStart w:id="30" w:name="_fcf7bea9_474b_4fe8_9128_66cbc6246aea"/>
      <w:bookmarkEnd w:id="29"/>
      <w:bookmarkEnd w:id="30"/>
      <w:r>
        <w:rPr>
          <w:rFonts w:ascii="Arial;Helvetica;sans-serif" w:hAnsi="Arial;Helvetica;sans-serif"/>
          <w:b/>
          <w:sz w:val="20"/>
        </w:rPr>
        <w:t>TABLE OF CONTENTS</w:t>
      </w:r>
    </w:p>
    <w:tbl>
      <w:tblPr>
        <w:tblW w:w="9318" w:type="dxa"/>
        <w:jc w:val="left"/>
        <w:tblInd w:w="0" w:type="dxa"/>
        <w:tblLayout w:type="fixed"/>
        <w:tblCellMar>
          <w:top w:w="0" w:type="dxa"/>
          <w:left w:w="0" w:type="dxa"/>
          <w:bottom w:w="0" w:type="dxa"/>
          <w:right w:w="0" w:type="dxa"/>
        </w:tblCellMar>
      </w:tblPr>
      <w:tblGrid>
        <w:gridCol w:w="871"/>
        <w:gridCol w:w="7846"/>
        <w:gridCol w:w="601"/>
      </w:tblGrid>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Page</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center"/>
              <w:rPr/>
            </w:pPr>
            <w:hyperlink w:anchor="PARTIFINANCIALINFORMATION_128078">
              <w:r>
                <w:rPr>
                  <w:rStyle w:val="InternetLink"/>
                  <w:rFonts w:ascii="Arial;Helvetica;sans-serif" w:hAnsi="Arial;Helvetica;sans-serif"/>
                  <w:b/>
                  <w:i w:val="false"/>
                  <w:caps w:val="false"/>
                  <w:smallCaps w:val="false"/>
                  <w:sz w:val="20"/>
                </w:rPr>
                <w:t>PART I</w:t>
              </w:r>
            </w:hyperlink>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71" w:type="dxa"/>
            <w:tcBorders/>
            <w:vAlign w:val="center"/>
          </w:tcPr>
          <w:p>
            <w:pPr>
              <w:pStyle w:val="TableContents"/>
              <w:bidi w:val="0"/>
              <w:spacing w:before="0" w:after="0"/>
              <w:ind w:left="0" w:right="0" w:hanging="0"/>
              <w:jc w:val="left"/>
              <w:rPr/>
            </w:pPr>
            <w:hyperlink w:anchor="Item1FinancialStatementsUnaudited_524833">
              <w:r>
                <w:rPr>
                  <w:rStyle w:val="InternetLink"/>
                  <w:rFonts w:ascii="Arial;Helvetica;sans-serif" w:hAnsi="Arial;Helvetica;sans-serif"/>
                  <w:b w:val="false"/>
                  <w:i w:val="false"/>
                  <w:caps w:val="false"/>
                  <w:smallCaps w:val="false"/>
                  <w:sz w:val="20"/>
                </w:rPr>
                <w:t>Item 1.</w:t>
              </w:r>
            </w:hyperlink>
          </w:p>
        </w:tc>
        <w:tc>
          <w:tcPr>
            <w:tcW w:w="7846" w:type="dxa"/>
            <w:tcBorders/>
            <w:vAlign w:val="center"/>
          </w:tcPr>
          <w:p>
            <w:pPr>
              <w:pStyle w:val="TableContents"/>
              <w:bidi w:val="0"/>
              <w:spacing w:before="0" w:after="0"/>
              <w:ind w:left="0" w:right="0" w:hanging="0"/>
              <w:jc w:val="left"/>
              <w:rPr/>
            </w:pPr>
            <w:hyperlink w:anchor="Item1FinancialStatementsUnaudited_524833">
              <w:r>
                <w:rPr>
                  <w:rStyle w:val="InternetLink"/>
                  <w:rFonts w:ascii="Arial;Helvetica;sans-serif" w:hAnsi="Arial;Helvetica;sans-serif"/>
                  <w:b w:val="false"/>
                  <w:i w:val="false"/>
                  <w:caps w:val="false"/>
                  <w:smallCaps w:val="false"/>
                  <w:sz w:val="20"/>
                </w:rPr>
                <w:t>Financial Statements (Unaudited)</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CONDENSEDCONSOLIDATEDBALANCESHEETS_30939">
              <w:r>
                <w:rPr>
                  <w:rStyle w:val="InternetLink"/>
                  <w:rFonts w:ascii="Arial;Helvetica;sans-serif" w:hAnsi="Arial;Helvetica;sans-serif"/>
                  <w:b w:val="false"/>
                  <w:i w:val="false"/>
                  <w:caps w:val="false"/>
                  <w:smallCaps w:val="false"/>
                  <w:sz w:val="20"/>
                </w:rPr>
                <w:t>Condensed Consolidated Balance Sheets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STATEMENTSOFOPERATIONSANDCOMPREHENSIVELO">
              <w:r>
                <w:rPr>
                  <w:rStyle w:val="InternetLink"/>
                  <w:rFonts w:ascii="Arial;Helvetica;sans-serif" w:hAnsi="Arial;Helvetica;sans-serif"/>
                  <w:b w:val="false"/>
                  <w:i w:val="false"/>
                  <w:caps w:val="false"/>
                  <w:smallCaps w:val="false"/>
                  <w:sz w:val="20"/>
                </w:rPr>
                <w:t>Condensed Consolidated Statements of Operations and Comprehensive Loss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SHARESANDSHAREHOLDERSEQUTY_245279">
              <w:r>
                <w:rPr>
                  <w:rStyle w:val="InternetLink"/>
                  <w:rFonts w:ascii="Arial;Helvetica;sans-serif" w:hAnsi="Arial;Helvetica;sans-serif"/>
                  <w:b w:val="false"/>
                  <w:i w:val="false"/>
                  <w:caps w:val="false"/>
                  <w:smallCaps w:val="false"/>
                  <w:sz w:val="20"/>
                </w:rPr>
                <w:t>Condensed Consolidated Statements of Shareholders’ Equity</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STATEMENTSOFCASHFLOWS_628124">
              <w:r>
                <w:rPr>
                  <w:rStyle w:val="InternetLink"/>
                  <w:rFonts w:ascii="Arial;Helvetica;sans-serif" w:hAnsi="Arial;Helvetica;sans-serif"/>
                  <w:b w:val="false"/>
                  <w:i w:val="false"/>
                  <w:caps w:val="false"/>
                  <w:smallCaps w:val="false"/>
                  <w:sz w:val="20"/>
                </w:rPr>
                <w:t>Condensed Consolidated Statements of Cash Flows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Notes">
              <w:r>
                <w:rPr>
                  <w:rStyle w:val="InternetLink"/>
                  <w:rFonts w:ascii="Arial;Helvetica;sans-serif" w:hAnsi="Arial;Helvetica;sans-serif"/>
                  <w:b w:val="false"/>
                  <w:i w:val="false"/>
                  <w:caps w:val="false"/>
                  <w:smallCaps w:val="false"/>
                  <w:sz w:val="20"/>
                </w:rPr>
                <w:t>Notes to Unaudited Condensed Consolidated Financial Statements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w:t>
            </w:r>
          </w:p>
        </w:tc>
      </w:tr>
      <w:tr>
        <w:trPr/>
        <w:tc>
          <w:tcPr>
            <w:tcW w:w="871"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Item 2.</w:t>
              </w:r>
            </w:hyperlink>
          </w:p>
        </w:tc>
        <w:tc>
          <w:tcPr>
            <w:tcW w:w="7846" w:type="dxa"/>
            <w:tcBorders/>
            <w:vAlign w:val="center"/>
          </w:tcPr>
          <w:p>
            <w:pPr>
              <w:pStyle w:val="TableContents"/>
              <w:bidi w:val="0"/>
              <w:spacing w:before="0" w:after="0"/>
              <w:ind w:left="0" w:right="0" w:hanging="0"/>
              <w:jc w:val="left"/>
              <w:rPr/>
            </w:pPr>
            <w:hyperlink w:anchor="Item2ManagementsDiscussionandAnalysisofF">
              <w:r>
                <w:rPr>
                  <w:rStyle w:val="InternetLink"/>
                  <w:rFonts w:ascii="Arial;Helvetica;sans-serif" w:hAnsi="Arial;Helvetica;sans-serif"/>
                  <w:b w:val="false"/>
                  <w:i w:val="false"/>
                  <w:caps w:val="false"/>
                  <w:smallCaps w:val="false"/>
                  <w:sz w:val="20"/>
                </w:rPr>
                <w:t>Management’s Discussion and Analysis of Financial Condition and Results of Operations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23</w:t>
            </w:r>
          </w:p>
        </w:tc>
      </w:tr>
      <w:tr>
        <w:trPr/>
        <w:tc>
          <w:tcPr>
            <w:tcW w:w="871"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Item 3.</w:t>
              </w:r>
            </w:hyperlink>
          </w:p>
        </w:tc>
        <w:tc>
          <w:tcPr>
            <w:tcW w:w="7846" w:type="dxa"/>
            <w:tcBorders/>
            <w:vAlign w:val="center"/>
          </w:tcPr>
          <w:p>
            <w:pPr>
              <w:pStyle w:val="TableContents"/>
              <w:bidi w:val="0"/>
              <w:spacing w:before="0" w:after="0"/>
              <w:ind w:left="0" w:right="0" w:hanging="0"/>
              <w:jc w:val="left"/>
              <w:rPr/>
            </w:pPr>
            <w:hyperlink w:anchor="Item3QuantitativeandQualitativeDisclosur">
              <w:r>
                <w:rPr>
                  <w:rStyle w:val="InternetLink"/>
                  <w:rFonts w:ascii="Arial;Helvetica;sans-serif" w:hAnsi="Arial;Helvetica;sans-serif"/>
                  <w:b w:val="false"/>
                  <w:i w:val="false"/>
                  <w:caps w:val="false"/>
                  <w:smallCaps w:val="false"/>
                  <w:sz w:val="20"/>
                </w:rPr>
                <w:t>Quantitative and Qualitative Disclosures About Market Risk</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bidi w:val="0"/>
              <w:spacing w:before="0" w:after="0"/>
              <w:ind w:left="0" w:right="0" w:hanging="0"/>
              <w:jc w:val="left"/>
              <w:rPr/>
            </w:pPr>
            <w:hyperlink w:anchor="Item4ControlsandProcedures_589282">
              <w:r>
                <w:rPr>
                  <w:rStyle w:val="InternetLink"/>
                  <w:rFonts w:ascii="Arial;Helvetica;sans-serif" w:hAnsi="Arial;Helvetica;sans-serif"/>
                  <w:b w:val="false"/>
                  <w:i w:val="false"/>
                  <w:caps w:val="false"/>
                  <w:smallCaps w:val="false"/>
                  <w:sz w:val="20"/>
                </w:rPr>
                <w:t>Item 4.</w:t>
              </w:r>
            </w:hyperlink>
          </w:p>
        </w:tc>
        <w:tc>
          <w:tcPr>
            <w:tcW w:w="7846" w:type="dxa"/>
            <w:tcBorders/>
            <w:vAlign w:val="center"/>
          </w:tcPr>
          <w:p>
            <w:pPr>
              <w:pStyle w:val="TableContents"/>
              <w:bidi w:val="0"/>
              <w:spacing w:before="0" w:after="0"/>
              <w:ind w:left="0" w:right="0" w:hanging="0"/>
              <w:jc w:val="left"/>
              <w:rPr/>
            </w:pPr>
            <w:hyperlink w:anchor="Item4ControlsandProcedures_589282">
              <w:r>
                <w:rPr>
                  <w:rStyle w:val="InternetLink"/>
                  <w:rFonts w:ascii="Arial;Helvetica;sans-serif" w:hAnsi="Arial;Helvetica;sans-serif"/>
                  <w:b w:val="false"/>
                  <w:i w:val="false"/>
                  <w:caps w:val="false"/>
                  <w:smallCaps w:val="false"/>
                  <w:sz w:val="20"/>
                </w:rPr>
                <w:t>Controls and Procedures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35</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center"/>
              <w:rPr/>
            </w:pPr>
            <w:hyperlink w:anchor="PARTIIOTHERINFORMATION_878281">
              <w:r>
                <w:rPr>
                  <w:rStyle w:val="InternetLink"/>
                  <w:rFonts w:ascii="Arial;Helvetica;sans-serif" w:hAnsi="Arial;Helvetica;sans-serif"/>
                  <w:b/>
                  <w:i w:val="false"/>
                  <w:caps w:val="false"/>
                  <w:smallCaps w:val="false"/>
                  <w:sz w:val="20"/>
                </w:rPr>
                <w:t>PART II</w:t>
              </w:r>
            </w:hyperlink>
          </w:p>
        </w:tc>
        <w:tc>
          <w:tcPr>
            <w:tcW w:w="601" w:type="dxa"/>
            <w:tcBorders/>
            <w:vAlign w:val="center"/>
          </w:tcPr>
          <w:p>
            <w:pPr>
              <w:pStyle w:val="TableContents"/>
              <w:bidi w:val="0"/>
              <w:spacing w:before="0" w:after="0"/>
              <w:ind w:left="0" w:right="0" w:hanging="0"/>
              <w:jc w:val="center"/>
              <w:rPr/>
            </w:pPr>
            <w:r>
              <w:rPr/>
              <w:t>​</w:t>
            </w:r>
          </w:p>
        </w:tc>
      </w:tr>
      <w:tr>
        <w:trPr/>
        <w:tc>
          <w:tcPr>
            <w:tcW w:w="871" w:type="dxa"/>
            <w:tcBorders/>
            <w:vAlign w:val="center"/>
          </w:tcPr>
          <w:p>
            <w:pPr>
              <w:pStyle w:val="TableContents"/>
              <w:bidi w:val="0"/>
              <w:spacing w:before="0" w:after="0"/>
              <w:ind w:left="0" w:right="0" w:hanging="0"/>
              <w:jc w:val="left"/>
              <w:rPr/>
            </w:pPr>
            <w:hyperlink w:anchor="Item1LegalProceedings_318368">
              <w:r>
                <w:rPr>
                  <w:rStyle w:val="InternetLink"/>
                  <w:rFonts w:ascii="Arial;Helvetica;sans-serif" w:hAnsi="Arial;Helvetica;sans-serif"/>
                  <w:b w:val="false"/>
                  <w:i w:val="false"/>
                  <w:caps w:val="false"/>
                  <w:smallCaps w:val="false"/>
                  <w:sz w:val="20"/>
                </w:rPr>
                <w:t>Item 1.</w:t>
              </w:r>
            </w:hyperlink>
          </w:p>
        </w:tc>
        <w:tc>
          <w:tcPr>
            <w:tcW w:w="7846" w:type="dxa"/>
            <w:tcBorders/>
            <w:vAlign w:val="center"/>
          </w:tcPr>
          <w:p>
            <w:pPr>
              <w:pStyle w:val="TableContents"/>
              <w:bidi w:val="0"/>
              <w:spacing w:before="0" w:after="0"/>
              <w:ind w:left="0" w:right="0" w:hanging="0"/>
              <w:jc w:val="left"/>
              <w:rPr/>
            </w:pPr>
            <w:hyperlink w:anchor="Item1LegalProceedings_318368">
              <w:r>
                <w:rPr>
                  <w:rStyle w:val="InternetLink"/>
                  <w:rFonts w:ascii="Arial;Helvetica;sans-serif" w:hAnsi="Arial;Helvetica;sans-serif"/>
                  <w:b w:val="false"/>
                  <w:i w:val="false"/>
                  <w:caps w:val="false"/>
                  <w:smallCaps w:val="false"/>
                  <w:sz w:val="20"/>
                </w:rPr>
                <w:t>Legal Proceedings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bidi w:val="0"/>
              <w:spacing w:before="0" w:after="0"/>
              <w:ind w:left="0" w:right="0" w:hanging="0"/>
              <w:jc w:val="left"/>
              <w:rPr/>
            </w:pPr>
            <w:hyperlink w:anchor="Item1ARiskFactors_175993">
              <w:r>
                <w:rPr>
                  <w:rStyle w:val="InternetLink"/>
                  <w:rFonts w:ascii="Arial;Helvetica;sans-serif" w:hAnsi="Arial;Helvetica;sans-serif"/>
                  <w:b w:val="false"/>
                  <w:i w:val="false"/>
                  <w:caps w:val="false"/>
                  <w:smallCaps w:val="false"/>
                  <w:sz w:val="20"/>
                </w:rPr>
                <w:t>Item 1A.</w:t>
              </w:r>
            </w:hyperlink>
          </w:p>
        </w:tc>
        <w:tc>
          <w:tcPr>
            <w:tcW w:w="7846" w:type="dxa"/>
            <w:tcBorders/>
            <w:vAlign w:val="center"/>
          </w:tcPr>
          <w:p>
            <w:pPr>
              <w:pStyle w:val="TableContents"/>
              <w:bidi w:val="0"/>
              <w:spacing w:before="0" w:after="0"/>
              <w:ind w:left="0" w:right="0" w:hanging="0"/>
              <w:jc w:val="left"/>
              <w:rPr/>
            </w:pPr>
            <w:hyperlink w:anchor="Item1ARiskFactors_175993">
              <w:r>
                <w:rPr>
                  <w:rStyle w:val="InternetLink"/>
                  <w:rFonts w:ascii="Arial;Helvetica;sans-serif" w:hAnsi="Arial;Helvetica;sans-serif"/>
                  <w:b w:val="false"/>
                  <w:i w:val="false"/>
                  <w:caps w:val="false"/>
                  <w:smallCaps w:val="false"/>
                  <w:sz w:val="20"/>
                </w:rPr>
                <w:t>Risk Factors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tc>
      </w:tr>
      <w:tr>
        <w:trPr/>
        <w:tc>
          <w:tcPr>
            <w:tcW w:w="871"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Item 2.</w:t>
              </w:r>
            </w:hyperlink>
          </w:p>
        </w:tc>
        <w:tc>
          <w:tcPr>
            <w:tcW w:w="7846" w:type="dxa"/>
            <w:tcBorders/>
            <w:vAlign w:val="center"/>
          </w:tcPr>
          <w:p>
            <w:pPr>
              <w:pStyle w:val="TableContents"/>
              <w:bidi w:val="0"/>
              <w:spacing w:before="0" w:after="0"/>
              <w:ind w:left="0" w:right="0" w:hanging="0"/>
              <w:jc w:val="left"/>
              <w:rPr/>
            </w:pPr>
            <w:hyperlink w:anchor="Item2UnregisteredSalesofEquitySecurities">
              <w:r>
                <w:rPr>
                  <w:rStyle w:val="InternetLink"/>
                  <w:rFonts w:ascii="Arial;Helvetica;sans-serif" w:hAnsi="Arial;Helvetica;sans-serif"/>
                  <w:b w:val="false"/>
                  <w:i w:val="false"/>
                  <w:caps w:val="false"/>
                  <w:smallCaps w:val="false"/>
                  <w:sz w:val="20"/>
                </w:rPr>
                <w:t>Unregistered Sales of Equity Securities and Use of Proceeds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r>
      <w:tr>
        <w:trPr/>
        <w:tc>
          <w:tcPr>
            <w:tcW w:w="871" w:type="dxa"/>
            <w:tcBorders/>
            <w:vAlign w:val="center"/>
          </w:tcPr>
          <w:p>
            <w:pPr>
              <w:pStyle w:val="TableContents"/>
              <w:bidi w:val="0"/>
              <w:spacing w:before="0" w:after="0"/>
              <w:ind w:left="0" w:right="0" w:hanging="0"/>
              <w:jc w:val="left"/>
              <w:rPr/>
            </w:pPr>
            <w:hyperlink w:anchor="Item3DefaultsUponSeniorSecurities_556237">
              <w:r>
                <w:rPr>
                  <w:rStyle w:val="InternetLink"/>
                  <w:rFonts w:ascii="Arial;Helvetica;sans-serif" w:hAnsi="Arial;Helvetica;sans-serif"/>
                  <w:b w:val="false"/>
                  <w:i w:val="false"/>
                  <w:caps w:val="false"/>
                  <w:smallCaps w:val="false"/>
                  <w:sz w:val="20"/>
                </w:rPr>
                <w:t>Item 3.</w:t>
              </w:r>
            </w:hyperlink>
          </w:p>
        </w:tc>
        <w:tc>
          <w:tcPr>
            <w:tcW w:w="7846" w:type="dxa"/>
            <w:tcBorders/>
            <w:vAlign w:val="center"/>
          </w:tcPr>
          <w:p>
            <w:pPr>
              <w:pStyle w:val="TableContents"/>
              <w:bidi w:val="0"/>
              <w:spacing w:before="0" w:after="0"/>
              <w:ind w:left="0" w:right="0" w:hanging="0"/>
              <w:jc w:val="left"/>
              <w:rPr/>
            </w:pPr>
            <w:hyperlink w:anchor="Item3DefaultsUponSeniorSecurities_556237">
              <w:r>
                <w:rPr>
                  <w:rStyle w:val="InternetLink"/>
                  <w:rFonts w:ascii="Arial;Helvetica;sans-serif" w:hAnsi="Arial;Helvetica;sans-serif"/>
                  <w:b w:val="false"/>
                  <w:i w:val="false"/>
                  <w:caps w:val="false"/>
                  <w:smallCaps w:val="false"/>
                  <w:sz w:val="20"/>
                </w:rPr>
                <w:t>Defaults Upon Senior Securities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r>
      <w:tr>
        <w:trPr/>
        <w:tc>
          <w:tcPr>
            <w:tcW w:w="871" w:type="dxa"/>
            <w:tcBorders/>
            <w:vAlign w:val="center"/>
          </w:tcPr>
          <w:p>
            <w:pPr>
              <w:pStyle w:val="TableContents"/>
              <w:bidi w:val="0"/>
              <w:spacing w:before="0" w:after="0"/>
              <w:ind w:left="0" w:right="0" w:hanging="0"/>
              <w:jc w:val="left"/>
              <w:rPr/>
            </w:pPr>
            <w:hyperlink w:anchor="Item4MineSafetyDisclosures_5631">
              <w:r>
                <w:rPr>
                  <w:rStyle w:val="InternetLink"/>
                  <w:rFonts w:ascii="Arial;Helvetica;sans-serif" w:hAnsi="Arial;Helvetica;sans-serif"/>
                  <w:b w:val="false"/>
                  <w:i w:val="false"/>
                  <w:caps w:val="false"/>
                  <w:smallCaps w:val="false"/>
                  <w:sz w:val="20"/>
                </w:rPr>
                <w:t>Item 4.</w:t>
              </w:r>
            </w:hyperlink>
          </w:p>
        </w:tc>
        <w:tc>
          <w:tcPr>
            <w:tcW w:w="7846" w:type="dxa"/>
            <w:tcBorders/>
            <w:vAlign w:val="center"/>
          </w:tcPr>
          <w:p>
            <w:pPr>
              <w:pStyle w:val="TableContents"/>
              <w:bidi w:val="0"/>
              <w:spacing w:before="0" w:after="0"/>
              <w:ind w:left="0" w:right="0" w:hanging="0"/>
              <w:jc w:val="left"/>
              <w:rPr/>
            </w:pPr>
            <w:hyperlink w:anchor="Item4MineSafetyDisclosures_5631">
              <w:r>
                <w:rPr>
                  <w:rStyle w:val="InternetLink"/>
                  <w:rFonts w:ascii="Arial;Helvetica;sans-serif" w:hAnsi="Arial;Helvetica;sans-serif"/>
                  <w:b w:val="false"/>
                  <w:i w:val="false"/>
                  <w:caps w:val="false"/>
                  <w:smallCaps w:val="false"/>
                  <w:sz w:val="20"/>
                </w:rPr>
                <w:t>Mine Safety Disclosures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r>
      <w:tr>
        <w:trPr/>
        <w:tc>
          <w:tcPr>
            <w:tcW w:w="871" w:type="dxa"/>
            <w:tcBorders/>
            <w:vAlign w:val="center"/>
          </w:tcPr>
          <w:p>
            <w:pPr>
              <w:pStyle w:val="TableContents"/>
              <w:bidi w:val="0"/>
              <w:spacing w:before="0" w:after="0"/>
              <w:ind w:left="0" w:right="0" w:hanging="0"/>
              <w:jc w:val="left"/>
              <w:rPr/>
            </w:pPr>
            <w:hyperlink w:anchor="Item5OtherInformation_958351">
              <w:r>
                <w:rPr>
                  <w:rStyle w:val="InternetLink"/>
                  <w:rFonts w:ascii="Arial;Helvetica;sans-serif" w:hAnsi="Arial;Helvetica;sans-serif"/>
                  <w:b w:val="false"/>
                  <w:i w:val="false"/>
                  <w:caps w:val="false"/>
                  <w:smallCaps w:val="false"/>
                  <w:sz w:val="20"/>
                </w:rPr>
                <w:t>Item 5.</w:t>
              </w:r>
            </w:hyperlink>
          </w:p>
        </w:tc>
        <w:tc>
          <w:tcPr>
            <w:tcW w:w="7846" w:type="dxa"/>
            <w:tcBorders/>
            <w:vAlign w:val="center"/>
          </w:tcPr>
          <w:p>
            <w:pPr>
              <w:pStyle w:val="TableContents"/>
              <w:bidi w:val="0"/>
              <w:spacing w:before="0" w:after="0"/>
              <w:ind w:left="0" w:right="0" w:hanging="0"/>
              <w:jc w:val="left"/>
              <w:rPr/>
            </w:pPr>
            <w:hyperlink w:anchor="Item5OtherInformation_958351">
              <w:r>
                <w:rPr>
                  <w:rStyle w:val="InternetLink"/>
                  <w:rFonts w:ascii="Arial;Helvetica;sans-serif" w:hAnsi="Arial;Helvetica;sans-serif"/>
                  <w:b w:val="false"/>
                  <w:i w:val="false"/>
                  <w:caps w:val="false"/>
                  <w:smallCaps w:val="false"/>
                  <w:sz w:val="20"/>
                </w:rPr>
                <w:t>Other Information</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119</w:t>
            </w:r>
          </w:p>
        </w:tc>
      </w:tr>
      <w:tr>
        <w:trPr/>
        <w:tc>
          <w:tcPr>
            <w:tcW w:w="871" w:type="dxa"/>
            <w:tcBorders/>
            <w:vAlign w:val="center"/>
          </w:tcPr>
          <w:p>
            <w:pPr>
              <w:pStyle w:val="TableContents"/>
              <w:bidi w:val="0"/>
              <w:spacing w:before="0" w:after="0"/>
              <w:ind w:left="0" w:right="0" w:hanging="0"/>
              <w:jc w:val="left"/>
              <w:rPr/>
            </w:pPr>
            <w:hyperlink w:anchor="Item6Exhibits_663042">
              <w:r>
                <w:rPr>
                  <w:rStyle w:val="InternetLink"/>
                  <w:rFonts w:ascii="Arial;Helvetica;sans-serif" w:hAnsi="Arial;Helvetica;sans-serif"/>
                  <w:b w:val="false"/>
                  <w:i w:val="false"/>
                  <w:caps w:val="false"/>
                  <w:smallCaps w:val="false"/>
                  <w:sz w:val="20"/>
                </w:rPr>
                <w:t>Item 6.</w:t>
              </w:r>
            </w:hyperlink>
          </w:p>
        </w:tc>
        <w:tc>
          <w:tcPr>
            <w:tcW w:w="7846" w:type="dxa"/>
            <w:tcBorders/>
            <w:vAlign w:val="center"/>
          </w:tcPr>
          <w:p>
            <w:pPr>
              <w:pStyle w:val="TableContents"/>
              <w:bidi w:val="0"/>
              <w:spacing w:before="0" w:after="0"/>
              <w:ind w:left="0" w:right="0" w:hanging="0"/>
              <w:jc w:val="left"/>
              <w:rPr/>
            </w:pPr>
            <w:hyperlink w:anchor="Item6Exhibits_663042">
              <w:r>
                <w:rPr>
                  <w:rStyle w:val="InternetLink"/>
                  <w:rFonts w:ascii="Arial;Helvetica;sans-serif" w:hAnsi="Arial;Helvetica;sans-serif"/>
                  <w:b w:val="false"/>
                  <w:i w:val="false"/>
                  <w:caps w:val="false"/>
                  <w:smallCaps w:val="false"/>
                  <w:sz w:val="20"/>
                </w:rPr>
                <w:t>Exhibits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120</w:t>
            </w:r>
          </w:p>
        </w:tc>
      </w:tr>
      <w:tr>
        <w:trPr/>
        <w:tc>
          <w:tcPr>
            <w:tcW w:w="871" w:type="dxa"/>
            <w:tcBorders/>
            <w:vAlign w:val="center"/>
          </w:tcPr>
          <w:p>
            <w:pPr>
              <w:pStyle w:val="TableContents"/>
              <w:bidi w:val="0"/>
              <w:spacing w:before="0" w:after="0"/>
              <w:ind w:left="0" w:right="0" w:hanging="0"/>
              <w:jc w:val="left"/>
              <w:rPr/>
            </w:pPr>
            <w:r>
              <w:rPr/>
              <w:t>​</w:t>
            </w:r>
          </w:p>
        </w:tc>
        <w:tc>
          <w:tcPr>
            <w:tcW w:w="7846" w:type="dxa"/>
            <w:tcBorders/>
            <w:vAlign w:val="center"/>
          </w:tcPr>
          <w:p>
            <w:pPr>
              <w:pStyle w:val="TableContents"/>
              <w:bidi w:val="0"/>
              <w:spacing w:before="0" w:after="0"/>
              <w:ind w:left="0" w:right="0" w:hanging="0"/>
              <w:jc w:val="left"/>
              <w:rPr/>
            </w:pPr>
            <w:hyperlink w:anchor="Signatures">
              <w:r>
                <w:rPr>
                  <w:rStyle w:val="InternetLink"/>
                  <w:rFonts w:ascii="Arial;Helvetica;sans-serif" w:hAnsi="Arial;Helvetica;sans-serif"/>
                  <w:b w:val="false"/>
                  <w:i w:val="false"/>
                  <w:caps w:val="false"/>
                  <w:smallCaps w:val="false"/>
                  <w:sz w:val="20"/>
                </w:rPr>
                <w:t>Signatures</w:t>
              </w:r>
            </w:hyperlink>
          </w:p>
        </w:tc>
        <w:tc>
          <w:tcPr>
            <w:tcW w:w="601" w:type="dxa"/>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121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31" w:name="_7171e783_29a9_4d93_809f_5f40f9f989c1"/>
      <w:bookmarkEnd w:id="31"/>
      <w:r>
        <w:rPr>
          <w:rFonts w:ascii="Arial;Helvetica;sans-serif" w:hAnsi="Arial;Helvetica;sans-serif"/>
          <w:b/>
          <w:sz w:val="20"/>
        </w:rPr>
        <w:t>CAUTIONARY NOTE REGARDING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This Quarterly Report on Form 10-Q (“Quarterly Report”), contains forward-looking statements. All statements other than statements of historical facts contained in this Quarterly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Quarterly Report are forward looking, including without limitation statements regarding: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progress and results of preclinical studies and clinical trials for our product candidates, including our product development plans and strategies;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performance of our third-party service providers, including the impact of data collection omissions at any of our clinical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scope and likelihood of regulatory filings and approvals, including final regulatory approval of our product candidates;</w:t>
            </w:r>
          </w:p>
        </w:tc>
      </w:tr>
    </w:tbl>
    <w:tbl>
      <w:tblPr>
        <w:tblW w:w="8826" w:type="dxa"/>
        <w:jc w:val="left"/>
        <w:tblInd w:w="0" w:type="dxa"/>
        <w:tblLayout w:type="fixed"/>
        <w:tblCellMar>
          <w:top w:w="28" w:type="dxa"/>
          <w:left w:w="28" w:type="dxa"/>
          <w:bottom w:w="28" w:type="dxa"/>
          <w:right w:w="28" w:type="dxa"/>
        </w:tblCellMar>
      </w:tblPr>
      <w:tblGrid>
        <w:gridCol w:w="124"/>
        <w:gridCol w:w="256"/>
        <w:gridCol w:w="8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benefits and market opportunity for our product candidates and discovery platform;</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expectations regarding the size, scope and design of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plans and strategy with respect to our drug discovery efforts and potential benefits of our discovery platform;</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manufacturing, commercialization, and marketing plans and strategies;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plans to hire additional personnel and our ability to attract and retain such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of the number of patients who suffer from the diseases we are targeting and potential growth in our target markets;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expectations regarding the approval and use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competitive position and the development and impact of competing therapies that are or may become available;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expectations regarding future events under collaboration and licensing agreements, including potential future payments, as well as our plans and strategies for entering into further collaboration and licensing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rate and degree of market acceptance and clinical utility of product candidates we may develop;</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regarding expenses, future revenue, capital requirements and needs for additional financing;</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future financial performance;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period over which we estimate our existing cash, cash equivalents and short-term investments will be sufficient to fund our future operating expenses and capital expenditure requirements;</w:t>
            </w:r>
          </w:p>
        </w:tc>
      </w:tr>
    </w:tbl>
    <w:tbl>
      <w:tblPr>
        <w:tblW w:w="6246" w:type="dxa"/>
        <w:jc w:val="left"/>
        <w:tblInd w:w="0" w:type="dxa"/>
        <w:tblLayout w:type="fixed"/>
        <w:tblCellMar>
          <w:top w:w="28" w:type="dxa"/>
          <w:left w:w="28" w:type="dxa"/>
          <w:bottom w:w="28" w:type="dxa"/>
          <w:right w:w="28" w:type="dxa"/>
        </w:tblCellMar>
      </w:tblPr>
      <w:tblGrid>
        <w:gridCol w:w="124"/>
        <w:gridCol w:w="25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expected use of net proceeds from our financing transactions;</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laws and regulations;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geopolitical and macroeconomic factors; and</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risks and uncertainties, including those described under Part II. Item 1A. “Risk Factors” in this Quarterly Report.</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forward-looking statements in this Quarterly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Quarterly Report and are subject to a number of known and unknown risks, uncertainties, and assumptions, including those described under Part I. Item 2 “Management’s Discussion and Analysis of Financial Condition and Results of Operations” and Part II. Item 1A. “Risk Factors” elsewhere in this Quarterly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The forward-looking statements made in this Quarterly Report relate only to events or information as of the date on which the statements are made in this Quarterly Report.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0" w:after="240"/>
        <w:ind w:left="0" w:right="0" w:hanging="0"/>
        <w:jc w:val="center"/>
        <w:rPr>
          <w:rFonts w:ascii="Arial;Helvetica;sans-serif" w:hAnsi="Arial;Helvetica;sans-serif"/>
          <w:b/>
          <w:sz w:val="20"/>
        </w:rPr>
      </w:pPr>
      <w:bookmarkStart w:id="32" w:name="_d0a3feb9_6570_4766_a7ec_ec4ce8afd6a2"/>
      <w:bookmarkEnd w:id="32"/>
      <w:r>
        <w:rPr>
          <w:rFonts w:ascii="Arial;Helvetica;sans-serif" w:hAnsi="Arial;Helvetica;sans-serif"/>
          <w:b/>
          <w:sz w:val="20"/>
        </w:rPr>
        <w:t>RISK FACTORS SUMMARY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business is subject to numerous risks and uncertainties, including those described in Part II. Item 1A. “Risk Factors” in this Quarterly Report. You should carefully consider these risks and uncertainties when investing in our securities. The principal risks and uncertainties affecting our business include the following:</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operating history, have incurred significant operating losses since our inception and expect to incur significant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approach to the discovery of product candidates based on our technology platform is unproven, and we do not know whether we will be able to develop any products of commercial value.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early in our development efforts and only have four product candidates in early clinical development — aleniglipron, ACCG-2671, ACCG-3535 and LTSE-2578.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 </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difficulties or delays in the commencement or completion, or termination or suspension, of our ongoing and planned clinical trials could result in increased costs to us, delay or limit our ability to generate revenue and adversely affect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As an organization, we have never conducted later-stage clinical trials or submitted a New Drug Application (“NDA”) and may be unable to do so for any of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marketing approval processes of the U.S. Food and Drug Administration (“FDA”) and applicable foreign authorities are lengthy, time consuming, expensive and inherently unpredictable, and if we are ultimately unable to obtain marketing approval for our product candidates, our business will be substantially harmed.</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conducted, or plan to conduct, our initial clinical trials for aleniglipron, ACCG-2671, ACCG-3535, LTSE-2578 and our other product candidates outside of the United States. However, the FDA and other foreign equivalents may not accept data from such trials, in which case our development plans will be delayed, which could materially harm our business.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International trade policies, including tariffs, sanctions and trade barriers may adversely affect our business, financial condition, results of operations and prospects.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third parties to conduct, supervise and monitor our discovery research, preclinical studies and clinical trials.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 </w:t>
            </w:r>
          </w:p>
        </w:tc>
      </w:tr>
    </w:tbl>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existing discovery collaborations with Schrödinger, LLC (together with its affiliates, “Schrödinger”) are important to our business. If we are unable to maintain these collaborations, or if these collaborations are not successful, our business could be adversely affected.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face substantial competition, which may result in others discovering, developing or commercializing products before or more successfully than us.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political and economic policies or in relations between China and the United States may affect our business, financial condition, results of operations and the market price of our American Depositary Shares (“ADSs”).</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 </w:t>
            </w:r>
          </w:p>
        </w:tc>
      </w:tr>
    </w:tbl>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979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120"/>
        <w:ind w:left="0" w:right="0" w:hanging="0"/>
        <w:jc w:val="center"/>
        <w:rPr>
          <w:rFonts w:ascii="Arial;Helvetica;sans-serif" w:hAnsi="Arial;Helvetica;sans-serif"/>
          <w:b/>
          <w:sz w:val="20"/>
        </w:rPr>
      </w:pPr>
      <w:bookmarkStart w:id="33" w:name="PARTIFINANCIALINFORMATION_128078"/>
      <w:bookmarkStart w:id="34" w:name="_5e612c10_f264_43ad_ae2c_6b18c7d03d89"/>
      <w:bookmarkEnd w:id="33"/>
      <w:bookmarkEnd w:id="34"/>
      <w:r>
        <w:rPr>
          <w:rFonts w:ascii="Arial;Helvetica;sans-serif" w:hAnsi="Arial;Helvetica;sans-serif"/>
          <w:b/>
          <w:sz w:val="20"/>
        </w:rPr>
        <w:t>PART I. FINANCIAL INFORMATION</w:t>
      </w:r>
    </w:p>
    <w:p>
      <w:pPr>
        <w:pStyle w:val="TextBody"/>
        <w:bidi w:val="0"/>
        <w:spacing w:lineRule="atLeast" w:line="200" w:before="0" w:after="120"/>
        <w:ind w:left="0" w:right="0" w:hanging="0"/>
        <w:jc w:val="left"/>
        <w:rPr>
          <w:rFonts w:ascii="Arial;Helvetica;sans-serif" w:hAnsi="Arial;Helvetica;sans-serif"/>
          <w:b/>
          <w:sz w:val="20"/>
        </w:rPr>
      </w:pPr>
      <w:bookmarkStart w:id="35" w:name="Item1FinancialStatementsUnaudited_524833"/>
      <w:bookmarkEnd w:id="35"/>
      <w:r>
        <w:rPr>
          <w:rFonts w:ascii="Arial;Helvetica;sans-serif" w:hAnsi="Arial;Helvetica;sans-serif"/>
          <w:b/>
          <w:sz w:val="20"/>
        </w:rPr>
        <w:t>Item 1. Financial Statements (Unaudited).</w:t>
      </w:r>
    </w:p>
    <w:p>
      <w:pPr>
        <w:pStyle w:val="TextBody"/>
        <w:bidi w:val="0"/>
        <w:spacing w:lineRule="atLeast" w:line="180" w:before="0" w:after="12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bidi w:val="0"/>
        <w:spacing w:lineRule="atLeast" w:line="200" w:before="0" w:after="0"/>
        <w:ind w:left="0" w:right="0" w:hanging="0"/>
        <w:jc w:val="center"/>
        <w:rPr>
          <w:rFonts w:ascii="Arial;Helvetica;sans-serif" w:hAnsi="Arial;Helvetica;sans-serif"/>
          <w:b/>
          <w:sz w:val="20"/>
        </w:rPr>
      </w:pPr>
      <w:bookmarkStart w:id="36" w:name="CONDENSEDCONSOLIDATEDBALANCESHEETS_30939"/>
      <w:bookmarkEnd w:id="36"/>
      <w:r>
        <w:rPr>
          <w:rFonts w:ascii="Arial;Helvetica;sans-serif" w:hAnsi="Arial;Helvetica;sans-serif"/>
          <w:b/>
          <w:sz w:val="20"/>
        </w:rPr>
        <w:t>CONDENSED CONSOLIDATED BALANCE SHEETS</w:t>
      </w:r>
    </w:p>
    <w:p>
      <w:pPr>
        <w:pStyle w:val="TextBody"/>
        <w:bidi w:val="0"/>
        <w:spacing w:lineRule="atLeast" w:line="200" w:before="0" w:after="0"/>
        <w:ind w:left="0" w:right="0" w:hanging="0"/>
        <w:jc w:val="center"/>
        <w:rPr>
          <w:rFonts w:ascii="Arial;Helvetica;sans-serif" w:hAnsi="Arial;Helvetica;sans-serif"/>
          <w:b/>
          <w:i/>
          <w:sz w:val="20"/>
        </w:rPr>
      </w:pPr>
      <w:r>
        <w:rPr>
          <w:rFonts w:ascii="Arial;Helvetica;sans-serif" w:hAnsi="Arial;Helvetica;sans-serif"/>
          <w:b/>
          <w:i/>
          <w:sz w:val="20"/>
        </w:rPr>
        <w:t>(IN THOUSANDS, EXCEPT PER SHARE AMOUNTS)</w:t>
      </w:r>
    </w:p>
    <w:p>
      <w:pPr>
        <w:pStyle w:val="TextBody"/>
        <w:bidi w:val="0"/>
        <w:spacing w:lineRule="atLeast" w:line="200" w:before="0" w:after="12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37" w:name="Tc_EEAvNJ0jQUeGdbUDW47uvQ_32_5"/>
      <w:bookmarkStart w:id="38" w:name="Tc_DBcJbhC0KEWTPh76typzjQ_32_2"/>
      <w:bookmarkStart w:id="39" w:name="Tc_OyLem6mkIkiAAhyB0P8FAw_32_0"/>
      <w:bookmarkStart w:id="40" w:name="Tc_OJgTC0ZVh0CaxBGI-GXvtw_31_0"/>
      <w:bookmarkStart w:id="41" w:name="Tc_0dHyMBh5z0exoyn5Our-Ig_30_0"/>
      <w:bookmarkStart w:id="42" w:name="Tc_gRY7EeZJXUK-39LP2gYsOQ_29_0"/>
      <w:bookmarkStart w:id="43" w:name="Tc_CMLBfz7P8k6B2qAhrdRLIg_28_0"/>
      <w:bookmarkStart w:id="44" w:name="Tc_JjyRMdxjSkW6tLFU1W338g_27_0"/>
      <w:bookmarkStart w:id="45" w:name="Tc_dd9iq1Od8UGW3oHM2qeNew_26_0"/>
      <w:bookmarkStart w:id="46" w:name="Tc_KIpi_l_DcUifB5RXyX-2YQ_25_0"/>
      <w:bookmarkStart w:id="47" w:name="Tc_TUnIBoYfH0eSYE_rRwhPXA_24_0"/>
      <w:bookmarkStart w:id="48" w:name="Tc_k1d986LCW0C_dBfCzNL3Cg_23_0"/>
      <w:bookmarkStart w:id="49" w:name="Tc_NwXhOwTi_EefWasp4ZkshA_22_0"/>
      <w:bookmarkStart w:id="50" w:name="Tc_cioiK5hUBUKnYzfurH2Unw_21_0"/>
      <w:bookmarkStart w:id="51" w:name="Tc_ert_nAulmk-dxp-bkkEfYg_20_0"/>
      <w:bookmarkStart w:id="52" w:name="Tc_1_PnJMEs4EWwjjR-faduKA_19_0"/>
      <w:bookmarkStart w:id="53" w:name="Tc_L4RwNkn-Qk656EknTBuj9g_18_0"/>
      <w:bookmarkStart w:id="54" w:name="Tc_VdAtuqnIoUKw6yj3pCqNSw_17_5"/>
      <w:bookmarkStart w:id="55" w:name="Tc_FsINMHYxJE2xst-ACVngAg_17_2"/>
      <w:bookmarkStart w:id="56" w:name="Tc_TsDPTbiNYE6LUu84nTe3dw_17_0"/>
      <w:bookmarkStart w:id="57" w:name="Tc_bmnGbcp87Uyzf6VK7uSXJw_16_0"/>
      <w:bookmarkStart w:id="58" w:name="Tc_tzIdQ5NQ5UGKeldZZ4c5nw_15_0"/>
      <w:bookmarkStart w:id="59" w:name="Tc_bXTYyynLOECnfw_KIBTmAw_14_5"/>
      <w:bookmarkStart w:id="60" w:name="Tc_zdqDkYYQXUyDEaStTANVVQ_14_2"/>
      <w:bookmarkStart w:id="61" w:name="Tc_q-K01poJVUujf3tHJUA5mA_14_0"/>
      <w:bookmarkStart w:id="62" w:name="Tc_L4iG3SYaC0K_J7Y7c357Qw_13_0"/>
      <w:bookmarkStart w:id="63" w:name="Tc_ZQfU-vKrt0Gw6KA9IyTQSQ_12_0"/>
      <w:bookmarkStart w:id="64" w:name="Tc_N0sZx5GI9Uqt29h7uNPuXA_11_0"/>
      <w:bookmarkStart w:id="65" w:name="Tc_rzOexmvRzkSl7YxDzDii1w_10_0"/>
      <w:bookmarkStart w:id="66" w:name="Tc_4R7L3jGNk0uutbMJguqYGA_9_0"/>
      <w:bookmarkStart w:id="67" w:name="Tc_Pc3nYMSod0G1ie7pb5qlCQ_8_3"/>
      <w:bookmarkStart w:id="68" w:name="Tc_gCXgXLCn_k29hidJM40hbg_8_0"/>
      <w:bookmarkStart w:id="69" w:name="Tc_lpvjZgfbNkqGmHRmwfamBA_7_0"/>
      <w:bookmarkStart w:id="70" w:name="Tc_fEjEagolzEecVwPm1uTJ4A_6_5"/>
      <w:bookmarkStart w:id="71" w:name="Tc_y_2I-NIUrkSqFOB7TTJNNQ_6_2"/>
      <w:bookmarkStart w:id="72" w:name="Tc_edxEzNwfmk66kuYQRpTWYw_6_0"/>
      <w:bookmarkStart w:id="73" w:name="Tc_3qL5i5AToUqY5gPXlB8W7Q_5_0"/>
      <w:bookmarkStart w:id="74" w:name="Tc_WegdxmQOx0KRsplYfdw1Ug_4_0"/>
      <w:bookmarkStart w:id="75" w:name="Tc_HVvIMHItN0SpZCLLabXFzQ_3_5"/>
      <w:bookmarkStart w:id="76" w:name="Tc_EyrgmLDf4UqrqziyduXNkg_3_2"/>
      <w:bookmarkStart w:id="77" w:name="Tc_FQB5PTjciUSfO1B_PctPOA_2_5"/>
      <w:bookmarkStart w:id="78" w:name="Tc_tcpmdZa12kWqlZXouLlp5w_2_2"/>
      <w:bookmarkStart w:id="79" w:name="_3c60ef73_b047_4ca0_b857_1e4f62ddf7ce"/>
      <w:bookmarkStart w:id="80" w:name="Tc_EEAvNJ0jQUeGdbUDW47uvQ_32_5"/>
      <w:bookmarkStart w:id="81" w:name="Tc_DBcJbhC0KEWTPh76typzjQ_32_2"/>
      <w:bookmarkStart w:id="82" w:name="Tc_OyLem6mkIkiAAhyB0P8FAw_32_0"/>
      <w:bookmarkStart w:id="83" w:name="Tc_OJgTC0ZVh0CaxBGI-GXvtw_31_0"/>
      <w:bookmarkStart w:id="84" w:name="Tc_0dHyMBh5z0exoyn5Our-Ig_30_0"/>
      <w:bookmarkStart w:id="85" w:name="Tc_gRY7EeZJXUK-39LP2gYsOQ_29_0"/>
      <w:bookmarkStart w:id="86" w:name="Tc_CMLBfz7P8k6B2qAhrdRLIg_28_0"/>
      <w:bookmarkStart w:id="87" w:name="Tc_JjyRMdxjSkW6tLFU1W338g_27_0"/>
      <w:bookmarkStart w:id="88" w:name="Tc_dd9iq1Od8UGW3oHM2qeNew_26_0"/>
      <w:bookmarkStart w:id="89" w:name="Tc_KIpi_l_DcUifB5RXyX-2YQ_25_0"/>
      <w:bookmarkStart w:id="90" w:name="Tc_TUnIBoYfH0eSYE_rRwhPXA_24_0"/>
      <w:bookmarkStart w:id="91" w:name="Tc_k1d986LCW0C_dBfCzNL3Cg_23_0"/>
      <w:bookmarkStart w:id="92" w:name="Tc_NwXhOwTi_EefWasp4ZkshA_22_0"/>
      <w:bookmarkStart w:id="93" w:name="Tc_cioiK5hUBUKnYzfurH2Unw_21_0"/>
      <w:bookmarkStart w:id="94" w:name="Tc_ert_nAulmk-dxp-bkkEfYg_20_0"/>
      <w:bookmarkStart w:id="95" w:name="Tc_1_PnJMEs4EWwjjR-faduKA_19_0"/>
      <w:bookmarkStart w:id="96" w:name="Tc_L4RwNkn-Qk656EknTBuj9g_18_0"/>
      <w:bookmarkStart w:id="97" w:name="Tc_VdAtuqnIoUKw6yj3pCqNSw_17_5"/>
      <w:bookmarkStart w:id="98" w:name="Tc_FsINMHYxJE2xst-ACVngAg_17_2"/>
      <w:bookmarkStart w:id="99" w:name="Tc_TsDPTbiNYE6LUu84nTe3dw_17_0"/>
      <w:bookmarkStart w:id="100" w:name="Tc_bmnGbcp87Uyzf6VK7uSXJw_16_0"/>
      <w:bookmarkStart w:id="101" w:name="Tc_tzIdQ5NQ5UGKeldZZ4c5nw_15_0"/>
      <w:bookmarkStart w:id="102" w:name="Tc_bXTYyynLOECnfw_KIBTmAw_14_5"/>
      <w:bookmarkStart w:id="103" w:name="Tc_zdqDkYYQXUyDEaStTANVVQ_14_2"/>
      <w:bookmarkStart w:id="104" w:name="Tc_q-K01poJVUujf3tHJUA5mA_14_0"/>
      <w:bookmarkStart w:id="105" w:name="Tc_L4iG3SYaC0K_J7Y7c357Qw_13_0"/>
      <w:bookmarkStart w:id="106" w:name="Tc_ZQfU-vKrt0Gw6KA9IyTQSQ_12_0"/>
      <w:bookmarkStart w:id="107" w:name="Tc_N0sZx5GI9Uqt29h7uNPuXA_11_0"/>
      <w:bookmarkStart w:id="108" w:name="Tc_rzOexmvRzkSl7YxDzDii1w_10_0"/>
      <w:bookmarkStart w:id="109" w:name="Tc_4R7L3jGNk0uutbMJguqYGA_9_0"/>
      <w:bookmarkStart w:id="110" w:name="Tc_Pc3nYMSod0G1ie7pb5qlCQ_8_3"/>
      <w:bookmarkStart w:id="111" w:name="Tc_gCXgXLCn_k29hidJM40hbg_8_0"/>
      <w:bookmarkStart w:id="112" w:name="Tc_lpvjZgfbNkqGmHRmwfamBA_7_0"/>
      <w:bookmarkStart w:id="113" w:name="Tc_fEjEagolzEecVwPm1uTJ4A_6_5"/>
      <w:bookmarkStart w:id="114" w:name="Tc_y_2I-NIUrkSqFOB7TTJNNQ_6_2"/>
      <w:bookmarkStart w:id="115" w:name="Tc_edxEzNwfmk66kuYQRpTWYw_6_0"/>
      <w:bookmarkStart w:id="116" w:name="Tc_3qL5i5AToUqY5gPXlB8W7Q_5_0"/>
      <w:bookmarkStart w:id="117" w:name="Tc_WegdxmQOx0KRsplYfdw1Ug_4_0"/>
      <w:bookmarkStart w:id="118" w:name="Tc_HVvIMHItN0SpZCLLabXFzQ_3_5"/>
      <w:bookmarkStart w:id="119" w:name="Tc_EyrgmLDf4UqrqziyduXNkg_3_2"/>
      <w:bookmarkStart w:id="120" w:name="Tc_FQB5PTjciUSfO1B_PctPOA_2_5"/>
      <w:bookmarkStart w:id="121" w:name="Tc_tcpmdZa12kWqlZXouLlp5w_2_2"/>
      <w:bookmarkStart w:id="122" w:name="_3c60ef73_b047_4ca0_b857_1e4f62ddf7ce"/>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6871"/>
        <w:gridCol w:w="286"/>
        <w:gridCol w:w="211"/>
        <w:gridCol w:w="931"/>
        <w:gridCol w:w="286"/>
        <w:gridCol w:w="236"/>
        <w:gridCol w:w="1051"/>
        <w:gridCol w:w="333"/>
      </w:tblGrid>
      <w:tr>
        <w:trPr/>
        <w:tc>
          <w:tcPr>
            <w:tcW w:w="6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363085" cy="175260"/>
                      <wp:effectExtent l="0" t="0" r="0" b="0"/>
                      <wp:wrapNone/>
                      <wp:docPr id="10" name="Frame10"/>
                      <a:graphic xmlns:a="http://schemas.openxmlformats.org/drawingml/2006/main">
                        <a:graphicData uri="http://schemas.microsoft.com/office/word/2010/wordprocessingShape">
                          <wps:wsp>
                            <wps:cNvSpPr txBox="1"/>
                            <wps:spPr>
                              <a:xfrm>
                                <a:off x="0" y="0"/>
                                <a:ext cx="436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81610" cy="175260"/>
                      <wp:effectExtent l="0" t="0" r="0" b="0"/>
                      <wp:wrapNone/>
                      <wp:docPr id="11" name="Frame1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3"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81610" cy="175260"/>
                      <wp:effectExtent l="0" t="0" r="0" b="0"/>
                      <wp:wrapNone/>
                      <wp:docPr id="14" name="Frame1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9860" cy="175260"/>
                      <wp:effectExtent l="0" t="0" r="0" b="0"/>
                      <wp:wrapNone/>
                      <wp:docPr id="15" name="Frame1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7385" cy="175260"/>
                      <wp:effectExtent l="0" t="0" r="0" b="0"/>
                      <wp:wrapNone/>
                      <wp:docPr id="16" name="Frame1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1455" cy="175260"/>
                      <wp:effectExtent l="0" t="0" r="0" b="0"/>
                      <wp:wrapNone/>
                      <wp:docPr id="17" name="Frame17"/>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8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93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8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236"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1051"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3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286" w:type="dxa"/>
            <w:tcBorders/>
            <w:vAlign w:val="center"/>
          </w:tcPr>
          <w:p>
            <w:pPr>
              <w:pStyle w:val="TableContents"/>
              <w:bidi w:val="0"/>
              <w:spacing w:before="0" w:after="1"/>
              <w:ind w:left="0" w:right="0" w:hanging="0"/>
              <w:jc w:val="left"/>
              <w:rPr/>
            </w:pPr>
            <w:r>
              <w:rPr/>
              <w:t>​</w:t>
            </w:r>
          </w:p>
        </w:tc>
        <w:tc>
          <w:tcPr>
            <w:tcW w:w="1287"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286" w:type="dxa"/>
            <w:tcBorders/>
            <w:vAlign w:val="center"/>
          </w:tcPr>
          <w:p>
            <w:pPr>
              <w:pStyle w:val="TableContents"/>
              <w:bidi w:val="0"/>
              <w:spacing w:before="0" w:after="1"/>
              <w:ind w:left="0" w:right="0" w:hanging="0"/>
              <w:jc w:val="left"/>
              <w:rPr/>
            </w:pPr>
            <w:r>
              <w:rPr/>
              <w:t>  ​ ​</w:t>
            </w:r>
          </w:p>
        </w:tc>
        <w:tc>
          <w:tcPr>
            <w:tcW w:w="12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33" w:type="dxa"/>
            <w:tcBorders/>
            <w:vAlign w:val="center"/>
          </w:tcPr>
          <w:p>
            <w:pPr>
              <w:pStyle w:val="TableContents"/>
              <w:bidi w:val="0"/>
              <w:spacing w:before="0" w:after="1"/>
              <w:ind w:left="0" w:right="0" w:hanging="0"/>
              <w:jc w:val="left"/>
              <w:rPr/>
            </w:pPr>
            <w:r>
              <w:rPr/>
              <w:t>  ​ ​</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Assets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assets:</w:t>
            </w:r>
          </w:p>
        </w:tc>
        <w:tc>
          <w:tcPr>
            <w:tcW w:w="28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 </w:t>
            </w:r>
          </w:p>
        </w:tc>
        <w:tc>
          <w:tcPr>
            <w:tcW w:w="23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 </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272,638</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799,623</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Short-term investments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1,070,020</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646,574</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receivable</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100,000</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29,370</w:t>
            </w:r>
          </w:p>
        </w:tc>
        <w:tc>
          <w:tcPr>
            <w:tcW w:w="28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24,106</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current assets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1,372,028</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1,570,303</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Property and equipment, net</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6,332</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6,653</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right-of-use assets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6,060</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6,245</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assets</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40,995</w:t>
            </w:r>
          </w:p>
        </w:tc>
        <w:tc>
          <w:tcPr>
            <w:tcW w:w="28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717</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assets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1,425,415</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1,583,918</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Liabilities and shareholders’ equity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11,131</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13,864</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 and other current liabilities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52,387</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46,543</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 current portion</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2,595</w:t>
            </w:r>
          </w:p>
        </w:tc>
        <w:tc>
          <w:tcPr>
            <w:tcW w:w="28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2,878</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current liabilities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66,113</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63,285</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 net of current portion</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3,633</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3,609</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liabilities</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1,265</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647</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liabilities</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71,011</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67,541</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Commitments and contingencies (Note 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  ​</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Shareholders’ equity: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  ​</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Undesignated shares – $0.0001 par value; 100,000 shares authorized as of June 30, 2026 and December 31, 2025</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Ordinary shares – $0.0001 par value; 500,000 shares authorized as of June 30, 2026 and December 31, 2025; 213,655 and 212,513 shares issued and outstanding as of June 30, 2026 and December 31, 2025, respectively</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21</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Additional paid-in capital</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2,010,255</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1,985,602</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other comprehensive (loss) income</w:t>
            </w:r>
          </w:p>
        </w:tc>
        <w:tc>
          <w:tcPr>
            <w:tcW w:w="2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(3,445)</w:t>
            </w:r>
          </w:p>
        </w:tc>
        <w:tc>
          <w:tcPr>
            <w:tcW w:w="28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1,054</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Accumulated deficit</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(652,427)</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(470,300)</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shareholders’ equity</w:t>
            </w:r>
          </w:p>
        </w:tc>
        <w:tc>
          <w:tcPr>
            <w:tcW w:w="2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1,354,404</w:t>
            </w:r>
          </w:p>
        </w:tc>
        <w:tc>
          <w:tcPr>
            <w:tcW w:w="286" w:type="dxa"/>
            <w:tcBorders/>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1,516,377</w:t>
            </w:r>
          </w:p>
        </w:tc>
        <w:tc>
          <w:tcPr>
            <w:tcW w:w="333" w:type="dxa"/>
            <w:tcBorders/>
            <w:vAlign w:val="center"/>
          </w:tcPr>
          <w:p>
            <w:pPr>
              <w:pStyle w:val="TableContents"/>
              <w:bidi w:val="0"/>
              <w:spacing w:before="0" w:after="1"/>
              <w:ind w:left="0" w:right="0" w:hanging="0"/>
              <w:jc w:val="left"/>
              <w:rPr/>
            </w:pPr>
            <w:r>
              <w:rPr/>
              <w:t>​</w:t>
            </w:r>
          </w:p>
        </w:tc>
      </w:tr>
      <w:tr>
        <w:trPr/>
        <w:tc>
          <w:tcPr>
            <w:tcW w:w="6871"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Total liabilities and shareholders’ equity</w:t>
            </w:r>
          </w:p>
        </w:tc>
        <w:tc>
          <w:tcPr>
            <w:tcW w:w="28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1,425,415</w:t>
            </w:r>
          </w:p>
        </w:tc>
        <w:tc>
          <w:tcPr>
            <w:tcW w:w="286" w:type="dxa"/>
            <w:tcBorders/>
            <w:shd w:fill="CCEEFF" w:val="clear"/>
            <w:vAlign w:val="center"/>
          </w:tcPr>
          <w:p>
            <w:pPr>
              <w:pStyle w:val="TableContents"/>
              <w:bidi w:val="0"/>
              <w:spacing w:before="0" w:after="1"/>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1,583,918</w:t>
            </w:r>
          </w:p>
        </w:tc>
        <w:tc>
          <w:tcPr>
            <w:tcW w:w="333" w:type="dxa"/>
            <w:tcBorders/>
            <w:shd w:fill="CCEEFF" w:val="clear"/>
            <w:vAlign w:val="center"/>
          </w:tcPr>
          <w:p>
            <w:pPr>
              <w:pStyle w:val="TableContents"/>
              <w:bidi w:val="0"/>
              <w:spacing w:before="0" w:after="1"/>
              <w:ind w:left="0" w:right="0" w:hanging="0"/>
              <w:jc w:val="left"/>
              <w:rPr/>
            </w:pPr>
            <w:r>
              <w:rPr/>
              <w:t>​</w:t>
            </w:r>
          </w:p>
        </w:tc>
      </w:tr>
      <w:tr>
        <w:trPr/>
        <w:tc>
          <w:tcPr>
            <w:tcW w:w="68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lineRule="atLeast" w:line="200" w:before="12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123" w:name="_ed0be7fc_4af8_4e7b_a146_337580df7564"/>
      <w:bookmarkEnd w:id="123"/>
      <w:r>
        <w:rPr>
          <w:rFonts w:ascii="Arial;Helvetica;sans-serif" w:hAnsi="Arial;Helvetica;sans-serif"/>
          <w:b/>
          <w:sz w:val="20"/>
        </w:rPr>
        <w:t>STRUCTURE THERAPEUTICS INC.</w:t>
      </w:r>
    </w:p>
    <w:p>
      <w:pPr>
        <w:pStyle w:val="TextBody"/>
        <w:bidi w:val="0"/>
        <w:spacing w:before="0" w:after="0"/>
        <w:ind w:left="0" w:right="0" w:hanging="0"/>
        <w:jc w:val="center"/>
        <w:rPr>
          <w:rFonts w:ascii="Arial;Helvetica;sans-serif" w:hAnsi="Arial;Helvetica;sans-serif"/>
          <w:b/>
          <w:sz w:val="20"/>
        </w:rPr>
      </w:pPr>
      <w:bookmarkStart w:id="124" w:name="STATEMENTSOFOPERATIONSANDCOMPREHENSIVELO"/>
      <w:bookmarkStart w:id="125" w:name="SOCI"/>
      <w:bookmarkEnd w:id="124"/>
      <w:bookmarkEnd w:id="125"/>
      <w:r>
        <w:rPr>
          <w:rFonts w:ascii="Arial;Helvetica;sans-serif" w:hAnsi="Arial;Helvetica;sans-serif"/>
          <w:b/>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b/>
          <w:i/>
          <w:sz w:val="20"/>
        </w:rPr>
      </w:pPr>
      <w:r>
        <w:rPr>
          <w:rFonts w:ascii="Arial;Helvetica;sans-serif" w:hAnsi="Arial;Helvetica;sans-serif"/>
          <w:b/>
          <w:i/>
          <w:sz w:val="20"/>
        </w:rPr>
        <w:t>(IN THOUSANDS, EXCEPT PER SHARE AMOUNTS)</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126" w:name="Tc_Sg_STzjy406Ap9PsU-7MNw_19_11"/>
      <w:bookmarkStart w:id="127" w:name="Tc_8V5XMfiDg0iiJZwatgV0EA_19_8"/>
      <w:bookmarkStart w:id="128" w:name="Tc_nE2lBSaGy0aXEuQ6GQWUUA_19_5"/>
      <w:bookmarkStart w:id="129" w:name="Tc_b8fmwvJRi0W9cpqn2h6BZQ_19_2"/>
      <w:bookmarkStart w:id="130" w:name="Tc_20brbIs7PE2rKYnuzdrxlQ_19_0"/>
      <w:bookmarkStart w:id="131" w:name="Tc_ioyw4DDck0GCqOuMkygvUQ_18_0"/>
      <w:bookmarkStart w:id="132" w:name="Tc_4N9bCadeuEaKcwD_hoeZiQ_17_0"/>
      <w:bookmarkStart w:id="133" w:name="Tc_FOl4ipVJz0yXOJ1eiIdJaQ_16_0"/>
      <w:bookmarkStart w:id="134" w:name="Tc_fhySrL5HlUyrksJ07fN8ow_15_0"/>
      <w:bookmarkStart w:id="135" w:name="Tc_zXgHT9XfyEOAzOCRR-3BqQ_14_11"/>
      <w:bookmarkStart w:id="136" w:name="Tc_lpKcxYryakunLhNZTPPbEQ_14_8"/>
      <w:bookmarkStart w:id="137" w:name="Tc_gTXifMWap0erj5-g07C6KA_14_5"/>
      <w:bookmarkStart w:id="138" w:name="Tc_04DRuNrkn0WYSqyH54SZaw_14_2"/>
      <w:bookmarkStart w:id="139" w:name="Tc__oubXmqxoUuKETF-9Wextg_14_0"/>
      <w:bookmarkStart w:id="140" w:name="Tc_VmQ0cOFqbkSQje-UWcqr6Q_13_11"/>
      <w:bookmarkStart w:id="141" w:name="Tc_MXH1L62L9UujTYG3v0fANg_13_8"/>
      <w:bookmarkStart w:id="142" w:name="Tc_E2C0EuXjQkmkmi68qWIYXQ_13_5"/>
      <w:bookmarkStart w:id="143" w:name="Tc_xhwawY8e006ATV3i7jSGaQ_13_2"/>
      <w:bookmarkStart w:id="144" w:name="Tc_-PtJNmU9J02NZGTw_l2wqQ_13_0"/>
      <w:bookmarkStart w:id="145" w:name="Tc_cgM7_SpUqEut7tJc0E9pBg_12_0"/>
      <w:bookmarkStart w:id="146" w:name="Tc_UvrR24bCP02AVlgUoCI8ow_11_0"/>
      <w:bookmarkStart w:id="147" w:name="Tc_9FTBLgHVKUWNBP8eqVjKuA_10_0"/>
      <w:bookmarkStart w:id="148" w:name="Tc_ORinO6JEiEa_I94KKFD3-Q_9_0"/>
      <w:bookmarkStart w:id="149" w:name="Tc_-WzPLx_S0UWn3-tCyKeBEA_8_0"/>
      <w:bookmarkStart w:id="150" w:name="Tc_w7VZpxjKy0mLPDYdq8Vtow_7_0"/>
      <w:bookmarkStart w:id="151" w:name="Tc_ydqh80vd20-n7osz3bYnkQ_6_8"/>
      <w:bookmarkStart w:id="152" w:name="Tc_TLCKckthjkCuX4vMf_PmJw_6_5"/>
      <w:bookmarkStart w:id="153" w:name="Tc_OASJIjOW3Eyeny06iRv-Tw_6_2"/>
      <w:bookmarkStart w:id="154" w:name="Tc_gN1zlOv3kkarZSkHZEAOKQ_6_0"/>
      <w:bookmarkStart w:id="155" w:name="Tc_AD7CqgPJnkKtPNKQn7V75w_5_0"/>
      <w:bookmarkStart w:id="156" w:name="Tc_uf1tz__QkU2kauc2SbGWTA_4_11"/>
      <w:bookmarkStart w:id="157" w:name="Tc_hSnl6IZo1UCfGRSrs5XfyQ_4_9"/>
      <w:bookmarkStart w:id="158" w:name="Tc_RYxN30hDC06APieydANnhQ_4_5"/>
      <w:bookmarkStart w:id="159" w:name="Tc_Gkl6u2q5dUaAKd5zF81bzA_4_3"/>
      <w:bookmarkStart w:id="160" w:name="Tc_l1loi_Ysf0-FLQRevuf5ag_3_8"/>
      <w:bookmarkStart w:id="161" w:name="Tc_Y9ClpY-uUUydLyyD56pjmg_3_2"/>
      <w:bookmarkStart w:id="162" w:name="Tc_4MVocm_9w0uIDrZGzCh-SA_2_8"/>
      <w:bookmarkStart w:id="163" w:name="Tc_QYtd5xpQoUqOVYkZ-Sz8BA_2_2"/>
      <w:bookmarkStart w:id="164" w:name="_7dfdcdbc_3661_484e_8fc9_d481c3b8ceea"/>
      <w:bookmarkStart w:id="165" w:name="_9e293b23_00e9_4a9a_8695_534c053a7bd2"/>
      <w:bookmarkStart w:id="166" w:name="Tc_Sg_STzjy406Ap9PsU-7MNw_19_11"/>
      <w:bookmarkStart w:id="167" w:name="Tc_8V5XMfiDg0iiJZwatgV0EA_19_8"/>
      <w:bookmarkStart w:id="168" w:name="Tc_nE2lBSaGy0aXEuQ6GQWUUA_19_5"/>
      <w:bookmarkStart w:id="169" w:name="Tc_b8fmwvJRi0W9cpqn2h6BZQ_19_2"/>
      <w:bookmarkStart w:id="170" w:name="Tc_20brbIs7PE2rKYnuzdrxlQ_19_0"/>
      <w:bookmarkStart w:id="171" w:name="Tc_ioyw4DDck0GCqOuMkygvUQ_18_0"/>
      <w:bookmarkStart w:id="172" w:name="Tc_4N9bCadeuEaKcwD_hoeZiQ_17_0"/>
      <w:bookmarkStart w:id="173" w:name="Tc_FOl4ipVJz0yXOJ1eiIdJaQ_16_0"/>
      <w:bookmarkStart w:id="174" w:name="Tc_fhySrL5HlUyrksJ07fN8ow_15_0"/>
      <w:bookmarkStart w:id="175" w:name="Tc_zXgHT9XfyEOAzOCRR-3BqQ_14_11"/>
      <w:bookmarkStart w:id="176" w:name="Tc_lpKcxYryakunLhNZTPPbEQ_14_8"/>
      <w:bookmarkStart w:id="177" w:name="Tc_gTXifMWap0erj5-g07C6KA_14_5"/>
      <w:bookmarkStart w:id="178" w:name="Tc_04DRuNrkn0WYSqyH54SZaw_14_2"/>
      <w:bookmarkStart w:id="179" w:name="Tc__oubXmqxoUuKETF-9Wextg_14_0"/>
      <w:bookmarkStart w:id="180" w:name="Tc_VmQ0cOFqbkSQje-UWcqr6Q_13_11"/>
      <w:bookmarkStart w:id="181" w:name="Tc_MXH1L62L9UujTYG3v0fANg_13_8"/>
      <w:bookmarkStart w:id="182" w:name="Tc_E2C0EuXjQkmkmi68qWIYXQ_13_5"/>
      <w:bookmarkStart w:id="183" w:name="Tc_xhwawY8e006ATV3i7jSGaQ_13_2"/>
      <w:bookmarkStart w:id="184" w:name="Tc_-PtJNmU9J02NZGTw_l2wqQ_13_0"/>
      <w:bookmarkStart w:id="185" w:name="Tc_cgM7_SpUqEut7tJc0E9pBg_12_0"/>
      <w:bookmarkStart w:id="186" w:name="Tc_UvrR24bCP02AVlgUoCI8ow_11_0"/>
      <w:bookmarkStart w:id="187" w:name="Tc_9FTBLgHVKUWNBP8eqVjKuA_10_0"/>
      <w:bookmarkStart w:id="188" w:name="Tc_ORinO6JEiEa_I94KKFD3-Q_9_0"/>
      <w:bookmarkStart w:id="189" w:name="Tc_-WzPLx_S0UWn3-tCyKeBEA_8_0"/>
      <w:bookmarkStart w:id="190" w:name="Tc_w7VZpxjKy0mLPDYdq8Vtow_7_0"/>
      <w:bookmarkStart w:id="191" w:name="Tc_ydqh80vd20-n7osz3bYnkQ_6_8"/>
      <w:bookmarkStart w:id="192" w:name="Tc_TLCKckthjkCuX4vMf_PmJw_6_5"/>
      <w:bookmarkStart w:id="193" w:name="Tc_OASJIjOW3Eyeny06iRv-Tw_6_2"/>
      <w:bookmarkStart w:id="194" w:name="Tc_gN1zlOv3kkarZSkHZEAOKQ_6_0"/>
      <w:bookmarkStart w:id="195" w:name="Tc_AD7CqgPJnkKtPNKQn7V75w_5_0"/>
      <w:bookmarkStart w:id="196" w:name="Tc_uf1tz__QkU2kauc2SbGWTA_4_11"/>
      <w:bookmarkStart w:id="197" w:name="Tc_hSnl6IZo1UCfGRSrs5XfyQ_4_9"/>
      <w:bookmarkStart w:id="198" w:name="Tc_RYxN30hDC06APieydANnhQ_4_5"/>
      <w:bookmarkStart w:id="199" w:name="Tc_Gkl6u2q5dUaAKd5zF81bzA_4_3"/>
      <w:bookmarkStart w:id="200" w:name="Tc_l1loi_Ysf0-FLQRevuf5ag_3_8"/>
      <w:bookmarkStart w:id="201" w:name="Tc_Y9ClpY-uUUydLyyD56pjmg_3_2"/>
      <w:bookmarkStart w:id="202" w:name="Tc_4MVocm_9w0uIDrZGzCh-SA_2_8"/>
      <w:bookmarkStart w:id="203" w:name="Tc_QYtd5xpQoUqOVYkZ-Sz8BA_2_2"/>
      <w:bookmarkStart w:id="204" w:name="_7dfdcdbc_3661_484e_8fc9_d481c3b8ceea"/>
      <w:bookmarkStart w:id="205" w:name="_9e293b23_00e9_4a9a_8695_534c053a7bd2"/>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tbl>
      <w:tblPr>
        <w:tblW w:w="10205" w:type="dxa"/>
        <w:jc w:val="left"/>
        <w:tblInd w:w="0" w:type="dxa"/>
        <w:tblLayout w:type="fixed"/>
        <w:tblCellMar>
          <w:top w:w="0" w:type="dxa"/>
          <w:left w:w="0" w:type="dxa"/>
          <w:bottom w:w="0" w:type="dxa"/>
          <w:right w:w="0" w:type="dxa"/>
        </w:tblCellMar>
      </w:tblPr>
      <w:tblGrid>
        <w:gridCol w:w="4170"/>
        <w:gridCol w:w="346"/>
        <w:gridCol w:w="211"/>
        <w:gridCol w:w="871"/>
        <w:gridCol w:w="346"/>
        <w:gridCol w:w="211"/>
        <w:gridCol w:w="799"/>
        <w:gridCol w:w="346"/>
        <w:gridCol w:w="211"/>
        <w:gridCol w:w="871"/>
        <w:gridCol w:w="346"/>
        <w:gridCol w:w="211"/>
        <w:gridCol w:w="871"/>
        <w:gridCol w:w="395"/>
      </w:tblGrid>
      <w:tr>
        <w:trPr/>
        <w:tc>
          <w:tcPr>
            <w:tcW w:w="4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647950" cy="175260"/>
                      <wp:effectExtent l="0" t="0" r="0" b="0"/>
                      <wp:wrapNone/>
                      <wp:docPr id="18" name="Frame18"/>
                      <a:graphic xmlns:a="http://schemas.openxmlformats.org/drawingml/2006/main">
                        <a:graphicData uri="http://schemas.microsoft.com/office/word/2010/wordprocessingShape">
                          <wps:wsp>
                            <wps:cNvSpPr txBox="1"/>
                            <wps:spPr>
                              <a:xfrm>
                                <a:off x="0" y="0"/>
                                <a:ext cx="2647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53085" cy="175260"/>
                      <wp:effectExtent l="0" t="0" r="0" b="0"/>
                      <wp:wrapNone/>
                      <wp:docPr id="21" name="Frame2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7365" cy="175260"/>
                      <wp:effectExtent l="0" t="0" r="0" b="0"/>
                      <wp:wrapNone/>
                      <wp:docPr id="24" name="Frame24"/>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53085" cy="175260"/>
                      <wp:effectExtent l="0" t="0" r="0" b="0"/>
                      <wp:wrapNone/>
                      <wp:docPr id="27" name="Frame2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53085" cy="175260"/>
                      <wp:effectExtent l="0" t="0" r="0" b="0"/>
                      <wp:wrapNone/>
                      <wp:docPr id="30" name="Frame3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50825" cy="175260"/>
                      <wp:effectExtent l="0" t="0" r="0" b="0"/>
                      <wp:wrapNone/>
                      <wp:docPr id="31" name="Frame3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7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95"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8"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5" w:type="dxa"/>
            <w:tcBorders/>
            <w:vAlign w:val="center"/>
          </w:tcPr>
          <w:p>
            <w:pPr>
              <w:pStyle w:val="TableContents"/>
              <w:bidi w:val="0"/>
              <w:spacing w:before="0" w:after="0"/>
              <w:ind w:left="0" w:right="0" w:hanging="0"/>
              <w:jc w:val="left"/>
              <w:rPr/>
            </w:pPr>
            <w:r>
              <w:rPr/>
              <w:t>  ​ ​ ​</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100,057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54,710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166,564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97,577</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18,573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15,741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41,445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29,185</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118,630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70,451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208,009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126,762</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(118,630)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(70,451)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(208,009)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(126,762)</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12,705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8,929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26,306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18,505</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before provision for income taxes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(105,925)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(61,522)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(181,703)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(108,257)</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attributable to ordinary shareholders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(106,159)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(61,661)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(182,127)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(108,494)</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attributable to ordinary shareholders, basic and diluted</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(0.36)</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(0.84)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(0.63)</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ordinary shares used in computing net loss per share attributable to ordinary shareholders, basic and diluted</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217,957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172,647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217,643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172,351</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comprehensive loss: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Unrealized loss on investments, net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(4,499)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other comprehensive loss</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(1,250)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(4,499)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(552)</w:t>
            </w:r>
          </w:p>
        </w:tc>
        <w:tc>
          <w:tcPr>
            <w:tcW w:w="395" w:type="dxa"/>
            <w:tcBorders/>
            <w:vAlign w:val="center"/>
          </w:tcPr>
          <w:p>
            <w:pPr>
              <w:pStyle w:val="TableContents"/>
              <w:bidi w:val="0"/>
              <w:spacing w:before="0" w:after="0"/>
              <w:ind w:left="0" w:right="0" w:hanging="0"/>
              <w:jc w:val="left"/>
              <w:rPr/>
            </w:pPr>
            <w:r>
              <w:rPr/>
              <w:t>​</w:t>
            </w:r>
          </w:p>
        </w:tc>
      </w:tr>
      <w:tr>
        <w:trPr/>
        <w:tc>
          <w:tcPr>
            <w:tcW w:w="4170"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Comprehensive loss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(107,409)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(62,114)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(186,626)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(109,046)</w:t>
            </w:r>
          </w:p>
        </w:tc>
        <w:tc>
          <w:tcPr>
            <w:tcW w:w="395" w:type="dxa"/>
            <w:tcBorders/>
            <w:shd w:fill="CCEEFF" w:val="clear"/>
            <w:vAlign w:val="center"/>
          </w:tcPr>
          <w:p>
            <w:pPr>
              <w:pStyle w:val="TableContents"/>
              <w:bidi w:val="0"/>
              <w:spacing w:before="0" w:after="0"/>
              <w:ind w:left="0" w:right="0" w:hanging="0"/>
              <w:jc w:val="left"/>
              <w:rPr/>
            </w:pPr>
            <w:r>
              <w:rPr/>
              <w:t>​</w:t>
            </w:r>
          </w:p>
        </w:tc>
      </w:tr>
      <w:tr>
        <w:trPr/>
        <w:tc>
          <w:tcPr>
            <w:tcW w:w="41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Arial;Helvetica;sans-serif" w:hAnsi="Arial;Helvetica;sans-serif"/>
          <w:b/>
          <w:sz w:val="20"/>
        </w:rPr>
      </w:pPr>
      <w:bookmarkStart w:id="206" w:name="_51665633_994e_4e22_b876_416edcd3b909"/>
      <w:bookmarkEnd w:id="206"/>
      <w:r>
        <w:rPr>
          <w:rFonts w:ascii="Arial;Helvetica;sans-serif" w:hAnsi="Arial;Helvetica;sans-serif"/>
          <w:b/>
          <w:sz w:val="20"/>
        </w:rPr>
        <w:t>STRUCTURE THERAPEUTICS INC.</w:t>
      </w:r>
    </w:p>
    <w:p>
      <w:pPr>
        <w:pStyle w:val="TextBody"/>
        <w:bidi w:val="0"/>
        <w:spacing w:before="0" w:after="0"/>
        <w:ind w:left="0" w:right="0" w:hanging="0"/>
        <w:jc w:val="center"/>
        <w:rPr>
          <w:rFonts w:ascii="Arial;Helvetica;sans-serif" w:hAnsi="Arial;Helvetica;sans-serif"/>
          <w:b/>
          <w:sz w:val="20"/>
        </w:rPr>
      </w:pPr>
      <w:bookmarkStart w:id="207" w:name="SHARESANDSHAREHOLDERSEQUTY_245279"/>
      <w:bookmarkEnd w:id="207"/>
      <w:r>
        <w:rPr>
          <w:rFonts w:ascii="Arial;Helvetica;sans-serif" w:hAnsi="Arial;Helvetica;sans-serif"/>
          <w:b/>
          <w:sz w:val="20"/>
        </w:rPr>
        <w:t>CONDENSED CONSOLIDATED STATEMENTS OF SHAREHOLDERS’ EQUITY</w:t>
      </w:r>
    </w:p>
    <w:p>
      <w:pPr>
        <w:pStyle w:val="TextBody"/>
        <w:bidi w:val="0"/>
        <w:spacing w:before="0" w:after="0"/>
        <w:ind w:left="0" w:right="0" w:hanging="0"/>
        <w:jc w:val="center"/>
        <w:rPr>
          <w:rFonts w:ascii="Arial;Helvetica;sans-serif" w:hAnsi="Arial;Helvetica;sans-serif"/>
          <w:b/>
          <w:i/>
          <w:sz w:val="20"/>
        </w:rPr>
      </w:pPr>
      <w:r>
        <w:rPr>
          <w:rFonts w:ascii="Arial;Helvetica;sans-serif" w:hAnsi="Arial;Helvetica;sans-serif"/>
          <w:b/>
          <w:i/>
          <w:sz w:val="20"/>
        </w:rPr>
        <w:t>(IN THOUSANDS)</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208" w:name="Tc_dQQMGuxqY0GUYEVeFp-nHQ_20_16"/>
      <w:bookmarkStart w:id="209" w:name="Tc_1pTSBw6IW0-W4GZm3pAkVA_20_13"/>
      <w:bookmarkStart w:id="210" w:name="Tc_9iUnVrWGR0KDRShFvzZlvA_20_10"/>
      <w:bookmarkStart w:id="211" w:name="Tc_XVJSBHxgekKrf7P1rG2LLg_20_7"/>
      <w:bookmarkStart w:id="212" w:name="Tc_LoZaXHjLm0O2-ZL6ddn2kg_20_4"/>
      <w:bookmarkStart w:id="213" w:name="Tc_N-kg_xWdYkONxXwxM2K3fw_20_0"/>
      <w:bookmarkStart w:id="214" w:name="Tc_YzUNOk07QE6uK39u5sse3Q_19_11"/>
      <w:bookmarkStart w:id="215" w:name="Tc_yxepIp75XkWRuceaSQxqsg_19_8"/>
      <w:bookmarkStart w:id="216" w:name="Tc_CO478tiqYU-1iYC3iFbxWQ_19_5"/>
      <w:bookmarkStart w:id="217" w:name="Tc_5_Y8-UWvhUW0Od-9uQ8iMQ_19_2"/>
      <w:bookmarkStart w:id="218" w:name="Tc_ngCPZUm7CEidSDoZEVp8IA_19_0"/>
      <w:bookmarkStart w:id="219" w:name="Tc_tCC3VF5i5EKKj9JWL8C8tA_18_14"/>
      <w:bookmarkStart w:id="220" w:name="Tc_K0bO_pRH0UKyMTFOFq4Xug_18_8"/>
      <w:bookmarkStart w:id="221" w:name="Tc_XNUC1yRszkiSIvvAuY33zg_18_5"/>
      <w:bookmarkStart w:id="222" w:name="Tc_JoOB3X-GmUiktiE7TPANMg_18_2"/>
      <w:bookmarkStart w:id="223" w:name="Tc_SfHseSc75k-4ZmBkJItJTw_18_0"/>
      <w:bookmarkStart w:id="224" w:name="Tc_hvFKfyOIeEGjsowHJj7OiQ_17_14"/>
      <w:bookmarkStart w:id="225" w:name="Tc_z0hkx2EGi0GZw18y4otceQ_17_11"/>
      <w:bookmarkStart w:id="226" w:name="Tc_SvMq5tw5ekuu56oswv2xzQ_17_5"/>
      <w:bookmarkStart w:id="227" w:name="Tc_C7bEZWq-_0qPkzuOjH-rBQ_17_2"/>
      <w:bookmarkStart w:id="228" w:name="Tc_t_y6engi-kWNChg8s2PVjg_17_0"/>
      <w:bookmarkStart w:id="229" w:name="Tc_gcObXlbqWUWIGr6i5qiPGw_16_17"/>
      <w:bookmarkStart w:id="230" w:name="Tc_3EVaYJKkaEioa1cjR6ZTxQ_16_14"/>
      <w:bookmarkStart w:id="231" w:name="Tc_KlSQ49TAoEqX1yTvExn5nA_16_11"/>
      <w:bookmarkStart w:id="232" w:name="Tc_b-RvqszJZkmSgaQhq2aJWQ_16_8"/>
      <w:bookmarkStart w:id="233" w:name="Tc_uucQQaUa_UmHhk7LuY5XDw_16_5"/>
      <w:bookmarkStart w:id="234" w:name="Tc_vmbfVnhHK0-P0BKtDwcLEg_16_0"/>
      <w:bookmarkStart w:id="235" w:name="Tc_Xq0mQ8S9eEmXek1J6hIQJw_15_14"/>
      <w:bookmarkStart w:id="236" w:name="Tc_P8sOMV96nkW3LZC2P0oOJQ_15_11"/>
      <w:bookmarkStart w:id="237" w:name="Tc_-0zbZgRZ5UiWyfc5pJ7WGw_15_5"/>
      <w:bookmarkStart w:id="238" w:name="Tc_IPPsqwpQtUuO0QGxVcQKFg_15_0"/>
      <w:bookmarkStart w:id="239" w:name="Tc_k3u4nkocnE-y56Ffzlut-g_14_14"/>
      <w:bookmarkStart w:id="240" w:name="Tc_gfwCb8uEtE6IFnTHrhFXWg_14_11"/>
      <w:bookmarkStart w:id="241" w:name="Tc_bwtaLor9mUiH_TzgMpPbVA_14_5"/>
      <w:bookmarkStart w:id="242" w:name="Tc_BfwyA5Y5H0Wsxp2PEyYn8w_14_0"/>
      <w:bookmarkStart w:id="243" w:name="Tc_ec4IiGg7jEeXRoV2fryV0A_13_0"/>
      <w:bookmarkStart w:id="244" w:name="Tc_ejkWwPxhk0KPXxy7ioUAeQ_12_11"/>
      <w:bookmarkStart w:id="245" w:name="Tc_3-LOIpGw3kGsJSlZ5lflpg_12_8"/>
      <w:bookmarkStart w:id="246" w:name="Tc_GjY2PCEb3U61vvYQiUVjEQ_12_5"/>
      <w:bookmarkStart w:id="247" w:name="Tc_BcZHD3QvE0y595s5GXMD3A_12_2"/>
      <w:bookmarkStart w:id="248" w:name="Tc_tuhi8OzDa0eYdrAwRBOhrA_12_0"/>
      <w:bookmarkStart w:id="249" w:name="Tc_HCt5jv1xtESvvU8vO0Tuag_11_14"/>
      <w:bookmarkStart w:id="250" w:name="Tc_QqHHt5lGM0yfwIXbFtdZEw_11_8"/>
      <w:bookmarkStart w:id="251" w:name="Tc_OMDAWsDhWUGNDWbh1mqiDg_11_5"/>
      <w:bookmarkStart w:id="252" w:name="Tc_OYYhabgzAEusGyQu6-xhgg_11_2"/>
      <w:bookmarkStart w:id="253" w:name="Tc_xGOq3A90a0SQx3u7TKfqxA_11_0"/>
      <w:bookmarkStart w:id="254" w:name="Tc_kB7IFNozdEOKIbsoLqLsHA_10_14"/>
      <w:bookmarkStart w:id="255" w:name="Tc_QA7PIZWb50CcoZCgJgIbXw_10_11"/>
      <w:bookmarkStart w:id="256" w:name="Tc_h5CsfHGFPUaKmvSQoz2dcg_10_5"/>
      <w:bookmarkStart w:id="257" w:name="Tc_4yE8iHDk9EKzpWs_YGEH7w_10_2"/>
      <w:bookmarkStart w:id="258" w:name="Tc_0kx24lu7a02TrEFmH3Mttg_10_0"/>
      <w:bookmarkStart w:id="259" w:name="Tc_y-m4IpraAkm_s2U_yhLH_w_9_14"/>
      <w:bookmarkStart w:id="260" w:name="Tc_iPh11upFjEWOkdIHH4fUEg_9_11"/>
      <w:bookmarkStart w:id="261" w:name="Tc_uAkTrbuw-EeuWMn_ZV-VJg_9_5"/>
      <w:bookmarkStart w:id="262" w:name="Tc_F8CD4tDu_0WtqtYZmVPTLg_9_0"/>
      <w:bookmarkStart w:id="263" w:name="Tc_8l2NH1ggkEm6eaaomuBklA_8_17"/>
      <w:bookmarkStart w:id="264" w:name="Tc_TEAM1M1utE6nCrndt71lVg_8_14"/>
      <w:bookmarkStart w:id="265" w:name="Tc_LgnC8HHga0iY-qmC8Oo-2g_8_11"/>
      <w:bookmarkStart w:id="266" w:name="Tc_xxkVniuuaEmSFqh9yQr3tQ_8_8"/>
      <w:bookmarkStart w:id="267" w:name="Tc_LAEcNqgRMkCDEN3ZFza8RA_8_5"/>
      <w:bookmarkStart w:id="268" w:name="Tc_Y2HDNN8UskuY0MzjTQ-NGQ_8_0"/>
      <w:bookmarkStart w:id="269" w:name="Tc_XFYfM5fOhEa8C1eAIXAcng_7_14"/>
      <w:bookmarkStart w:id="270" w:name="Tc_qmu4WOXbu0iS8H3hJ1eSng_7_11"/>
      <w:bookmarkStart w:id="271" w:name="Tc_1TtZ07tYIkCqpCz5ygYELQ_7_5"/>
      <w:bookmarkStart w:id="272" w:name="Tc_wlwFdnFJPk6A7gXzy1FMKg_7_0"/>
      <w:bookmarkStart w:id="273" w:name="Tc_e3VqcAS_tUSLmgsuTkictA_6_16"/>
      <w:bookmarkStart w:id="274" w:name="Tc_tWCzyx7Z6k-TZj4Fu-eE9w_6_13"/>
      <w:bookmarkStart w:id="275" w:name="Tc_BFQbacok2U-cUGXnaUF0yA_6_10"/>
      <w:bookmarkStart w:id="276" w:name="Tc_7QwpR1swtk6yuLGfm3C4cw_6_7"/>
      <w:bookmarkStart w:id="277" w:name="Tc_DaPdgO6s_E-QUhv-vJalrA_6_4"/>
      <w:bookmarkStart w:id="278" w:name="Tc_nn8zt2Z4N0C5J6hq8FuU-w_6_0"/>
      <w:bookmarkStart w:id="279" w:name="Tc_A7Dfimiv7kqdw_tDZfGpZQ_5_16"/>
      <w:bookmarkStart w:id="280" w:name="Tc_eAkyXSFjgEyEdF2i4Fji-w_5_13"/>
      <w:bookmarkStart w:id="281" w:name="Tc_auikL0c6JkuaI0ctQz91DA_5_10"/>
      <w:bookmarkStart w:id="282" w:name="Tc_lInOp1vFE028NWQ8wmvh4w_5_7"/>
      <w:bookmarkStart w:id="283" w:name="Tc_ef-sMXCEX0m9nZMwpxd9wQ_5_4"/>
      <w:bookmarkStart w:id="284" w:name="Tc_B4HZKUwTwUOfVmR2FyItsw_5_2"/>
      <w:bookmarkStart w:id="285" w:name="Tc_XYGkxPSDgUCz8zKm93NZpQ_4_16"/>
      <w:bookmarkStart w:id="286" w:name="Tc_ep3c98qov0iyk9yZGDq3lw_4_13"/>
      <w:bookmarkStart w:id="287" w:name="Tc_xpol6d9REkC-T8WNnwCZVA_4_10"/>
      <w:bookmarkStart w:id="288" w:name="Tc_RmjcYlV6a0mXQdbBg1_Ljw_4_7"/>
      <w:bookmarkStart w:id="289" w:name="Tc_lvQKZU7j7UmaX6xos3877Q_4_2"/>
      <w:bookmarkStart w:id="290" w:name="Tc_Skh6YixwpEq0XpOWfWjlBw_3_16"/>
      <w:bookmarkStart w:id="291" w:name="Tc_iqFl4RTJj0WxpolFKsoOzQ_3_10"/>
      <w:bookmarkStart w:id="292" w:name="Tc_Kyn19s8SHEKKd2I6rtZV9A_3_7"/>
      <w:bookmarkStart w:id="293" w:name="Tc_R8U985cxHU6y-FIYUL5mgA_3_2"/>
      <w:bookmarkStart w:id="294" w:name="Tc_1Tud56Xqw0WORAo8Jug3mg_2_10"/>
      <w:bookmarkStart w:id="295" w:name="_bcfefa1a_2455_4133_b482_f15c0d0ebc3d"/>
      <w:bookmarkStart w:id="296" w:name="Tc_dQQMGuxqY0GUYEVeFp-nHQ_20_16"/>
      <w:bookmarkStart w:id="297" w:name="Tc_1pTSBw6IW0-W4GZm3pAkVA_20_13"/>
      <w:bookmarkStart w:id="298" w:name="Tc_9iUnVrWGR0KDRShFvzZlvA_20_10"/>
      <w:bookmarkStart w:id="299" w:name="Tc_XVJSBHxgekKrf7P1rG2LLg_20_7"/>
      <w:bookmarkStart w:id="300" w:name="Tc_LoZaXHjLm0O2-ZL6ddn2kg_20_4"/>
      <w:bookmarkStart w:id="301" w:name="Tc_N-kg_xWdYkONxXwxM2K3fw_20_0"/>
      <w:bookmarkStart w:id="302" w:name="Tc_YzUNOk07QE6uK39u5sse3Q_19_11"/>
      <w:bookmarkStart w:id="303" w:name="Tc_yxepIp75XkWRuceaSQxqsg_19_8"/>
      <w:bookmarkStart w:id="304" w:name="Tc_CO478tiqYU-1iYC3iFbxWQ_19_5"/>
      <w:bookmarkStart w:id="305" w:name="Tc_5_Y8-UWvhUW0Od-9uQ8iMQ_19_2"/>
      <w:bookmarkStart w:id="306" w:name="Tc_ngCPZUm7CEidSDoZEVp8IA_19_0"/>
      <w:bookmarkStart w:id="307" w:name="Tc_tCC3VF5i5EKKj9JWL8C8tA_18_14"/>
      <w:bookmarkStart w:id="308" w:name="Tc_K0bO_pRH0UKyMTFOFq4Xug_18_8"/>
      <w:bookmarkStart w:id="309" w:name="Tc_XNUC1yRszkiSIvvAuY33zg_18_5"/>
      <w:bookmarkStart w:id="310" w:name="Tc_JoOB3X-GmUiktiE7TPANMg_18_2"/>
      <w:bookmarkStart w:id="311" w:name="Tc_SfHseSc75k-4ZmBkJItJTw_18_0"/>
      <w:bookmarkStart w:id="312" w:name="Tc_hvFKfyOIeEGjsowHJj7OiQ_17_14"/>
      <w:bookmarkStart w:id="313" w:name="Tc_z0hkx2EGi0GZw18y4otceQ_17_11"/>
      <w:bookmarkStart w:id="314" w:name="Tc_SvMq5tw5ekuu56oswv2xzQ_17_5"/>
      <w:bookmarkStart w:id="315" w:name="Tc_C7bEZWq-_0qPkzuOjH-rBQ_17_2"/>
      <w:bookmarkStart w:id="316" w:name="Tc_t_y6engi-kWNChg8s2PVjg_17_0"/>
      <w:bookmarkStart w:id="317" w:name="Tc_gcObXlbqWUWIGr6i5qiPGw_16_17"/>
      <w:bookmarkStart w:id="318" w:name="Tc_3EVaYJKkaEioa1cjR6ZTxQ_16_14"/>
      <w:bookmarkStart w:id="319" w:name="Tc_KlSQ49TAoEqX1yTvExn5nA_16_11"/>
      <w:bookmarkStart w:id="320" w:name="Tc_b-RvqszJZkmSgaQhq2aJWQ_16_8"/>
      <w:bookmarkStart w:id="321" w:name="Tc_uucQQaUa_UmHhk7LuY5XDw_16_5"/>
      <w:bookmarkStart w:id="322" w:name="Tc_vmbfVnhHK0-P0BKtDwcLEg_16_0"/>
      <w:bookmarkStart w:id="323" w:name="Tc_Xq0mQ8S9eEmXek1J6hIQJw_15_14"/>
      <w:bookmarkStart w:id="324" w:name="Tc_P8sOMV96nkW3LZC2P0oOJQ_15_11"/>
      <w:bookmarkStart w:id="325" w:name="Tc_-0zbZgRZ5UiWyfc5pJ7WGw_15_5"/>
      <w:bookmarkStart w:id="326" w:name="Tc_IPPsqwpQtUuO0QGxVcQKFg_15_0"/>
      <w:bookmarkStart w:id="327" w:name="Tc_k3u4nkocnE-y56Ffzlut-g_14_14"/>
      <w:bookmarkStart w:id="328" w:name="Tc_gfwCb8uEtE6IFnTHrhFXWg_14_11"/>
      <w:bookmarkStart w:id="329" w:name="Tc_bwtaLor9mUiH_TzgMpPbVA_14_5"/>
      <w:bookmarkStart w:id="330" w:name="Tc_BfwyA5Y5H0Wsxp2PEyYn8w_14_0"/>
      <w:bookmarkStart w:id="331" w:name="Tc_ec4IiGg7jEeXRoV2fryV0A_13_0"/>
      <w:bookmarkStart w:id="332" w:name="Tc_ejkWwPxhk0KPXxy7ioUAeQ_12_11"/>
      <w:bookmarkStart w:id="333" w:name="Tc_3-LOIpGw3kGsJSlZ5lflpg_12_8"/>
      <w:bookmarkStart w:id="334" w:name="Tc_GjY2PCEb3U61vvYQiUVjEQ_12_5"/>
      <w:bookmarkStart w:id="335" w:name="Tc_BcZHD3QvE0y595s5GXMD3A_12_2"/>
      <w:bookmarkStart w:id="336" w:name="Tc_tuhi8OzDa0eYdrAwRBOhrA_12_0"/>
      <w:bookmarkStart w:id="337" w:name="Tc_HCt5jv1xtESvvU8vO0Tuag_11_14"/>
      <w:bookmarkStart w:id="338" w:name="Tc_QqHHt5lGM0yfwIXbFtdZEw_11_8"/>
      <w:bookmarkStart w:id="339" w:name="Tc_OMDAWsDhWUGNDWbh1mqiDg_11_5"/>
      <w:bookmarkStart w:id="340" w:name="Tc_OYYhabgzAEusGyQu6-xhgg_11_2"/>
      <w:bookmarkStart w:id="341" w:name="Tc_xGOq3A90a0SQx3u7TKfqxA_11_0"/>
      <w:bookmarkStart w:id="342" w:name="Tc_kB7IFNozdEOKIbsoLqLsHA_10_14"/>
      <w:bookmarkStart w:id="343" w:name="Tc_QA7PIZWb50CcoZCgJgIbXw_10_11"/>
      <w:bookmarkStart w:id="344" w:name="Tc_h5CsfHGFPUaKmvSQoz2dcg_10_5"/>
      <w:bookmarkStart w:id="345" w:name="Tc_4yE8iHDk9EKzpWs_YGEH7w_10_2"/>
      <w:bookmarkStart w:id="346" w:name="Tc_0kx24lu7a02TrEFmH3Mttg_10_0"/>
      <w:bookmarkStart w:id="347" w:name="Tc_y-m4IpraAkm_s2U_yhLH_w_9_14"/>
      <w:bookmarkStart w:id="348" w:name="Tc_iPh11upFjEWOkdIHH4fUEg_9_11"/>
      <w:bookmarkStart w:id="349" w:name="Tc_uAkTrbuw-EeuWMn_ZV-VJg_9_5"/>
      <w:bookmarkStart w:id="350" w:name="Tc_F8CD4tDu_0WtqtYZmVPTLg_9_0"/>
      <w:bookmarkStart w:id="351" w:name="Tc_8l2NH1ggkEm6eaaomuBklA_8_17"/>
      <w:bookmarkStart w:id="352" w:name="Tc_TEAM1M1utE6nCrndt71lVg_8_14"/>
      <w:bookmarkStart w:id="353" w:name="Tc_LgnC8HHga0iY-qmC8Oo-2g_8_11"/>
      <w:bookmarkStart w:id="354" w:name="Tc_xxkVniuuaEmSFqh9yQr3tQ_8_8"/>
      <w:bookmarkStart w:id="355" w:name="Tc_LAEcNqgRMkCDEN3ZFza8RA_8_5"/>
      <w:bookmarkStart w:id="356" w:name="Tc_Y2HDNN8UskuY0MzjTQ-NGQ_8_0"/>
      <w:bookmarkStart w:id="357" w:name="Tc_XFYfM5fOhEa8C1eAIXAcng_7_14"/>
      <w:bookmarkStart w:id="358" w:name="Tc_qmu4WOXbu0iS8H3hJ1eSng_7_11"/>
      <w:bookmarkStart w:id="359" w:name="Tc_1TtZ07tYIkCqpCz5ygYELQ_7_5"/>
      <w:bookmarkStart w:id="360" w:name="Tc_wlwFdnFJPk6A7gXzy1FMKg_7_0"/>
      <w:bookmarkStart w:id="361" w:name="Tc_e3VqcAS_tUSLmgsuTkictA_6_16"/>
      <w:bookmarkStart w:id="362" w:name="Tc_tWCzyx7Z6k-TZj4Fu-eE9w_6_13"/>
      <w:bookmarkStart w:id="363" w:name="Tc_BFQbacok2U-cUGXnaUF0yA_6_10"/>
      <w:bookmarkStart w:id="364" w:name="Tc_7QwpR1swtk6yuLGfm3C4cw_6_7"/>
      <w:bookmarkStart w:id="365" w:name="Tc_DaPdgO6s_E-QUhv-vJalrA_6_4"/>
      <w:bookmarkStart w:id="366" w:name="Tc_nn8zt2Z4N0C5J6hq8FuU-w_6_0"/>
      <w:bookmarkStart w:id="367" w:name="Tc_A7Dfimiv7kqdw_tDZfGpZQ_5_16"/>
      <w:bookmarkStart w:id="368" w:name="Tc_eAkyXSFjgEyEdF2i4Fji-w_5_13"/>
      <w:bookmarkStart w:id="369" w:name="Tc_auikL0c6JkuaI0ctQz91DA_5_10"/>
      <w:bookmarkStart w:id="370" w:name="Tc_lInOp1vFE028NWQ8wmvh4w_5_7"/>
      <w:bookmarkStart w:id="371" w:name="Tc_ef-sMXCEX0m9nZMwpxd9wQ_5_4"/>
      <w:bookmarkStart w:id="372" w:name="Tc_B4HZKUwTwUOfVmR2FyItsw_5_2"/>
      <w:bookmarkStart w:id="373" w:name="Tc_XYGkxPSDgUCz8zKm93NZpQ_4_16"/>
      <w:bookmarkStart w:id="374" w:name="Tc_ep3c98qov0iyk9yZGDq3lw_4_13"/>
      <w:bookmarkStart w:id="375" w:name="Tc_xpol6d9REkC-T8WNnwCZVA_4_10"/>
      <w:bookmarkStart w:id="376" w:name="Tc_RmjcYlV6a0mXQdbBg1_Ljw_4_7"/>
      <w:bookmarkStart w:id="377" w:name="Tc_lvQKZU7j7UmaX6xos3877Q_4_2"/>
      <w:bookmarkStart w:id="378" w:name="Tc_Skh6YixwpEq0XpOWfWjlBw_3_16"/>
      <w:bookmarkStart w:id="379" w:name="Tc_iqFl4RTJj0WxpolFKsoOzQ_3_10"/>
      <w:bookmarkStart w:id="380" w:name="Tc_Kyn19s8SHEKKd2I6rtZV9A_3_7"/>
      <w:bookmarkStart w:id="381" w:name="Tc_R8U985cxHU6y-FIYUL5mgA_3_2"/>
      <w:bookmarkStart w:id="382" w:name="Tc_1Tud56Xqw0WORAo8Jug3mg_2_10"/>
      <w:bookmarkStart w:id="383" w:name="_bcfefa1a_2455_4133_b482_f15c0d0ebc3d"/>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tbl>
      <w:tblPr>
        <w:tblW w:w="10205" w:type="dxa"/>
        <w:jc w:val="left"/>
        <w:tblInd w:w="0" w:type="dxa"/>
        <w:tblLayout w:type="fixed"/>
        <w:tblCellMar>
          <w:top w:w="0" w:type="dxa"/>
          <w:left w:w="0" w:type="dxa"/>
          <w:bottom w:w="0" w:type="dxa"/>
          <w:right w:w="0" w:type="dxa"/>
        </w:tblCellMar>
      </w:tblPr>
      <w:tblGrid>
        <w:gridCol w:w="3663"/>
        <w:gridCol w:w="226"/>
        <w:gridCol w:w="601"/>
        <w:gridCol w:w="226"/>
        <w:gridCol w:w="226"/>
        <w:gridCol w:w="346"/>
        <w:gridCol w:w="226"/>
        <w:gridCol w:w="226"/>
        <w:gridCol w:w="721"/>
        <w:gridCol w:w="226"/>
        <w:gridCol w:w="284"/>
        <w:gridCol w:w="787"/>
        <w:gridCol w:w="226"/>
        <w:gridCol w:w="231"/>
        <w:gridCol w:w="705"/>
        <w:gridCol w:w="226"/>
        <w:gridCol w:w="201"/>
        <w:gridCol w:w="858"/>
      </w:tblGrid>
      <w:tr>
        <w:trPr/>
        <w:tc>
          <w:tcPr>
            <w:tcW w:w="3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326005" cy="175260"/>
                      <wp:effectExtent l="0" t="0" r="0" b="0"/>
                      <wp:wrapNone/>
                      <wp:docPr id="32" name="Frame32"/>
                      <a:graphic xmlns:a="http://schemas.openxmlformats.org/drawingml/2006/main">
                        <a:graphicData uri="http://schemas.microsoft.com/office/word/2010/wordprocessingShape">
                          <wps:wsp>
                            <wps:cNvSpPr txBox="1"/>
                            <wps:spPr>
                              <a:xfrm>
                                <a:off x="0" y="0"/>
                                <a:ext cx="2326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3510" cy="175260"/>
                      <wp:effectExtent l="0" t="0" r="0" b="0"/>
                      <wp:wrapNone/>
                      <wp:docPr id="33" name="Frame3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81635" cy="175260"/>
                      <wp:effectExtent l="0" t="0" r="0" b="0"/>
                      <wp:wrapNone/>
                      <wp:docPr id="34" name="Frame3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3510" cy="175260"/>
                      <wp:effectExtent l="0" t="0" r="0" b="0"/>
                      <wp:wrapNone/>
                      <wp:docPr id="35" name="Frame3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3510" cy="175260"/>
                      <wp:effectExtent l="0" t="0" r="0" b="0"/>
                      <wp:wrapNone/>
                      <wp:docPr id="36" name="Frame3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3510" cy="175260"/>
                      <wp:effectExtent l="0" t="0" r="0" b="0"/>
                      <wp:wrapNone/>
                      <wp:docPr id="38" name="Frame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3510" cy="175260"/>
                      <wp:effectExtent l="0" t="0" r="0" b="0"/>
                      <wp:wrapNone/>
                      <wp:docPr id="39" name="Frame3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57835" cy="175260"/>
                      <wp:effectExtent l="0" t="0" r="0" b="0"/>
                      <wp:wrapNone/>
                      <wp:docPr id="40" name="Frame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41" name="Frame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0340" cy="175260"/>
                      <wp:effectExtent l="0" t="0" r="0" b="0"/>
                      <wp:wrapNone/>
                      <wp:docPr id="42" name="Frame4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9745" cy="175260"/>
                      <wp:effectExtent l="0" t="0" r="0" b="0"/>
                      <wp:wrapNone/>
                      <wp:docPr id="43" name="Frame4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44" name="Frame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46685" cy="175260"/>
                      <wp:effectExtent l="0" t="0" r="0" b="0"/>
                      <wp:wrapNone/>
                      <wp:docPr id="45" name="Frame4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47675" cy="175260"/>
                      <wp:effectExtent l="0" t="0" r="0" b="0"/>
                      <wp:wrapNone/>
                      <wp:docPr id="46" name="Frame46"/>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3510" cy="175260"/>
                      <wp:effectExtent l="0" t="0" r="0" b="0"/>
                      <wp:wrapNone/>
                      <wp:docPr id="47" name="Frame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7635" cy="175260"/>
                      <wp:effectExtent l="0" t="0" r="0" b="0"/>
                      <wp:wrapNone/>
                      <wp:docPr id="48" name="Frame48"/>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44830" cy="175260"/>
                      <wp:effectExtent l="0" t="0" r="0" b="0"/>
                      <wp:wrapNone/>
                      <wp:docPr id="49" name="Frame49"/>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2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8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8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3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0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0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58"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70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01" w:type="dxa"/>
            <w:tcBorders/>
            <w:vAlign w:val="center"/>
          </w:tcPr>
          <w:p>
            <w:pPr>
              <w:pStyle w:val="TableContents"/>
              <w:bidi w:val="0"/>
              <w:spacing w:before="0" w:after="0"/>
              <w:ind w:left="0" w:right="0" w:hanging="0"/>
              <w:jc w:val="center"/>
              <w:rPr/>
            </w:pPr>
            <w:r>
              <w:rPr/>
              <w:t>​</w:t>
            </w:r>
          </w:p>
        </w:tc>
        <w:tc>
          <w:tcPr>
            <w:tcW w:w="858" w:type="dxa"/>
            <w:tcBorders/>
            <w:vAlign w:val="center"/>
          </w:tcPr>
          <w:p>
            <w:pPr>
              <w:pStyle w:val="TableContents"/>
              <w:bidi w:val="0"/>
              <w:spacing w:before="0" w:after="0"/>
              <w:ind w:left="0" w:right="0" w:hanging="0"/>
              <w:jc w:val="center"/>
              <w:rPr/>
            </w:pPr>
            <w:r>
              <w:rPr/>
              <w:t>​</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399" w:type="dxa"/>
            <w:gridSpan w:val="4"/>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ORDINARY </w:t>
            </w:r>
          </w:p>
        </w:tc>
        <w:tc>
          <w:tcPr>
            <w:tcW w:w="2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ADDITIONAL</w:t>
            </w:r>
          </w:p>
        </w:tc>
        <w:tc>
          <w:tcPr>
            <w:tcW w:w="2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OTHER</w:t>
            </w:r>
          </w:p>
        </w:tc>
        <w:tc>
          <w:tcPr>
            <w:tcW w:w="2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70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59"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TOTAL</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3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PAID-IN</w:t>
            </w:r>
          </w:p>
        </w:tc>
        <w:tc>
          <w:tcPr>
            <w:tcW w:w="2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COMPREHENSIVE </w:t>
            </w:r>
          </w:p>
        </w:tc>
        <w:tc>
          <w:tcPr>
            <w:tcW w:w="226" w:type="dxa"/>
            <w:tcBorders/>
            <w:vAlign w:val="center"/>
          </w:tcPr>
          <w:p>
            <w:pPr>
              <w:pStyle w:val="TableContents"/>
              <w:bidi w:val="0"/>
              <w:spacing w:before="0" w:after="0"/>
              <w:ind w:left="0" w:right="0" w:hanging="0"/>
              <w:jc w:val="center"/>
              <w:rPr/>
            </w:pPr>
            <w:r>
              <w:rPr/>
              <w:t>​</w:t>
            </w:r>
          </w:p>
        </w:tc>
        <w:tc>
          <w:tcPr>
            <w:tcW w:w="936"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26" w:type="dxa"/>
            <w:tcBorders/>
            <w:vAlign w:val="center"/>
          </w:tcPr>
          <w:p>
            <w:pPr>
              <w:pStyle w:val="TableContents"/>
              <w:bidi w:val="0"/>
              <w:spacing w:before="0" w:after="0"/>
              <w:ind w:left="0" w:right="0" w:hanging="0"/>
              <w:jc w:val="center"/>
              <w:rPr/>
            </w:pPr>
            <w:r>
              <w:rPr/>
              <w:t>​</w:t>
            </w:r>
          </w:p>
        </w:tc>
        <w:tc>
          <w:tcPr>
            <w:tcW w:w="1059"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SHAREHOLDERS’</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26" w:type="dxa"/>
            <w:tcBorders/>
            <w:vAlign w:val="center"/>
          </w:tcPr>
          <w:p>
            <w:pPr>
              <w:pStyle w:val="TableContents"/>
              <w:bidi w:val="0"/>
              <w:spacing w:before="0" w:after="0"/>
              <w:ind w:left="0" w:right="0" w:hanging="0"/>
              <w:jc w:val="left"/>
              <w:rPr/>
            </w:pPr>
            <w:r>
              <w:rPr/>
              <w:t>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CAPITAL</w:t>
            </w:r>
          </w:p>
        </w:tc>
        <w:tc>
          <w:tcPr>
            <w:tcW w:w="226" w:type="dxa"/>
            <w:tcBorders/>
            <w:vAlign w:val="center"/>
          </w:tcPr>
          <w:p>
            <w:pPr>
              <w:pStyle w:val="TableContents"/>
              <w:bidi w:val="0"/>
              <w:spacing w:before="0" w:after="0"/>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INCOME (LOSS)</w:t>
            </w:r>
          </w:p>
        </w:tc>
        <w:tc>
          <w:tcPr>
            <w:tcW w:w="2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DEFICIT</w:t>
            </w:r>
          </w:p>
        </w:tc>
        <w:tc>
          <w:tcPr>
            <w:tcW w:w="226" w:type="dxa"/>
            <w:tcBorders/>
            <w:vAlign w:val="center"/>
          </w:tcPr>
          <w:p>
            <w:pPr>
              <w:pStyle w:val="TableContents"/>
              <w:bidi w:val="0"/>
              <w:spacing w:before="0" w:after="0"/>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EQUITY</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December 31, 2025</w:t>
            </w:r>
          </w:p>
        </w:tc>
        <w:tc>
          <w:tcPr>
            <w:tcW w:w="22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212,513</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1,985,602</w:t>
            </w:r>
          </w:p>
        </w:tc>
        <w:tc>
          <w:tcPr>
            <w:tcW w:w="226"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8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1,054</w:t>
            </w:r>
          </w:p>
        </w:tc>
        <w:tc>
          <w:tcPr>
            <w:tcW w:w="226" w:type="dxa"/>
            <w:tcBorders/>
            <w:shd w:fill="CCEEFF" w:val="clear"/>
            <w:vAlign w:val="center"/>
          </w:tcPr>
          <w:p>
            <w:pPr>
              <w:pStyle w:val="TableContents"/>
              <w:bidi w:val="0"/>
              <w:spacing w:before="0" w:after="0"/>
              <w:ind w:left="0" w:right="0" w:hanging="0"/>
              <w:jc w:val="center"/>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(470,300)</w:t>
            </w:r>
          </w:p>
        </w:tc>
        <w:tc>
          <w:tcPr>
            <w:tcW w:w="226" w:type="dxa"/>
            <w:tcBorders/>
            <w:shd w:fill="CCEEFF" w:val="clear"/>
            <w:vAlign w:val="center"/>
          </w:tcPr>
          <w:p>
            <w:pPr>
              <w:pStyle w:val="TableContents"/>
              <w:bidi w:val="0"/>
              <w:spacing w:before="0" w:after="0"/>
              <w:ind w:left="0" w:right="0" w:hanging="0"/>
              <w:jc w:val="center"/>
              <w:rPr/>
            </w:pPr>
            <w:r>
              <w:rPr/>
              <w:t>​</w:t>
            </w:r>
          </w:p>
        </w:tc>
        <w:tc>
          <w:tcPr>
            <w:tcW w:w="20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1,516,377</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231</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869</w:t>
            </w:r>
          </w:p>
        </w:tc>
        <w:tc>
          <w:tcPr>
            <w:tcW w:w="2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869</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vesting of restricted share units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586</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Shares withheld for taxes</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(122)</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(2,574)</w:t>
            </w:r>
          </w:p>
        </w:tc>
        <w:tc>
          <w:tcPr>
            <w:tcW w:w="2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(2,574)</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11,639</w:t>
            </w:r>
          </w:p>
        </w:tc>
        <w:tc>
          <w:tcPr>
            <w:tcW w:w="2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11,639</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(3,249)</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(3,249)</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(75,968)</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(75,968)</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March 31, 2026</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213,208</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1,995,536</w:t>
            </w:r>
          </w:p>
        </w:tc>
        <w:tc>
          <w:tcPr>
            <w:tcW w:w="2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(2,195)</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(546,268)</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1,447,094</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280</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1,213</w:t>
            </w:r>
          </w:p>
        </w:tc>
        <w:tc>
          <w:tcPr>
            <w:tcW w:w="226"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center"/>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1,213</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pursuant to employee share purchase plan</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872</w:t>
            </w:r>
          </w:p>
        </w:tc>
        <w:tc>
          <w:tcPr>
            <w:tcW w:w="226"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center"/>
              <w:rPr/>
            </w:pPr>
            <w:r>
              <w:rPr/>
              <w:t>​</w:t>
            </w:r>
          </w:p>
        </w:tc>
        <w:tc>
          <w:tcPr>
            <w:tcW w:w="20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872</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vesting of restricted share units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pPr>
            <w:r>
              <w:rPr/>
              <w:t>—</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12,634</w:t>
            </w:r>
          </w:p>
        </w:tc>
        <w:tc>
          <w:tcPr>
            <w:tcW w:w="2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12,634</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(1,250)</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85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(1,250)</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(106,159)</w:t>
            </w:r>
          </w:p>
        </w:tc>
        <w:tc>
          <w:tcPr>
            <w:tcW w:w="22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(106,159)</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June 30, 2026</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213,655</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2,010,255</w:t>
            </w:r>
          </w:p>
        </w:tc>
        <w:tc>
          <w:tcPr>
            <w:tcW w:w="2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(3,445)</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(652,427)</w:t>
            </w:r>
          </w:p>
        </w:tc>
        <w:tc>
          <w:tcPr>
            <w:tcW w:w="2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1,354,404</w:t>
            </w:r>
          </w:p>
        </w:tc>
      </w:tr>
      <w:tr>
        <w:trPr/>
        <w:tc>
          <w:tcPr>
            <w:tcW w:w="3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color w:val="008000"/>
              </w:rPr>
            </w:pPr>
            <w:r>
              <w:rPr>
                <w:color w:val="00800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color w:val="008000"/>
              </w:rPr>
            </w:pPr>
            <w:r>
              <w:rPr>
                <w:color w:val="00800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color w:val="008000"/>
              </w:rPr>
            </w:pPr>
            <w:r>
              <w:rPr>
                <w:color w:val="00800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color w:val="008000"/>
              </w:rPr>
            </w:pPr>
            <w:r>
              <w:rPr>
                <w:color w:val="00800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center"/>
              <w:rPr>
                <w:color w:val="008000"/>
              </w:rPr>
            </w:pPr>
            <w:r>
              <w:rPr>
                <w:color w:val="008000"/>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tcMar>
              <w:bottom w:w="28" w:type="dxa"/>
            </w:tcMar>
            <w:vAlign w:val="center"/>
          </w:tcPr>
          <w:p>
            <w:pPr>
              <w:pStyle w:val="TableContents"/>
              <w:bidi w:val="0"/>
              <w:spacing w:before="0" w:after="0"/>
              <w:ind w:left="0" w:right="0" w:hanging="0"/>
              <w:jc w:val="center"/>
              <w:rPr>
                <w:color w:val="008000"/>
              </w:rPr>
            </w:pPr>
            <w:r>
              <w:rPr>
                <w:color w:val="00800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4" w:name="Tc_pnGYdgHP9UeF77FpHr1Kew_20_16"/>
      <w:bookmarkStart w:id="385" w:name="Tc_yRnoXlXRykGXcaR_zX6_4Q_20_13"/>
      <w:bookmarkStart w:id="386" w:name="Tc_A_2x4BfE7U2SOY5UPsG2Eg_20_10"/>
      <w:bookmarkStart w:id="387" w:name="Tc_IZ2G7zGhYkq6TAVyuZUQHw_20_7"/>
      <w:bookmarkStart w:id="388" w:name="Tc_YkUVlLPrbkaLR3gQgpk7tw_20_4"/>
      <w:bookmarkStart w:id="389" w:name="Tc_A3nRydZ0qkS0q5HEAg-2BQ_20_0"/>
      <w:bookmarkStart w:id="390" w:name="Tc_4k6ktPmXBEaNSRsSGOWg4A_19_11"/>
      <w:bookmarkStart w:id="391" w:name="Tc_JlQZE1qFCUaPoZmBebz4kA_19_8"/>
      <w:bookmarkStart w:id="392" w:name="Tc_FWylOyOCTkGc6Kh2dDZXHQ_19_5"/>
      <w:bookmarkStart w:id="393" w:name="Tc_y52iZZhRLUmzDZhI7-vDrA_19_2"/>
      <w:bookmarkStart w:id="394" w:name="Tc_PCHEnvEROUuSUYiKcH3yQw_19_0"/>
      <w:bookmarkStart w:id="395" w:name="Tc_lRB2Q-UQRkC1HaqbQ2CW2A_18_14"/>
      <w:bookmarkStart w:id="396" w:name="Tc_v3KXQHgeTESjV3KYbAHs6w_18_8"/>
      <w:bookmarkStart w:id="397" w:name="Tc_DndEC3C1EkGIRG1YeqZZlQ_18_5"/>
      <w:bookmarkStart w:id="398" w:name="Tc_rjOSxO9b7EWQ54gLyr31DA_18_2"/>
      <w:bookmarkStart w:id="399" w:name="Tc_CAkWNsYk80ua55v1yoMCIQ_18_0"/>
      <w:bookmarkStart w:id="400" w:name="Tc_P-A3ajkEhUiSBh1CNrTLJQ_17_14"/>
      <w:bookmarkStart w:id="401" w:name="Tc_EfvDTjj-AkaMu3NHcwe51g_17_11"/>
      <w:bookmarkStart w:id="402" w:name="Tc_3rucUPkBCkGjPogZk40-ug_17_5"/>
      <w:bookmarkStart w:id="403" w:name="Tc_53jIhe8MKk-yeDkAL9WkYA_17_2"/>
      <w:bookmarkStart w:id="404" w:name="Tc_kB6TXGrxJEyEh-LOJuiIyw_17_0"/>
      <w:bookmarkStart w:id="405" w:name="Tc_My5NiJYNSUmnRON8H9LctQ_16_14"/>
      <w:bookmarkStart w:id="406" w:name="Tc_EdivSKKA5UKZn4ioeJKhRw_16_11"/>
      <w:bookmarkStart w:id="407" w:name="Tc_XC_dh3AidECUC02wJMNAJA_16_5"/>
      <w:bookmarkStart w:id="408" w:name="Tc__JypeIzh5ki3puiXvCyYVg_16_2"/>
      <w:bookmarkStart w:id="409" w:name="Tc_k35P_jZUhUmOrIK-wmzAcg_16_0"/>
      <w:bookmarkStart w:id="410" w:name="Tc_9I5xv6CXBUa-yEgNPsW75w_15_14"/>
      <w:bookmarkStart w:id="411" w:name="Tc_aVhLdpjAHUimG5a_FVmSxQ_15_11"/>
      <w:bookmarkStart w:id="412" w:name="Tc_I-nO8Hho50WDyL_NpfooSA_15_5"/>
      <w:bookmarkStart w:id="413" w:name="Tc_qi3fGaHm9kiR1cmF7rCyOg_15_0"/>
      <w:bookmarkStart w:id="414" w:name="Tc_HGg-vggXPUCV2fsVSDQ56w_14_14"/>
      <w:bookmarkStart w:id="415" w:name="Tc_-ETk-venNkC-4LECKoSXJQ_14_11"/>
      <w:bookmarkStart w:id="416" w:name="Tc_WKiSDhNKSEatH4RS2XGQwg_14_5"/>
      <w:bookmarkStart w:id="417" w:name="Tc_w84bUfp8bkqqpkiDLSIKPQ_14_0"/>
      <w:bookmarkStart w:id="418" w:name="Tc_aJSYFbSyk0SNoTgNA_DA6g_13_0"/>
      <w:bookmarkStart w:id="419" w:name="Tc_6T48xtEmtku_i4fkyknmVg_12_11"/>
      <w:bookmarkStart w:id="420" w:name="Tc_8en_tYg-6UuSmsyZB7DuCA_12_8"/>
      <w:bookmarkStart w:id="421" w:name="Tc_1MNHe0hWuE-qCw-_tMnPqA_12_5"/>
      <w:bookmarkStart w:id="422" w:name="Tc_AOW5-RIfsUK1xl8zI9uauQ_12_2"/>
      <w:bookmarkStart w:id="423" w:name="Tc_31pQ5RLcAkmLm9Dh6R3fQw_12_0"/>
      <w:bookmarkStart w:id="424" w:name="Tc_L5vCGUEo0EqfHXcDrwACrg_11_14"/>
      <w:bookmarkStart w:id="425" w:name="Tc_CPsUAjooZ0yjXbFU89w12Q_11_8"/>
      <w:bookmarkStart w:id="426" w:name="Tc_qt5537q59kOEh297j8bF_Q_11_5"/>
      <w:bookmarkStart w:id="427" w:name="Tc_IYQLYBl40EmjfaaDHjItUg_11_2"/>
      <w:bookmarkStart w:id="428" w:name="Tc_r3so9GYlp0qwJ6FtQLi7Eg_11_0"/>
      <w:bookmarkStart w:id="429" w:name="Tc_Pv0PRk6kJECt5BR77wv3tg_10_14"/>
      <w:bookmarkStart w:id="430" w:name="Tc_3uqYb-F1MUaPT5lomGqaBQ_10_11"/>
      <w:bookmarkStart w:id="431" w:name="Tc_4yqqsrde6EysmHpcdtEv6g_10_5"/>
      <w:bookmarkStart w:id="432" w:name="Tc__I2P2OtmgEydvGKt6j_zoQ_10_2"/>
      <w:bookmarkStart w:id="433" w:name="Tc_FPf056xkoUSolGMB65uLlQ_10_0"/>
      <w:bookmarkStart w:id="434" w:name="Tc_EcP0lK4vm0ut-6HsBTLCbA_9_14"/>
      <w:bookmarkStart w:id="435" w:name="Tc_x4op5cr7lkSCdyAHRHQfvg_9_11"/>
      <w:bookmarkStart w:id="436" w:name="Tc_X6avw0rmtEKxwCxuSSE_ew_9_5"/>
      <w:bookmarkStart w:id="437" w:name="Tc_SHTfjGwpQUen9u9HQ6oOiQ_9_0"/>
      <w:bookmarkStart w:id="438" w:name="Tc_e2up7BcbhkWcaLsUQrLGnA_8_17"/>
      <w:bookmarkStart w:id="439" w:name="Tc_uigrrtQZCkKAPeIFweMcoQ_8_14"/>
      <w:bookmarkStart w:id="440" w:name="Tc_ewhlgY9paUCf3r1ZVit43g_8_11"/>
      <w:bookmarkStart w:id="441" w:name="Tc_04pjCfBR-0aXOUJQoRNZOw_8_8"/>
      <w:bookmarkStart w:id="442" w:name="Tc_TWjH5OASsEWphGv8bbemtw_8_5"/>
      <w:bookmarkStart w:id="443" w:name="Tc_BtyUAn3EmEGhGvuPjYplAA_8_0"/>
      <w:bookmarkStart w:id="444" w:name="Tc_iNk6q-nVsUGwB9nkmnoDDA_7_14"/>
      <w:bookmarkStart w:id="445" w:name="Tc_UtwvPrMoyEeNDkQ4XRCzyA_7_11"/>
      <w:bookmarkStart w:id="446" w:name="Tc_ijW26OVVdU-tYSnPy-K1GA_7_5"/>
      <w:bookmarkStart w:id="447" w:name="Tc_sGjfNDvmJE-3WlUhblorWw_7_0"/>
      <w:bookmarkStart w:id="448" w:name="Tc_uRLPj3LsmkKJDXlqIYWmbw_6_16"/>
      <w:bookmarkStart w:id="449" w:name="Tc_Uny7SxKxsUORUgAz3OFXmQ_6_13"/>
      <w:bookmarkStart w:id="450" w:name="Tc_SXoJY24xZkWmujF15XBHjQ_6_10"/>
      <w:bookmarkStart w:id="451" w:name="Tc_5HjA605x_UKOYC6O1lnb_A_6_7"/>
      <w:bookmarkStart w:id="452" w:name="Tc_S-eKQbjIgk-iZ7qDo7qdaw_6_4"/>
      <w:bookmarkStart w:id="453" w:name="Tc_5Ic9zcutUkyWFYtjThH-mg_6_0"/>
      <w:bookmarkStart w:id="454" w:name="Tc_zKltXBQi_0iNtUDQ4MVPUA_5_16"/>
      <w:bookmarkStart w:id="455" w:name="Tc_A4vIRy73GU2-emUkJtav7g_5_13"/>
      <w:bookmarkStart w:id="456" w:name="Tc_xpZ9UBd3R0WUczfdoBzrGg_5_10"/>
      <w:bookmarkStart w:id="457" w:name="Tc_BOZzZRJm0UKGe9RhaqAvtg_5_7"/>
      <w:bookmarkStart w:id="458" w:name="Tc_VjgDWwsu5EG9hII0S3R5bA_5_4"/>
      <w:bookmarkStart w:id="459" w:name="Tc_jS7YNj5q1kGsgTwvUTqPGw_5_2"/>
      <w:bookmarkStart w:id="460" w:name="Tc_MRb6gHjPB0-t0HxvCozMqw_4_16"/>
      <w:bookmarkStart w:id="461" w:name="Tc_LwHGnoDU8UmZ1oP8rfIdKA_4_13"/>
      <w:bookmarkStart w:id="462" w:name="Tc_QZYTGdLwpEmXOpL-9in4ug_4_10"/>
      <w:bookmarkStart w:id="463" w:name="Tc_b2SIqllh1k6tIXHmpjQTPA_4_7"/>
      <w:bookmarkStart w:id="464" w:name="Tc_R_Ir8jmzOkeuTihSQcGaSg_4_2"/>
      <w:bookmarkStart w:id="465" w:name="Tc_-VtXfdod4kCfZvaozBgx5g_3_16"/>
      <w:bookmarkStart w:id="466" w:name="Tc_SkXAGjmiZEy8milCupa-Fg_3_10"/>
      <w:bookmarkStart w:id="467" w:name="Tc_hDvizt3eO0Sglv8amHkLwA_3_7"/>
      <w:bookmarkStart w:id="468" w:name="Tc_cGv7rHvluk2HejDJwGPHng_3_2"/>
      <w:bookmarkStart w:id="469" w:name="Tc_6kKpZ3ev-ESCDQVKQowzow_2_10"/>
      <w:bookmarkStart w:id="470" w:name="_ffb4b8c9_ed89_46a0_a7f7_c18154b813f9"/>
      <w:bookmarkStart w:id="471" w:name="Tc_pnGYdgHP9UeF77FpHr1Kew_20_16"/>
      <w:bookmarkStart w:id="472" w:name="Tc_yRnoXlXRykGXcaR_zX6_4Q_20_13"/>
      <w:bookmarkStart w:id="473" w:name="Tc_A_2x4BfE7U2SOY5UPsG2Eg_20_10"/>
      <w:bookmarkStart w:id="474" w:name="Tc_IZ2G7zGhYkq6TAVyuZUQHw_20_7"/>
      <w:bookmarkStart w:id="475" w:name="Tc_YkUVlLPrbkaLR3gQgpk7tw_20_4"/>
      <w:bookmarkStart w:id="476" w:name="Tc_A3nRydZ0qkS0q5HEAg-2BQ_20_0"/>
      <w:bookmarkStart w:id="477" w:name="Tc_4k6ktPmXBEaNSRsSGOWg4A_19_11"/>
      <w:bookmarkStart w:id="478" w:name="Tc_JlQZE1qFCUaPoZmBebz4kA_19_8"/>
      <w:bookmarkStart w:id="479" w:name="Tc_FWylOyOCTkGc6Kh2dDZXHQ_19_5"/>
      <w:bookmarkStart w:id="480" w:name="Tc_y52iZZhRLUmzDZhI7-vDrA_19_2"/>
      <w:bookmarkStart w:id="481" w:name="Tc_PCHEnvEROUuSUYiKcH3yQw_19_0"/>
      <w:bookmarkStart w:id="482" w:name="Tc_lRB2Q-UQRkC1HaqbQ2CW2A_18_14"/>
      <w:bookmarkStart w:id="483" w:name="Tc_v3KXQHgeTESjV3KYbAHs6w_18_8"/>
      <w:bookmarkStart w:id="484" w:name="Tc_DndEC3C1EkGIRG1YeqZZlQ_18_5"/>
      <w:bookmarkStart w:id="485" w:name="Tc_rjOSxO9b7EWQ54gLyr31DA_18_2"/>
      <w:bookmarkStart w:id="486" w:name="Tc_CAkWNsYk80ua55v1yoMCIQ_18_0"/>
      <w:bookmarkStart w:id="487" w:name="Tc_P-A3ajkEhUiSBh1CNrTLJQ_17_14"/>
      <w:bookmarkStart w:id="488" w:name="Tc_EfvDTjj-AkaMu3NHcwe51g_17_11"/>
      <w:bookmarkStart w:id="489" w:name="Tc_3rucUPkBCkGjPogZk40-ug_17_5"/>
      <w:bookmarkStart w:id="490" w:name="Tc_53jIhe8MKk-yeDkAL9WkYA_17_2"/>
      <w:bookmarkStart w:id="491" w:name="Tc_kB6TXGrxJEyEh-LOJuiIyw_17_0"/>
      <w:bookmarkStart w:id="492" w:name="Tc_My5NiJYNSUmnRON8H9LctQ_16_14"/>
      <w:bookmarkStart w:id="493" w:name="Tc_EdivSKKA5UKZn4ioeJKhRw_16_11"/>
      <w:bookmarkStart w:id="494" w:name="Tc_XC_dh3AidECUC02wJMNAJA_16_5"/>
      <w:bookmarkStart w:id="495" w:name="Tc__JypeIzh5ki3puiXvCyYVg_16_2"/>
      <w:bookmarkStart w:id="496" w:name="Tc_k35P_jZUhUmOrIK-wmzAcg_16_0"/>
      <w:bookmarkStart w:id="497" w:name="Tc_9I5xv6CXBUa-yEgNPsW75w_15_14"/>
      <w:bookmarkStart w:id="498" w:name="Tc_aVhLdpjAHUimG5a_FVmSxQ_15_11"/>
      <w:bookmarkStart w:id="499" w:name="Tc_I-nO8Hho50WDyL_NpfooSA_15_5"/>
      <w:bookmarkStart w:id="500" w:name="Tc_qi3fGaHm9kiR1cmF7rCyOg_15_0"/>
      <w:bookmarkStart w:id="501" w:name="Tc_HGg-vggXPUCV2fsVSDQ56w_14_14"/>
      <w:bookmarkStart w:id="502" w:name="Tc_-ETk-venNkC-4LECKoSXJQ_14_11"/>
      <w:bookmarkStart w:id="503" w:name="Tc_WKiSDhNKSEatH4RS2XGQwg_14_5"/>
      <w:bookmarkStart w:id="504" w:name="Tc_w84bUfp8bkqqpkiDLSIKPQ_14_0"/>
      <w:bookmarkStart w:id="505" w:name="Tc_aJSYFbSyk0SNoTgNA_DA6g_13_0"/>
      <w:bookmarkStart w:id="506" w:name="Tc_6T48xtEmtku_i4fkyknmVg_12_11"/>
      <w:bookmarkStart w:id="507" w:name="Tc_8en_tYg-6UuSmsyZB7DuCA_12_8"/>
      <w:bookmarkStart w:id="508" w:name="Tc_1MNHe0hWuE-qCw-_tMnPqA_12_5"/>
      <w:bookmarkStart w:id="509" w:name="Tc_AOW5-RIfsUK1xl8zI9uauQ_12_2"/>
      <w:bookmarkStart w:id="510" w:name="Tc_31pQ5RLcAkmLm9Dh6R3fQw_12_0"/>
      <w:bookmarkStart w:id="511" w:name="Tc_L5vCGUEo0EqfHXcDrwACrg_11_14"/>
      <w:bookmarkStart w:id="512" w:name="Tc_CPsUAjooZ0yjXbFU89w12Q_11_8"/>
      <w:bookmarkStart w:id="513" w:name="Tc_qt5537q59kOEh297j8bF_Q_11_5"/>
      <w:bookmarkStart w:id="514" w:name="Tc_IYQLYBl40EmjfaaDHjItUg_11_2"/>
      <w:bookmarkStart w:id="515" w:name="Tc_r3so9GYlp0qwJ6FtQLi7Eg_11_0"/>
      <w:bookmarkStart w:id="516" w:name="Tc_Pv0PRk6kJECt5BR77wv3tg_10_14"/>
      <w:bookmarkStart w:id="517" w:name="Tc_3uqYb-F1MUaPT5lomGqaBQ_10_11"/>
      <w:bookmarkStart w:id="518" w:name="Tc_4yqqsrde6EysmHpcdtEv6g_10_5"/>
      <w:bookmarkStart w:id="519" w:name="Tc__I2P2OtmgEydvGKt6j_zoQ_10_2"/>
      <w:bookmarkStart w:id="520" w:name="Tc_FPf056xkoUSolGMB65uLlQ_10_0"/>
      <w:bookmarkStart w:id="521" w:name="Tc_EcP0lK4vm0ut-6HsBTLCbA_9_14"/>
      <w:bookmarkStart w:id="522" w:name="Tc_x4op5cr7lkSCdyAHRHQfvg_9_11"/>
      <w:bookmarkStart w:id="523" w:name="Tc_X6avw0rmtEKxwCxuSSE_ew_9_5"/>
      <w:bookmarkStart w:id="524" w:name="Tc_SHTfjGwpQUen9u9HQ6oOiQ_9_0"/>
      <w:bookmarkStart w:id="525" w:name="Tc_e2up7BcbhkWcaLsUQrLGnA_8_17"/>
      <w:bookmarkStart w:id="526" w:name="Tc_uigrrtQZCkKAPeIFweMcoQ_8_14"/>
      <w:bookmarkStart w:id="527" w:name="Tc_ewhlgY9paUCf3r1ZVit43g_8_11"/>
      <w:bookmarkStart w:id="528" w:name="Tc_04pjCfBR-0aXOUJQoRNZOw_8_8"/>
      <w:bookmarkStart w:id="529" w:name="Tc_TWjH5OASsEWphGv8bbemtw_8_5"/>
      <w:bookmarkStart w:id="530" w:name="Tc_BtyUAn3EmEGhGvuPjYplAA_8_0"/>
      <w:bookmarkStart w:id="531" w:name="Tc_iNk6q-nVsUGwB9nkmnoDDA_7_14"/>
      <w:bookmarkStart w:id="532" w:name="Tc_UtwvPrMoyEeNDkQ4XRCzyA_7_11"/>
      <w:bookmarkStart w:id="533" w:name="Tc_ijW26OVVdU-tYSnPy-K1GA_7_5"/>
      <w:bookmarkStart w:id="534" w:name="Tc_sGjfNDvmJE-3WlUhblorWw_7_0"/>
      <w:bookmarkStart w:id="535" w:name="Tc_uRLPj3LsmkKJDXlqIYWmbw_6_16"/>
      <w:bookmarkStart w:id="536" w:name="Tc_Uny7SxKxsUORUgAz3OFXmQ_6_13"/>
      <w:bookmarkStart w:id="537" w:name="Tc_SXoJY24xZkWmujF15XBHjQ_6_10"/>
      <w:bookmarkStart w:id="538" w:name="Tc_5HjA605x_UKOYC6O1lnb_A_6_7"/>
      <w:bookmarkStart w:id="539" w:name="Tc_S-eKQbjIgk-iZ7qDo7qdaw_6_4"/>
      <w:bookmarkStart w:id="540" w:name="Tc_5Ic9zcutUkyWFYtjThH-mg_6_0"/>
      <w:bookmarkStart w:id="541" w:name="Tc_zKltXBQi_0iNtUDQ4MVPUA_5_16"/>
      <w:bookmarkStart w:id="542" w:name="Tc_A4vIRy73GU2-emUkJtav7g_5_13"/>
      <w:bookmarkStart w:id="543" w:name="Tc_xpZ9UBd3R0WUczfdoBzrGg_5_10"/>
      <w:bookmarkStart w:id="544" w:name="Tc_BOZzZRJm0UKGe9RhaqAvtg_5_7"/>
      <w:bookmarkStart w:id="545" w:name="Tc_VjgDWwsu5EG9hII0S3R5bA_5_4"/>
      <w:bookmarkStart w:id="546" w:name="Tc_jS7YNj5q1kGsgTwvUTqPGw_5_2"/>
      <w:bookmarkStart w:id="547" w:name="Tc_MRb6gHjPB0-t0HxvCozMqw_4_16"/>
      <w:bookmarkStart w:id="548" w:name="Tc_LwHGnoDU8UmZ1oP8rfIdKA_4_13"/>
      <w:bookmarkStart w:id="549" w:name="Tc_QZYTGdLwpEmXOpL-9in4ug_4_10"/>
      <w:bookmarkStart w:id="550" w:name="Tc_b2SIqllh1k6tIXHmpjQTPA_4_7"/>
      <w:bookmarkStart w:id="551" w:name="Tc_R_Ir8jmzOkeuTihSQcGaSg_4_2"/>
      <w:bookmarkStart w:id="552" w:name="Tc_-VtXfdod4kCfZvaozBgx5g_3_16"/>
      <w:bookmarkStart w:id="553" w:name="Tc_SkXAGjmiZEy8milCupa-Fg_3_10"/>
      <w:bookmarkStart w:id="554" w:name="Tc_hDvizt3eO0Sglv8amHkLwA_3_7"/>
      <w:bookmarkStart w:id="555" w:name="Tc_cGv7rHvluk2HejDJwGPHng_3_2"/>
      <w:bookmarkStart w:id="556" w:name="Tc_6kKpZ3ev-ESCDQVKQowzow_2_10"/>
      <w:bookmarkStart w:id="557" w:name="_ffb4b8c9_ed89_46a0_a7f7_c18154b813f9"/>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tbl>
      <w:tblPr>
        <w:tblW w:w="10205" w:type="dxa"/>
        <w:jc w:val="left"/>
        <w:tblInd w:w="0" w:type="dxa"/>
        <w:tblLayout w:type="fixed"/>
        <w:tblCellMar>
          <w:top w:w="0" w:type="dxa"/>
          <w:left w:w="0" w:type="dxa"/>
          <w:bottom w:w="0" w:type="dxa"/>
          <w:right w:w="0" w:type="dxa"/>
        </w:tblCellMar>
      </w:tblPr>
      <w:tblGrid>
        <w:gridCol w:w="3663"/>
        <w:gridCol w:w="226"/>
        <w:gridCol w:w="601"/>
        <w:gridCol w:w="226"/>
        <w:gridCol w:w="226"/>
        <w:gridCol w:w="346"/>
        <w:gridCol w:w="226"/>
        <w:gridCol w:w="226"/>
        <w:gridCol w:w="721"/>
        <w:gridCol w:w="226"/>
        <w:gridCol w:w="346"/>
        <w:gridCol w:w="725"/>
        <w:gridCol w:w="226"/>
        <w:gridCol w:w="231"/>
        <w:gridCol w:w="705"/>
        <w:gridCol w:w="226"/>
        <w:gridCol w:w="230"/>
        <w:gridCol w:w="829"/>
      </w:tblGrid>
      <w:tr>
        <w:trPr/>
        <w:tc>
          <w:tcPr>
            <w:tcW w:w="3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26005" cy="175260"/>
                      <wp:effectExtent l="0" t="0" r="0" b="0"/>
                      <wp:wrapNone/>
                      <wp:docPr id="50" name="Frame50"/>
                      <a:graphic xmlns:a="http://schemas.openxmlformats.org/drawingml/2006/main">
                        <a:graphicData uri="http://schemas.microsoft.com/office/word/2010/wordprocessingShape">
                          <wps:wsp>
                            <wps:cNvSpPr txBox="1"/>
                            <wps:spPr>
                              <a:xfrm>
                                <a:off x="0" y="0"/>
                                <a:ext cx="2326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3510" cy="175260"/>
                      <wp:effectExtent l="0" t="0" r="0" b="0"/>
                      <wp:wrapNone/>
                      <wp:docPr id="51" name="Frame5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1635" cy="175260"/>
                      <wp:effectExtent l="0" t="0" r="0" b="0"/>
                      <wp:wrapNone/>
                      <wp:docPr id="52" name="Frame5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3510" cy="175260"/>
                      <wp:effectExtent l="0" t="0" r="0" b="0"/>
                      <wp:wrapNone/>
                      <wp:docPr id="53"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3510" cy="175260"/>
                      <wp:effectExtent l="0" t="0" r="0" b="0"/>
                      <wp:wrapNone/>
                      <wp:docPr id="54" name="Frame5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3510" cy="175260"/>
                      <wp:effectExtent l="0" t="0" r="0" b="0"/>
                      <wp:wrapNone/>
                      <wp:docPr id="56"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3510" cy="175260"/>
                      <wp:effectExtent l="0" t="0" r="0" b="0"/>
                      <wp:wrapNone/>
                      <wp:docPr id="57" name="Frame5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57835" cy="175260"/>
                      <wp:effectExtent l="0" t="0" r="0" b="0"/>
                      <wp:wrapNone/>
                      <wp:docPr id="58" name="Frame5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43510" cy="175260"/>
                      <wp:effectExtent l="0" t="0" r="0" b="0"/>
                      <wp:wrapNone/>
                      <wp:docPr id="59" name="Frame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60375" cy="175260"/>
                      <wp:effectExtent l="0" t="0" r="0" b="0"/>
                      <wp:wrapNone/>
                      <wp:docPr id="61" name="Frame61"/>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43510" cy="175260"/>
                      <wp:effectExtent l="0" t="0" r="0" b="0"/>
                      <wp:wrapNone/>
                      <wp:docPr id="62" name="Frame6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46685" cy="175260"/>
                      <wp:effectExtent l="0" t="0" r="0" b="0"/>
                      <wp:wrapNone/>
                      <wp:docPr id="63" name="Frame6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47675" cy="175260"/>
                      <wp:effectExtent l="0" t="0" r="0" b="0"/>
                      <wp:wrapNone/>
                      <wp:docPr id="64" name="Frame64"/>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43510" cy="175260"/>
                      <wp:effectExtent l="0" t="0" r="0" b="0"/>
                      <wp:wrapNone/>
                      <wp:docPr id="65" name="Frame6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46050" cy="175260"/>
                      <wp:effectExtent l="0" t="0" r="0" b="0"/>
                      <wp:wrapNone/>
                      <wp:docPr id="66" name="Frame6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26415" cy="175260"/>
                      <wp:effectExtent l="0" t="0" r="0" b="0"/>
                      <wp:wrapNone/>
                      <wp:docPr id="67" name="Frame67"/>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2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72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31"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c>
          <w:tcPr>
            <w:tcW w:w="705"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2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23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82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70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829" w:type="dxa"/>
            <w:tcBorders/>
            <w:vAlign w:val="center"/>
          </w:tcPr>
          <w:p>
            <w:pPr>
              <w:pStyle w:val="TableContents"/>
              <w:bidi w:val="0"/>
              <w:spacing w:before="0" w:after="0"/>
              <w:ind w:left="0" w:right="0" w:hanging="0"/>
              <w:jc w:val="center"/>
              <w:rPr/>
            </w:pPr>
            <w:r>
              <w:rPr/>
              <w:t>​</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399" w:type="dxa"/>
            <w:gridSpan w:val="4"/>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ORDINARY </w:t>
            </w:r>
          </w:p>
        </w:tc>
        <w:tc>
          <w:tcPr>
            <w:tcW w:w="2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ADDITIONAL</w:t>
            </w:r>
          </w:p>
        </w:tc>
        <w:tc>
          <w:tcPr>
            <w:tcW w:w="2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OTHER</w:t>
            </w:r>
          </w:p>
        </w:tc>
        <w:tc>
          <w:tcPr>
            <w:tcW w:w="226"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center"/>
              <w:rPr/>
            </w:pPr>
            <w:r>
              <w:rPr/>
              <w:t>​</w:t>
            </w:r>
          </w:p>
        </w:tc>
        <w:tc>
          <w:tcPr>
            <w:tcW w:w="70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center"/>
              <w:rPr/>
            </w:pPr>
            <w:r>
              <w:rPr/>
              <w:t>​</w:t>
            </w:r>
          </w:p>
        </w:tc>
        <w:tc>
          <w:tcPr>
            <w:tcW w:w="1059"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TOTAL</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13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PAID-IN</w:t>
            </w:r>
          </w:p>
        </w:tc>
        <w:tc>
          <w:tcPr>
            <w:tcW w:w="226" w:type="dxa"/>
            <w:tcBorders/>
            <w:vAlign w:val="center"/>
          </w:tcPr>
          <w:p>
            <w:pPr>
              <w:pStyle w:val="TableContents"/>
              <w:bidi w:val="0"/>
              <w:spacing w:before="0" w:after="0"/>
              <w:ind w:left="0" w:right="0" w:hanging="0"/>
              <w:jc w:val="center"/>
              <w:rPr/>
            </w:pPr>
            <w:r>
              <w:rPr/>
              <w:t>​</w:t>
            </w:r>
          </w:p>
        </w:tc>
        <w:tc>
          <w:tcPr>
            <w:tcW w:w="1071"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COMPREHENSIVE </w:t>
            </w:r>
          </w:p>
        </w:tc>
        <w:tc>
          <w:tcPr>
            <w:tcW w:w="226" w:type="dxa"/>
            <w:tcBorders/>
            <w:vAlign w:val="center"/>
          </w:tcPr>
          <w:p>
            <w:pPr>
              <w:pStyle w:val="TableContents"/>
              <w:bidi w:val="0"/>
              <w:spacing w:before="0" w:after="0"/>
              <w:ind w:left="0" w:right="0" w:hanging="0"/>
              <w:jc w:val="center"/>
              <w:rPr/>
            </w:pPr>
            <w:r>
              <w:rPr/>
              <w:t>​</w:t>
            </w:r>
          </w:p>
        </w:tc>
        <w:tc>
          <w:tcPr>
            <w:tcW w:w="936"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 xml:space="preserve">ACCUMULATED </w:t>
            </w:r>
          </w:p>
        </w:tc>
        <w:tc>
          <w:tcPr>
            <w:tcW w:w="226" w:type="dxa"/>
            <w:tcBorders/>
            <w:vAlign w:val="center"/>
          </w:tcPr>
          <w:p>
            <w:pPr>
              <w:pStyle w:val="TableContents"/>
              <w:bidi w:val="0"/>
              <w:spacing w:before="0" w:after="0"/>
              <w:ind w:left="0" w:right="0" w:hanging="0"/>
              <w:jc w:val="center"/>
              <w:rPr/>
            </w:pPr>
            <w:r>
              <w:rPr/>
              <w:t>​</w:t>
            </w:r>
          </w:p>
        </w:tc>
        <w:tc>
          <w:tcPr>
            <w:tcW w:w="1059" w:type="dxa"/>
            <w:gridSpan w:val="2"/>
            <w:tcBorders/>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SHAREHOLDERS’</w:t>
            </w:r>
          </w:p>
        </w:tc>
      </w:tr>
      <w:tr>
        <w:trPr/>
        <w:tc>
          <w:tcPr>
            <w:tcW w:w="366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SHARES</w:t>
            </w:r>
          </w:p>
        </w:tc>
        <w:tc>
          <w:tcPr>
            <w:tcW w:w="226" w:type="dxa"/>
            <w:tcBorders/>
            <w:vAlign w:val="center"/>
          </w:tcPr>
          <w:p>
            <w:pPr>
              <w:pStyle w:val="TableContents"/>
              <w:bidi w:val="0"/>
              <w:spacing w:before="0" w:after="0"/>
              <w:ind w:left="0" w:right="0" w:hanging="0"/>
              <w:jc w:val="left"/>
              <w:rPr/>
            </w:pPr>
            <w:r>
              <w:rPr/>
              <w:t>  ​</w:t>
            </w:r>
          </w:p>
        </w:tc>
        <w:tc>
          <w:tcPr>
            <w:tcW w:w="5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AMOUNT</w:t>
            </w:r>
          </w:p>
        </w:tc>
        <w:tc>
          <w:tcPr>
            <w:tcW w:w="2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CAPITAL</w:t>
            </w:r>
          </w:p>
        </w:tc>
        <w:tc>
          <w:tcPr>
            <w:tcW w:w="226" w:type="dxa"/>
            <w:tcBorders/>
            <w:vAlign w:val="center"/>
          </w:tcPr>
          <w:p>
            <w:pPr>
              <w:pStyle w:val="TableContents"/>
              <w:bidi w:val="0"/>
              <w:spacing w:before="0" w:after="0"/>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INCOME (LOSS)</w:t>
            </w:r>
          </w:p>
        </w:tc>
        <w:tc>
          <w:tcPr>
            <w:tcW w:w="2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DEFICIT</w:t>
            </w:r>
          </w:p>
        </w:tc>
        <w:tc>
          <w:tcPr>
            <w:tcW w:w="226" w:type="dxa"/>
            <w:tcBorders/>
            <w:vAlign w:val="center"/>
          </w:tcPr>
          <w:p>
            <w:pPr>
              <w:pStyle w:val="TableContents"/>
              <w:bidi w:val="0"/>
              <w:spacing w:before="0" w:after="0"/>
              <w:ind w:left="0" w:right="0" w:hanging="0"/>
              <w:jc w:val="left"/>
              <w:rPr/>
            </w:pPr>
            <w:r>
              <w:rPr/>
              <w:t>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0"/>
              </w:rPr>
            </w:pPr>
            <w:r>
              <w:rPr>
                <w:rFonts w:ascii="Arial;Helvetica;sans-serif" w:hAnsi="Arial;Helvetica;sans-serif"/>
                <w:b/>
                <w:sz w:val="10"/>
              </w:rPr>
              <w:t>EQUITY</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December 31, 2024</w:t>
            </w:r>
          </w:p>
        </w:tc>
        <w:tc>
          <w:tcPr>
            <w:tcW w:w="226"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171,860</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w:t>
            </w:r>
          </w:p>
        </w:tc>
        <w:tc>
          <w:tcPr>
            <w:tcW w:w="2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1,193,010</w:t>
            </w:r>
          </w:p>
        </w:tc>
        <w:tc>
          <w:tcPr>
            <w:tcW w:w="2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914</w:t>
            </w:r>
          </w:p>
        </w:tc>
        <w:tc>
          <w:tcPr>
            <w:tcW w:w="226" w:type="dxa"/>
            <w:tcBorders/>
            <w:shd w:fill="CCEEFF" w:val="clear"/>
            <w:vAlign w:val="center"/>
          </w:tcPr>
          <w:p>
            <w:pPr>
              <w:pStyle w:val="TableContents"/>
              <w:bidi w:val="0"/>
              <w:spacing w:before="0" w:after="0"/>
              <w:ind w:left="0" w:right="0" w:hanging="0"/>
              <w:jc w:val="center"/>
              <w:rPr/>
            </w:pPr>
            <w:r>
              <w:rPr/>
              <w:t>​</w:t>
            </w:r>
          </w:p>
        </w:tc>
        <w:tc>
          <w:tcPr>
            <w:tcW w:w="2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0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(329,098)</w:t>
            </w:r>
          </w:p>
        </w:tc>
        <w:tc>
          <w:tcPr>
            <w:tcW w:w="226"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2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864,843</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644</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965</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965</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vesting of restricted share units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134</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Shares withheld for taxes</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(156)</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(156)</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5,918</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5,918</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(99)</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(46,833)</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(46,833)</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March 31, 2025</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172,610</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1,199,737</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815</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(375,931)</w:t>
            </w:r>
          </w:p>
        </w:tc>
        <w:tc>
          <w:tcPr>
            <w:tcW w:w="2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824,638</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upon exercise of vested share options</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Issuance of ordinary shares pursuant to employee share purchase plan</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474</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474</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Depository issuance cost offset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1,531</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1,531</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Share-based compensation expense</w:t>
            </w:r>
          </w:p>
        </w:tc>
        <w:tc>
          <w:tcPr>
            <w:tcW w:w="2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7,509</w:t>
            </w:r>
          </w:p>
        </w:tc>
        <w:tc>
          <w:tcPr>
            <w:tcW w:w="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7,509</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Unrealized loss on investments, net</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(453)</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(453)</w:t>
            </w:r>
          </w:p>
        </w:tc>
      </w:tr>
      <w:tr>
        <w:trPr/>
        <w:tc>
          <w:tcPr>
            <w:tcW w:w="366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loss</w:t>
            </w:r>
          </w:p>
        </w:tc>
        <w:tc>
          <w:tcPr>
            <w:tcW w:w="22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(61,661)</w:t>
            </w:r>
          </w:p>
        </w:tc>
        <w:tc>
          <w:tcPr>
            <w:tcW w:w="2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(61,661)</w:t>
            </w:r>
          </w:p>
        </w:tc>
      </w:tr>
      <w:tr>
        <w:trPr/>
        <w:tc>
          <w:tcPr>
            <w:tcW w:w="366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at June 30, 2025</w:t>
            </w:r>
          </w:p>
        </w:tc>
        <w:tc>
          <w:tcPr>
            <w:tcW w:w="22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172,700</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w:t>
            </w:r>
          </w:p>
        </w:tc>
        <w:tc>
          <w:tcPr>
            <w:tcW w:w="2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1,209,294</w:t>
            </w:r>
          </w:p>
        </w:tc>
        <w:tc>
          <w:tcPr>
            <w:tcW w:w="226" w:type="dxa"/>
            <w:tcBorders/>
            <w:shd w:fill="CCEEFF" w:val="clear"/>
            <w:vAlign w:val="center"/>
          </w:tcPr>
          <w:p>
            <w:pPr>
              <w:pStyle w:val="TableContents"/>
              <w:bidi w:val="0"/>
              <w:spacing w:before="0" w:after="0"/>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362</w:t>
            </w:r>
          </w:p>
        </w:tc>
        <w:tc>
          <w:tcPr>
            <w:tcW w:w="22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(437,592)</w:t>
            </w:r>
          </w:p>
        </w:tc>
        <w:tc>
          <w:tcPr>
            <w:tcW w:w="2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772,081</w:t>
            </w:r>
          </w:p>
        </w:tc>
      </w:tr>
      <w:tr>
        <w:trPr/>
        <w:tc>
          <w:tcPr>
            <w:tcW w:w="3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558" w:name="_ae3ad34d_580c_449b_b6a8_1d3c192949e1"/>
      <w:bookmarkEnd w:id="558"/>
      <w:r>
        <w:rPr>
          <w:rFonts w:ascii="Arial;Helvetica;sans-serif" w:hAnsi="Arial;Helvetica;sans-serif"/>
          <w:b/>
          <w:sz w:val="20"/>
        </w:rPr>
        <w:t>STRUCTURE THERAPEUTICS INC.</w:t>
      </w:r>
    </w:p>
    <w:p>
      <w:pPr>
        <w:pStyle w:val="TextBody"/>
        <w:bidi w:val="0"/>
        <w:spacing w:before="0" w:after="0"/>
        <w:ind w:left="0" w:right="0" w:hanging="0"/>
        <w:jc w:val="center"/>
        <w:rPr>
          <w:rFonts w:ascii="Arial;Helvetica;sans-serif" w:hAnsi="Arial;Helvetica;sans-serif"/>
          <w:b/>
          <w:sz w:val="20"/>
        </w:rPr>
      </w:pPr>
      <w:bookmarkStart w:id="559" w:name="STATEMENTSOFCASHFLOWS_628124"/>
      <w:bookmarkStart w:id="560" w:name="SOCF"/>
      <w:bookmarkEnd w:id="559"/>
      <w:bookmarkEnd w:id="560"/>
      <w:r>
        <w:rPr>
          <w:rFonts w:ascii="Arial;Helvetica;sans-serif" w:hAnsi="Arial;Helvetica;sans-serif"/>
          <w:b/>
          <w:sz w:val="20"/>
        </w:rPr>
        <w:t>CONDENSED CONSOLIDATED STATEMENTS OF CASH FLOWS</w:t>
      </w:r>
    </w:p>
    <w:p>
      <w:pPr>
        <w:pStyle w:val="TextBody"/>
        <w:bidi w:val="0"/>
        <w:spacing w:before="0" w:after="0"/>
        <w:ind w:left="0" w:right="0" w:hanging="0"/>
        <w:jc w:val="center"/>
        <w:rPr>
          <w:rFonts w:ascii="Arial;Helvetica;sans-serif" w:hAnsi="Arial;Helvetica;sans-serif"/>
          <w:b/>
          <w:i/>
          <w:sz w:val="20"/>
        </w:rPr>
      </w:pPr>
      <w:r>
        <w:rPr>
          <w:rFonts w:ascii="Arial;Helvetica;sans-serif" w:hAnsi="Arial;Helvetica;sans-serif"/>
          <w:b/>
          <w:i/>
          <w:sz w:val="20"/>
        </w:rPr>
        <w:t>(IN THOUSANDS)</w:t>
      </w:r>
    </w:p>
    <w:p>
      <w:pPr>
        <w:pStyle w:val="TextBody"/>
        <w:bidi w:val="0"/>
        <w:spacing w:before="0" w:after="240"/>
        <w:ind w:left="0" w:right="0" w:hanging="0"/>
        <w:jc w:val="center"/>
        <w:rPr>
          <w:rFonts w:ascii="Arial;Helvetica;sans-serif" w:hAnsi="Arial;Helvetica;sans-serif"/>
          <w:b/>
          <w:i/>
          <w:sz w:val="20"/>
        </w:rPr>
      </w:pPr>
      <w:r>
        <w:rPr>
          <w:rFonts w:ascii="Arial;Helvetica;sans-serif" w:hAnsi="Arial;Helvetica;sans-serif"/>
          <w:b/>
          <w:i/>
          <w:sz w:val="20"/>
        </w:rPr>
        <w:t>(UNAUDITED)</w:t>
      </w:r>
    </w:p>
    <w:p>
      <w:pPr>
        <w:pStyle w:val="Normal"/>
        <w:bidi w:val="0"/>
        <w:spacing w:before="0" w:after="0"/>
        <w:jc w:val="left"/>
        <w:rPr>
          <w:sz w:val="4"/>
          <w:szCs w:val="4"/>
        </w:rPr>
      </w:pPr>
      <w:r>
        <w:rPr>
          <w:sz w:val="4"/>
          <w:szCs w:val="4"/>
        </w:rPr>
      </w:r>
      <w:bookmarkStart w:id="561" w:name="Tc_TwCQa2C63kWbbK5R1T1YGA_41_6"/>
      <w:bookmarkStart w:id="562" w:name="Tc_TVaehkBdBku9pOu1dtvEuQ_41_5"/>
      <w:bookmarkStart w:id="563" w:name="Tc_goooEROInUiAien934nfvw_41_2"/>
      <w:bookmarkStart w:id="564" w:name="Tc_WMqaGYowyU2MJ4zKVGtRQQ_41_0"/>
      <w:bookmarkStart w:id="565" w:name="Tc_in8dqOneMES_wraCCeb3Vg_40_5"/>
      <w:bookmarkStart w:id="566" w:name="Tc_RvO9WssVDEqhmU2VI_-LnA_40_2"/>
      <w:bookmarkStart w:id="567" w:name="Tc_I4Yy0o65SkOqfI55nfeSpg_40_0"/>
      <w:bookmarkStart w:id="568" w:name="Tc_PxWU2lLvr0SmgAHvb4Uhpw_39_6"/>
      <w:bookmarkStart w:id="569" w:name="Tc_uRTIPqJ9EUKbfYE921-2uw_39_5"/>
      <w:bookmarkStart w:id="570" w:name="Tc_Ay7rXfwXp0u0aLoYqy2Edw_39_2"/>
      <w:bookmarkStart w:id="571" w:name="Tc_o0TT0TLijEqfFj8V3w7i9Q_39_0"/>
      <w:bookmarkStart w:id="572" w:name="Tc_EYr-q46bLEGtX5N4-1hSwA_38_6"/>
      <w:bookmarkStart w:id="573" w:name="Tc_9FcSMNx5xUO0aL-cduO4PQ_38_5"/>
      <w:bookmarkStart w:id="574" w:name="Tc_ARMDiLAGJUK80suN7Kg1NA_38_2"/>
      <w:bookmarkStart w:id="575" w:name="Tc_kG2BzL_2WEeWnss9AdlGOQ_38_0"/>
      <w:bookmarkStart w:id="576" w:name="Tc_7sRkznlPrUGXTDorzWRIyg_37_0"/>
      <w:bookmarkStart w:id="577" w:name="Tc_Bjnsw4OuMEWRxzQg6iMjcA_36_5"/>
      <w:bookmarkStart w:id="578" w:name="Tc_TC-27FZAxk65x_zKuHDfQw_36_2"/>
      <w:bookmarkStart w:id="579" w:name="Tc_PyP4dysjtE2ALNp-wBhnOg_36_0"/>
      <w:bookmarkStart w:id="580" w:name="Tc_ZcOMZDqjEkaarrY5pBg_6A_35_0"/>
      <w:bookmarkStart w:id="581" w:name="Tc_3Jmz5no_uk-5EQN8ksMf8Q_34_0"/>
      <w:bookmarkStart w:id="582" w:name="Tc_x6Sa9tTREEmY2oWon3Y4Yg_33_0"/>
      <w:bookmarkStart w:id="583" w:name="Tc_41TYdo1vI02WJuZfIon84g_32_0"/>
      <w:bookmarkStart w:id="584" w:name="Tc_pCyFngiINkiL3NP0hlXcnQ_31_0"/>
      <w:bookmarkStart w:id="585" w:name="Tc_i46rVgnkfkSr_1Bh_plRfQ_30_0"/>
      <w:bookmarkStart w:id="586" w:name="Tc_7WNZyOnX8EObc7Ve4PdIhA_29_0"/>
      <w:bookmarkStart w:id="587" w:name="Tc_hZtI10ymMUOoBTokELZrrg_28_6"/>
      <w:bookmarkStart w:id="588" w:name="Tc_mozDd9qhJk2Q2EaCMR3izw_28_0"/>
      <w:bookmarkStart w:id="589" w:name="Tc_HHCfB5f0YEa-4jF21IdVBw_27_0"/>
      <w:bookmarkStart w:id="590" w:name="Tc_WZCi4-qcoUGS_1dDpSc7xg_26_0"/>
      <w:bookmarkStart w:id="591" w:name="Tc_0cYik9J37kGgtpiTeKAVrA_25_0"/>
      <w:bookmarkStart w:id="592" w:name="Tc_WTOrddt9BEWxa-gRA--ivA_24_0"/>
      <w:bookmarkStart w:id="593" w:name="Tc_yOi9iL2w-0agXpGdqU3I6w_23_0"/>
      <w:bookmarkStart w:id="594" w:name="Tc_0tAeJN3cHkuMkdUHC0Pecg_22_0"/>
      <w:bookmarkStart w:id="595" w:name="Tc_-q89lF777kO6EjZ09E_K1g_21_0"/>
      <w:bookmarkStart w:id="596" w:name="Tc_1WT6T8dWb0mN3dIo0AddGw_20_6"/>
      <w:bookmarkStart w:id="597" w:name="Tc_9-Bo8wzDC0-XXFewiBSgew_20_0"/>
      <w:bookmarkStart w:id="598" w:name="Tc_9qn0tT6xz0G2tWd8qCwMmA_19_0"/>
      <w:bookmarkStart w:id="599" w:name="Tc_ABgAODKHIU6O4tWjaolNHQ_18_0"/>
      <w:bookmarkStart w:id="600" w:name="Tc_FaVQJ--nJ0yWKaP61RUiNA_17_0"/>
      <w:bookmarkStart w:id="601" w:name="Tc_0603U-Bnt0K9LN0QhiKKZQ_16_0"/>
      <w:bookmarkStart w:id="602" w:name="Tc_j6uM7W1ffESJ_RMQynEyCA_15_0"/>
      <w:bookmarkStart w:id="603" w:name="Tc_XNoKifa3d063XUXrmZ3InA_14_6"/>
      <w:bookmarkStart w:id="604" w:name="Tc_CEzg9MihlEaDyMIkVwGEBg_14_0"/>
      <w:bookmarkStart w:id="605" w:name="Tc_BJSHeojt40qN-l3YCdJb2A_13_0"/>
      <w:bookmarkStart w:id="606" w:name="Tc_JSJiNnywS06P01ntIEPA6g_12_0"/>
      <w:bookmarkStart w:id="607" w:name="Tc_A20jjv1B2Ei-CDVVF1S-HQ_11_0"/>
      <w:bookmarkStart w:id="608" w:name="Tc_HbCVDZjR9U-wbvkluwOfHQ_10_6"/>
      <w:bookmarkStart w:id="609" w:name="Tc_YNWKJSv43EOuyDO2B5plMg_10_0"/>
      <w:bookmarkStart w:id="610" w:name="Tc_z8tcKQaBj02lso-0I0RsEw_9_0"/>
      <w:bookmarkStart w:id="611" w:name="Tc_c-DEZSTr9U-b97IaQHtV3w_8_0"/>
      <w:bookmarkStart w:id="612" w:name="Tc_L3OdKnPZzE-q2s-ewyHu8A_7_0"/>
      <w:bookmarkStart w:id="613" w:name="Tc_Tsh4On0Yd0GnpUJf7b_gGg_6_5"/>
      <w:bookmarkStart w:id="614" w:name="Tc_MZ7Wm6-MOk-eTPPjxCIAHA_6_2"/>
      <w:bookmarkStart w:id="615" w:name="Tc_yRzersmrzk6t1x6YNpZYmA_6_0"/>
      <w:bookmarkStart w:id="616" w:name="Tc_zBJbRnNOF0Sxl2bw-MBt9Q_5_0"/>
      <w:bookmarkStart w:id="617" w:name="Tc_bv-wQBj400qweC19kYUZlg_4_5"/>
      <w:bookmarkStart w:id="618" w:name="Tc_ot3uGRFkdEG5VbmTudt5jA_4_2"/>
      <w:bookmarkStart w:id="619" w:name="Tc_TBE1KDAzl0eK6ijaBqaMZg_3_2"/>
      <w:bookmarkStart w:id="620" w:name="Tc_LRc0TjYk8k-zHPyM5z6uww_2_2"/>
      <w:bookmarkStart w:id="621" w:name="_bf446877_470c_482f_a7d1_cc2f6c0b5b83"/>
      <w:bookmarkStart w:id="622" w:name="Tc_TwCQa2C63kWbbK5R1T1YGA_41_6"/>
      <w:bookmarkStart w:id="623" w:name="Tc_TVaehkBdBku9pOu1dtvEuQ_41_5"/>
      <w:bookmarkStart w:id="624" w:name="Tc_goooEROInUiAien934nfvw_41_2"/>
      <w:bookmarkStart w:id="625" w:name="Tc_WMqaGYowyU2MJ4zKVGtRQQ_41_0"/>
      <w:bookmarkStart w:id="626" w:name="Tc_in8dqOneMES_wraCCeb3Vg_40_5"/>
      <w:bookmarkStart w:id="627" w:name="Tc_RvO9WssVDEqhmU2VI_-LnA_40_2"/>
      <w:bookmarkStart w:id="628" w:name="Tc_I4Yy0o65SkOqfI55nfeSpg_40_0"/>
      <w:bookmarkStart w:id="629" w:name="Tc_PxWU2lLvr0SmgAHvb4Uhpw_39_6"/>
      <w:bookmarkStart w:id="630" w:name="Tc_uRTIPqJ9EUKbfYE921-2uw_39_5"/>
      <w:bookmarkStart w:id="631" w:name="Tc_Ay7rXfwXp0u0aLoYqy2Edw_39_2"/>
      <w:bookmarkStart w:id="632" w:name="Tc_o0TT0TLijEqfFj8V3w7i9Q_39_0"/>
      <w:bookmarkStart w:id="633" w:name="Tc_EYr-q46bLEGtX5N4-1hSwA_38_6"/>
      <w:bookmarkStart w:id="634" w:name="Tc_9FcSMNx5xUO0aL-cduO4PQ_38_5"/>
      <w:bookmarkStart w:id="635" w:name="Tc_ARMDiLAGJUK80suN7Kg1NA_38_2"/>
      <w:bookmarkStart w:id="636" w:name="Tc_kG2BzL_2WEeWnss9AdlGOQ_38_0"/>
      <w:bookmarkStart w:id="637" w:name="Tc_7sRkznlPrUGXTDorzWRIyg_37_0"/>
      <w:bookmarkStart w:id="638" w:name="Tc_Bjnsw4OuMEWRxzQg6iMjcA_36_5"/>
      <w:bookmarkStart w:id="639" w:name="Tc_TC-27FZAxk65x_zKuHDfQw_36_2"/>
      <w:bookmarkStart w:id="640" w:name="Tc_PyP4dysjtE2ALNp-wBhnOg_36_0"/>
      <w:bookmarkStart w:id="641" w:name="Tc_ZcOMZDqjEkaarrY5pBg_6A_35_0"/>
      <w:bookmarkStart w:id="642" w:name="Tc_3Jmz5no_uk-5EQN8ksMf8Q_34_0"/>
      <w:bookmarkStart w:id="643" w:name="Tc_x6Sa9tTREEmY2oWon3Y4Yg_33_0"/>
      <w:bookmarkStart w:id="644" w:name="Tc_41TYdo1vI02WJuZfIon84g_32_0"/>
      <w:bookmarkStart w:id="645" w:name="Tc_pCyFngiINkiL3NP0hlXcnQ_31_0"/>
      <w:bookmarkStart w:id="646" w:name="Tc_i46rVgnkfkSr_1Bh_plRfQ_30_0"/>
      <w:bookmarkStart w:id="647" w:name="Tc_7WNZyOnX8EObc7Ve4PdIhA_29_0"/>
      <w:bookmarkStart w:id="648" w:name="Tc_hZtI10ymMUOoBTokELZrrg_28_6"/>
      <w:bookmarkStart w:id="649" w:name="Tc_mozDd9qhJk2Q2EaCMR3izw_28_0"/>
      <w:bookmarkStart w:id="650" w:name="Tc_HHCfB5f0YEa-4jF21IdVBw_27_0"/>
      <w:bookmarkStart w:id="651" w:name="Tc_WZCi4-qcoUGS_1dDpSc7xg_26_0"/>
      <w:bookmarkStart w:id="652" w:name="Tc_0cYik9J37kGgtpiTeKAVrA_25_0"/>
      <w:bookmarkStart w:id="653" w:name="Tc_WTOrddt9BEWxa-gRA--ivA_24_0"/>
      <w:bookmarkStart w:id="654" w:name="Tc_yOi9iL2w-0agXpGdqU3I6w_23_0"/>
      <w:bookmarkStart w:id="655" w:name="Tc_0tAeJN3cHkuMkdUHC0Pecg_22_0"/>
      <w:bookmarkStart w:id="656" w:name="Tc_-q89lF777kO6EjZ09E_K1g_21_0"/>
      <w:bookmarkStart w:id="657" w:name="Tc_1WT6T8dWb0mN3dIo0AddGw_20_6"/>
      <w:bookmarkStart w:id="658" w:name="Tc_9-Bo8wzDC0-XXFewiBSgew_20_0"/>
      <w:bookmarkStart w:id="659" w:name="Tc_9qn0tT6xz0G2tWd8qCwMmA_19_0"/>
      <w:bookmarkStart w:id="660" w:name="Tc_ABgAODKHIU6O4tWjaolNHQ_18_0"/>
      <w:bookmarkStart w:id="661" w:name="Tc_FaVQJ--nJ0yWKaP61RUiNA_17_0"/>
      <w:bookmarkStart w:id="662" w:name="Tc_0603U-Bnt0K9LN0QhiKKZQ_16_0"/>
      <w:bookmarkStart w:id="663" w:name="Tc_j6uM7W1ffESJ_RMQynEyCA_15_0"/>
      <w:bookmarkStart w:id="664" w:name="Tc_XNoKifa3d063XUXrmZ3InA_14_6"/>
      <w:bookmarkStart w:id="665" w:name="Tc_CEzg9MihlEaDyMIkVwGEBg_14_0"/>
      <w:bookmarkStart w:id="666" w:name="Tc_BJSHeojt40qN-l3YCdJb2A_13_0"/>
      <w:bookmarkStart w:id="667" w:name="Tc_JSJiNnywS06P01ntIEPA6g_12_0"/>
      <w:bookmarkStart w:id="668" w:name="Tc_A20jjv1B2Ei-CDVVF1S-HQ_11_0"/>
      <w:bookmarkStart w:id="669" w:name="Tc_HbCVDZjR9U-wbvkluwOfHQ_10_6"/>
      <w:bookmarkStart w:id="670" w:name="Tc_YNWKJSv43EOuyDO2B5plMg_10_0"/>
      <w:bookmarkStart w:id="671" w:name="Tc_z8tcKQaBj02lso-0I0RsEw_9_0"/>
      <w:bookmarkStart w:id="672" w:name="Tc_c-DEZSTr9U-b97IaQHtV3w_8_0"/>
      <w:bookmarkStart w:id="673" w:name="Tc_L3OdKnPZzE-q2s-ewyHu8A_7_0"/>
      <w:bookmarkStart w:id="674" w:name="Tc_Tsh4On0Yd0GnpUJf7b_gGg_6_5"/>
      <w:bookmarkStart w:id="675" w:name="Tc_MZ7Wm6-MOk-eTPPjxCIAHA_6_2"/>
      <w:bookmarkStart w:id="676" w:name="Tc_yRzersmrzk6t1x6YNpZYmA_6_0"/>
      <w:bookmarkStart w:id="677" w:name="Tc_zBJbRnNOF0Sxl2bw-MBt9Q_5_0"/>
      <w:bookmarkStart w:id="678" w:name="Tc_bv-wQBj400qweC19kYUZlg_4_5"/>
      <w:bookmarkStart w:id="679" w:name="Tc_ot3uGRFkdEG5VbmTudt5jA_4_2"/>
      <w:bookmarkStart w:id="680" w:name="Tc_TBE1KDAzl0eK6ijaBqaMZg_3_2"/>
      <w:bookmarkStart w:id="681" w:name="Tc_LRc0TjYk8k-zHPyM5z6uww_2_2"/>
      <w:bookmarkStart w:id="682" w:name="_bf446877_470c_482f_a7d1_cc2f6c0b5b83"/>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tbl>
      <w:tblPr>
        <w:tblW w:w="10205" w:type="dxa"/>
        <w:jc w:val="left"/>
        <w:tblInd w:w="0" w:type="dxa"/>
        <w:tblLayout w:type="fixed"/>
        <w:tblCellMar>
          <w:top w:w="0" w:type="dxa"/>
          <w:left w:w="0" w:type="dxa"/>
          <w:bottom w:w="0" w:type="dxa"/>
          <w:right w:w="0" w:type="dxa"/>
        </w:tblCellMar>
      </w:tblPr>
      <w:tblGrid>
        <w:gridCol w:w="6930"/>
        <w:gridCol w:w="346"/>
        <w:gridCol w:w="211"/>
        <w:gridCol w:w="884"/>
        <w:gridCol w:w="346"/>
        <w:gridCol w:w="211"/>
        <w:gridCol w:w="884"/>
        <w:gridCol w:w="393"/>
      </w:tblGrid>
      <w:tr>
        <w:trPr/>
        <w:tc>
          <w:tcPr>
            <w:tcW w:w="6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400550" cy="175260"/>
                      <wp:effectExtent l="0" t="0" r="0" b="0"/>
                      <wp:wrapNone/>
                      <wp:docPr id="68" name="Frame68"/>
                      <a:graphic xmlns:a="http://schemas.openxmlformats.org/drawingml/2006/main">
                        <a:graphicData uri="http://schemas.microsoft.com/office/word/2010/wordprocessingShape">
                          <wps:wsp>
                            <wps:cNvSpPr txBox="1"/>
                            <wps:spPr>
                              <a:xfrm>
                                <a:off x="0" y="0"/>
                                <a:ext cx="440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61340" cy="175260"/>
                      <wp:effectExtent l="0" t="0" r="0" b="0"/>
                      <wp:wrapNone/>
                      <wp:docPr id="71" name="Frame71"/>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1340" cy="175260"/>
                      <wp:effectExtent l="0" t="0" r="0" b="0"/>
                      <wp:wrapNone/>
                      <wp:docPr id="74" name="Frame74"/>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9555" cy="175260"/>
                      <wp:effectExtent l="0" t="0" r="0" b="0"/>
                      <wp:wrapNone/>
                      <wp:docPr id="75" name="Frame7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30"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84"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84"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3"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36"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3" w:type="dxa"/>
            <w:tcBorders/>
            <w:vAlign w:val="center"/>
          </w:tcPr>
          <w:p>
            <w:pPr>
              <w:pStyle w:val="TableContents"/>
              <w:bidi w:val="0"/>
              <w:spacing w:before="0" w:after="1"/>
              <w:ind w:left="0" w:right="0" w:hanging="0"/>
              <w:jc w:val="left"/>
              <w:rPr/>
            </w:pPr>
            <w:r>
              <w:rPr/>
              <w:t>  ​ ​ ​</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(182,127)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(108,494)</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Share-based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24,273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13,427</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Depreciation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565</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Accretion of asset retirement obligation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Non-cash lease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972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Accretion of net investment discounts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(6,638)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(9,537)</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(5,109)</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(40,278)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(1,096)</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966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5,379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2,611</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(1,092)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(104,881)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(106,787)</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(692,101)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(204,932)</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maturities of 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270,794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288,453</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Purchases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(546)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(used in) provided by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(422,447)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82,975</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Payments of offering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issuance of ordinary shares under employee share purchase plan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872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474</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Proceeds from exercise of share options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2,082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1,008</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Payment of taxes on restricted share units withheld for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(2,574)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(156)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cash provided by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1,326</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Net change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(526,985)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(22,486)</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pPr>
            <w:r>
              <w:rPr/>
              <w:t>  ​</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799,623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169,510</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End of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272,638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147,024</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b/>
                <w:sz w:val="18"/>
              </w:rPr>
            </w:pPr>
            <w:r>
              <w:rPr>
                <w:rFonts w:ascii="Arial;Helvetica;sans-serif" w:hAnsi="Arial;Helvetica;sans-serif"/>
                <w:b/>
                <w:sz w:val="18"/>
              </w:rPr>
              <w:t>Supplemental disclosures of noncash investing and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pPr>
            <w:r>
              <w:rPr/>
              <w:t>  ​</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 xml:space="preserve">Purchases of property and equipment in accounts payable and accrued expenses and other current liabilities </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321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Offering costs included in accounts payable and 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Operating lease right-of-use assets obtained in exchange for new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1,199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4,921</w:t>
            </w:r>
          </w:p>
        </w:tc>
        <w:tc>
          <w:tcPr>
            <w:tcW w:w="393" w:type="dxa"/>
            <w:tcBorders/>
            <w:vAlign w:val="center"/>
          </w:tcPr>
          <w:p>
            <w:pPr>
              <w:pStyle w:val="TableContents"/>
              <w:bidi w:val="0"/>
              <w:spacing w:before="0" w:after="1"/>
              <w:ind w:left="0" w:right="0" w:hanging="0"/>
              <w:jc w:val="left"/>
              <w:rPr/>
            </w:pPr>
            <w:r>
              <w:rPr/>
              <w:t>​</w:t>
            </w:r>
          </w:p>
        </w:tc>
      </w:tr>
      <w:tr>
        <w:trPr/>
        <w:tc>
          <w:tcPr>
            <w:tcW w:w="6930" w:type="dxa"/>
            <w:tcBorders/>
            <w:shd w:fill="CCEEFF" w:val="cle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Recognition of asset retirement obligation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8"/>
              </w:rPr>
            </w:pPr>
            <w:r>
              <w:rPr>
                <w:rFonts w:ascii="Arial;Helvetica;sans-serif" w:hAnsi="Arial;Helvetica;sans-serif"/>
                <w:sz w:val="18"/>
              </w:rPr>
              <w:t>239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8"/>
              </w:rPr>
            </w:pPr>
            <w:r>
              <w:rPr>
                <w:rFonts w:ascii="Arial;Helvetica;sans-serif" w:hAnsi="Arial;Helvetica;sans-serif"/>
                <w:sz w:val="18"/>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93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bookmarkStart w:id="683" w:name="_Hlk133314408"/>
      <w:bookmarkEnd w:id="683"/>
      <w:r>
        <w:rPr>
          <w:rFonts w:ascii="Arial;Helvetica;sans-serif" w:hAnsi="Arial;Helvetica;sans-serif"/>
          <w:sz w:val="20"/>
        </w:rPr>
        <w:t>NOTES TO UNAUDITED CONDENSED CONSOLIDATED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684" w:name="Notes"/>
      <w:bookmarkEnd w:id="684"/>
      <w:r>
        <w:rPr>
          <w:rFonts w:ascii="Arial;Helvetica;sans-serif" w:hAnsi="Arial;Helvetica;sans-serif"/>
          <w:b/>
          <w:sz w:val="20"/>
        </w:rPr>
        <w:t>1. Organization and Nature of the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Structure Therapeutics Inc. (the “Company”) is a clinical stage global biopharmaceutical company aiming to develop and deliver novel oral therapeutics to treat a wide range of chronic diseases with unmet medical need. The Company was incorporated in February 2019 in the Cayman Islands, with operating subsidiaries in the United States and China. In June 2022, the Company changed its name from ShouTi Inc. to Structure Therapeutics Inc.</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At-the-Market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August 2025, the Company entered into a sales agreement (the “ATM Sales Agreement”) with Leerink Partners LLC and Cantor Fitzgerald &amp; Co. (the “ATM Sales Agents”), pursuant to which the Company may, from time to time, offer and sell ADSs through the ATM Sales Agents in any manner deemed to be an “at-the-market offering,” up to an aggregate offering price of $250.0 million. In September 2025, the Company sold 3,040,000 ADSs under the ATM Sales Agreement, for gross proceeds of approximately $58.5 million. The net proceeds to the Company after deducting sales commissions to the ATM Sales Agents were approximately $57.1 million, and, after further deducting offering expenses, were approximately $55.8 million. The shares sold in September 2025 were sold pursuant to the Company’s automatic shelf registration statement on Form S-3, filed with the Securities and Exchange Commission (“SEC”) on August 6, 2025 (the “Shelf Registration Statement”). In May 2026, the Company amended and restated the ATM Sales Agreement (the “Amended and Restated Sales Agreement”) to remove the aggregate offering amount of ADSs the Company may offer and sell thereunder (the “ATM Shares”). In connection with the Amended and Restated Sales Agreement, in May 2026, the Company filed a prospectus supplement (the “Prospectus Supplement”) to the prospectus filed on August 6, 2025 (the “Prospectus”) with the SEC as part of the Shelf Registration Statement. The Company filed the Prospectus Supplement to increase the ATM Shares available to be sold pursuant to the terms of the Amended and Restated Sales Agreement by an additional $150.0 million, for an aggregate offering price of up to $400.0 million. As of the date of this Quarterly Report, approximately $341.5 million remained available for sale. Future shares may be sold pursuant to the Shelf Registration Statement or a subsequent registration statement.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2025 Follow-On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December 2025, the Company entered into an underwriting agreement with Jefferies LLC, Leerink Partners LLC, Goldman Sachs &amp; Co. LLC and Morgan Stanley &amp; Co. LLC, as representatives of the underwriters named therein (collectively, the “2025 Underwriters”), pursuant to which the Company agreed to issue and sell to the 2025 Underwriters an aggregate of 8,461,538 ADSs, and, in lieu of ADSs to certain investors, pre-funded warrants (“Pre-Funded Warrants”) to purchase ordinary shares represented by 1,538,462 ADSs. In addition, the Company granted the 2025 Underwriters an option (the “2025 Underwriters’ Option”) to purchase up to an aggregate of 1,500,000 additional ADSs at the public offering price, less the underwriting discounts and commissions (the “2025 Follow-On Offering”). The 2025 Follow-On Offering closed on December 11, 2025, at which time the Company issued 9,961,538 ADSs, including the issuance of 1,500,000 ADSs in connection with the full exercise of the 2025 Underwriters’ Option, at a price of $65.00 per ADS, and, in lieu of ADSs to certain investors, Pre-Funded Warrants to purchase ordinary shares represented by 1,538,462 ADSs, at a price to the public of $64.9999 per Pre-Funded Warrant, which represents the per ADS public offering price less the $0.0001 per share exercise price for each such Pre-Funded Warrant. The net proceeds from the 2025 Follow-On Offering were approximately $701.5 million after deducting underwriting discounts and commissions and estimated offering costs.</w:t>
      </w:r>
    </w:p>
    <w:p>
      <w:pPr>
        <w:pStyle w:val="TextBody"/>
        <w:bidi w:val="0"/>
        <w:spacing w:before="480" w:after="0"/>
        <w:ind w:left="0" w:right="0" w:hanging="0"/>
        <w:jc w:val="center"/>
        <w:rPr>
          <w:rFonts w:ascii="Arial;Helvetica;sans-serif" w:hAnsi="Arial;Helvetica;sans-serif"/>
          <w:sz w:val="20"/>
        </w:rPr>
      </w:pPr>
      <w:r>
        <w:rPr>
          <w:rFonts w:ascii="Arial;Helvetica;sans-serif" w:hAnsi="Arial;Helvetica;san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Liquidity and Capital Resources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incurred significant net operating losses and negative cash flows from operations since inception and had an accumulated deficit of $652.4 million as of June 30, 2026.</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the Company had cash, cash equivalents and short-term investments of $1,342.7 million. Based on its current business plan, the Company believes that its current cash, cash equivalents and short-term investments will be sufficient to fund its projected operations for at least 12 months from the date of the issuance of these condensed consolidated financial statements.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2. Summary of Significant Accounting Policies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Basis of Presentation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and related disclosures have been prepared in conformity with accounting principles generally accepted in the United States of America (“GAAP”). The condensed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gain (loss) included in determining net loss was not material for the periods presented.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Unaudited Interim Financial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condensed consolidated balance sheet as of December 31, 2025 was derived from the Company’s audited financial statements, but does not include all disclosures required by GAAP. The accompanying unaudited condensed consolidated financial statements as of June 30, 2026 and for the three and six months ended June 30, 2026 and 2025, have been prepared by the Company, pursuant to the rules and regulations of the SEC, for interim financial statements. Certain information and footnote disclosures normally included in financial statements prepared in accordance with GAAP have been condensed or omitted pursuant to such rules and regulations. Accordingly, these financial statements should be read in conjunction with the audited financial statements as of and for the year ended December 31, 2025 and notes thereto, included in the Company’s Annual Report on Form 10-K for the year ended December 31, 2025 filed with the SEC on February 26, 2026. In the opinion of management, all adjustments, consisting only of normal recurring adjustments necessary for a fair statement of the Company’s condensed consolidated financial position as of June 30, 2026 and condensed consolidated results of operations for the three and six months ended June 30, 2026 and 2025 and condensed consolidated cash flows for the six months ended June 30, 2026 and 2025 have been made. The results of operations for the three and six months ended June 30, 2026 are not necessarily indicative of the results of operations that may be expected for the year ending December 31, 2026.</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Use of Estimates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share-based compensation and certain other accrued liabilities. Actual results could differ from those estimates.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bookmarkStart w:id="685" w:name="Tc_iMa7jK5C_Ume0xJzna-Eew_16_10"/>
      <w:bookmarkStart w:id="686" w:name="Tc_pqTNBjPJyUqhOhOIU1aOEA_16_7"/>
      <w:bookmarkStart w:id="687" w:name="Tc_TlId0YMb8EisMXXa34QhYw_16_4"/>
      <w:bookmarkStart w:id="688" w:name="Tc_2Q0R-iF-nUiMWgF_GHb0NQ_16_1"/>
      <w:bookmarkStart w:id="689" w:name="Tc_G3N3ESyFr0-nrdmTMxgw-w_16_0"/>
      <w:bookmarkStart w:id="690" w:name="Tc_PGkudfxSokmTeIvDxIMfnA_15_0"/>
      <w:bookmarkStart w:id="691" w:name="Tc_AOEihADewECJo2G1oF7rMw_14_0"/>
      <w:bookmarkStart w:id="692" w:name="Tc_ItIBDxG_REyV22eP0Qug0Q_13_0"/>
      <w:bookmarkStart w:id="693" w:name="Tc_IVtVsu8c_0m4NEBXYfLzag_12_0"/>
      <w:bookmarkStart w:id="694" w:name="Tc_VF3z24-KYEqlKwTVcvJGxQ_11_0"/>
      <w:bookmarkStart w:id="695" w:name="Tc_Lx2I9yhVHUKy_mFcLhrgvw_10_0"/>
      <w:bookmarkStart w:id="696" w:name="Tc_mcp9TRuZMUOFyZTtDSWy5g_9_0"/>
      <w:bookmarkStart w:id="697" w:name="Tc_6Qlu33ik4kmJgmiFuDYPVA_8_0"/>
      <w:bookmarkStart w:id="698" w:name="Tc_QB8iBvvbukyaxPiAehpAYw_7_0"/>
      <w:bookmarkStart w:id="699" w:name="Tc_lbMcOAXI80mae9PYSERG8A_6_10"/>
      <w:bookmarkStart w:id="700" w:name="Tc_L-Zd5TVKY0i1clcvvkB3vA_6_7"/>
      <w:bookmarkStart w:id="701" w:name="Tc_eKGr9VcAZEu6cOJYik7Edw_6_4"/>
      <w:bookmarkStart w:id="702" w:name="Tc_158QHUSIhUGgy9TydTe9OQ_6_1"/>
      <w:bookmarkStart w:id="703" w:name="Tc_xzjdv34BqEuYEfJwx94PMg_6_0"/>
      <w:bookmarkStart w:id="704" w:name="Tc_D8oFGhvcAkqGtMrESlFDrw_5_0"/>
      <w:bookmarkStart w:id="705" w:name="Tc_fGr8fqTgnke7qoh7m3Hy0A_4_10"/>
      <w:bookmarkStart w:id="706" w:name="Tc_Eks4IaNHP02XNgpiaTtsiQ_4_7"/>
      <w:bookmarkStart w:id="707" w:name="Tc_PQWzX7uxgkWMBTOaVBx3LA_4_4"/>
      <w:bookmarkStart w:id="708" w:name="Tc_gslMVa3k6kW_ZAizneV2PQ_4_1"/>
      <w:bookmarkStart w:id="709" w:name="Tc_CV_2rFX0W0q86WXG7CBsEg_3_7"/>
      <w:bookmarkStart w:id="710" w:name="Tc_6BI70aYyRkSlurd2fVroXg_3_1"/>
      <w:bookmarkStart w:id="711" w:name="Tc_UZ90lgfjg0iellhhx494yA_2_7"/>
      <w:bookmarkStart w:id="712" w:name="Tc_h-Ef58EtZ0KksZax-41EXQ_2_1"/>
      <w:bookmarkStart w:id="713" w:name="_e61efa0c_9059_430f_b8a4_48d0249ab54d"/>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r>
        <w:rPr>
          <w:rFonts w:ascii="Arial;Helvetica;sans-serif" w:hAnsi="Arial;Helvetica;sans-serif"/>
          <w:b/>
          <w:i/>
          <w:sz w:val="20"/>
        </w:rPr>
        <w:t>Segments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operates and manages its business as one reportable and operating segment, which is the business of research and development of medicines that target chronic diseases with unmet medical need. The Company’s Chief Executive Officer, who is the chief operating decision maker (“CODM”), reviews consolidated financial statements and decides how to allocate resources and evaluate segment performance based on net loss reported in the consolidated statements of operations and comprehensive loss. The Company’s long-lived assets are primarily in China.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table below is a summary of the segment net loss, including significant segment expenses (in thousands):</w:t>
      </w:r>
    </w:p>
    <w:tbl>
      <w:tblPr>
        <w:tblW w:w="10205" w:type="dxa"/>
        <w:jc w:val="left"/>
        <w:tblInd w:w="0" w:type="dxa"/>
        <w:tblLayout w:type="fixed"/>
        <w:tblCellMar>
          <w:top w:w="0" w:type="dxa"/>
          <w:left w:w="0" w:type="dxa"/>
          <w:bottom w:w="0" w:type="dxa"/>
          <w:right w:w="0" w:type="dxa"/>
        </w:tblCellMar>
      </w:tblPr>
      <w:tblGrid>
        <w:gridCol w:w="4779"/>
        <w:gridCol w:w="211"/>
        <w:gridCol w:w="900"/>
        <w:gridCol w:w="346"/>
        <w:gridCol w:w="211"/>
        <w:gridCol w:w="795"/>
        <w:gridCol w:w="346"/>
        <w:gridCol w:w="211"/>
        <w:gridCol w:w="900"/>
        <w:gridCol w:w="346"/>
        <w:gridCol w:w="211"/>
        <w:gridCol w:w="949"/>
      </w:tblGrid>
      <w:tr>
        <w:trPr/>
        <w:tc>
          <w:tcPr>
            <w:tcW w:w="4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034665" cy="175260"/>
                      <wp:effectExtent l="0" t="0" r="0" b="0"/>
                      <wp:wrapNone/>
                      <wp:docPr id="76" name="Frame76"/>
                      <a:graphic xmlns:a="http://schemas.openxmlformats.org/drawingml/2006/main">
                        <a:graphicData uri="http://schemas.microsoft.com/office/word/2010/wordprocessingShape">
                          <wps:wsp>
                            <wps:cNvSpPr txBox="1"/>
                            <wps:spPr>
                              <a:xfrm>
                                <a:off x="0" y="0"/>
                                <a:ext cx="303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71500" cy="175260"/>
                      <wp:effectExtent l="0" t="0" r="0" b="0"/>
                      <wp:wrapNone/>
                      <wp:docPr id="78" name="Frame78"/>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04825" cy="175260"/>
                      <wp:effectExtent l="0" t="0" r="0" b="0"/>
                      <wp:wrapNone/>
                      <wp:docPr id="81" name="Frame81"/>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71500" cy="175260"/>
                      <wp:effectExtent l="0" t="0" r="0" b="0"/>
                      <wp:wrapNone/>
                      <wp:docPr id="84" name="Frame84"/>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02615" cy="175260"/>
                      <wp:effectExtent l="0" t="0" r="0" b="0"/>
                      <wp:wrapNone/>
                      <wp:docPr id="87" name="Frame87"/>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0"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95"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00"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49" w:type="dxa"/>
            <w:tcBorders>
              <w:top w:val="single" w:sz="2" w:space="0" w:color="000000"/>
            </w:tcBorders>
            <w:tcMar>
              <w:top w:w="28" w:type="dxa"/>
            </w:tcMar>
            <w:vAlign w:val="center"/>
          </w:tcPr>
          <w:p>
            <w:pPr>
              <w:pStyle w:val="TableContents"/>
              <w:bidi w:val="0"/>
              <w:spacing w:before="0" w:after="1"/>
              <w:ind w:left="0" w:right="0" w:hanging="0"/>
              <w:jc w:val="center"/>
              <w:rPr/>
            </w:pPr>
            <w:r>
              <w:rPr/>
              <w:t>​</w:t>
            </w:r>
          </w:p>
        </w:tc>
      </w:tr>
      <w:tr>
        <w:trPr/>
        <w:tc>
          <w:tcPr>
            <w:tcW w:w="4779" w:type="dxa"/>
            <w:tcBorders/>
            <w:vAlign w:val="center"/>
          </w:tcPr>
          <w:p>
            <w:pPr>
              <w:pStyle w:val="TableContents"/>
              <w:bidi w:val="0"/>
              <w:spacing w:before="0" w:after="1"/>
              <w:ind w:left="0" w:right="0" w:hanging="0"/>
              <w:jc w:val="left"/>
              <w:rPr/>
            </w:pPr>
            <w:r>
              <w:rPr/>
              <w:t>​</w:t>
            </w:r>
          </w:p>
        </w:tc>
        <w:tc>
          <w:tcPr>
            <w:tcW w:w="2463"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617"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r>
      <w:tr>
        <w:trPr/>
        <w:tc>
          <w:tcPr>
            <w:tcW w:w="4779" w:type="dxa"/>
            <w:tcBorders/>
            <w:vAlign w:val="center"/>
          </w:tcPr>
          <w:p>
            <w:pPr>
              <w:pStyle w:val="TableContents"/>
              <w:bidi w:val="0"/>
              <w:spacing w:before="0" w:after="1"/>
              <w:ind w:left="0" w:right="0" w:hanging="0"/>
              <w:jc w:val="left"/>
              <w:rPr/>
            </w:pPr>
            <w:r>
              <w:rPr/>
              <w:t>​</w:t>
            </w:r>
          </w:p>
        </w:tc>
        <w:tc>
          <w:tcPr>
            <w:tcW w:w="24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61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779" w:type="dxa"/>
            <w:tcBorders/>
            <w:vAlign w:val="center"/>
          </w:tcPr>
          <w:p>
            <w:pPr>
              <w:pStyle w:val="TableContents"/>
              <w:bidi w:val="0"/>
              <w:spacing w:before="0" w:after="1"/>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r>
      <w:tr>
        <w:trPr/>
        <w:tc>
          <w:tcPr>
            <w:tcW w:w="47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21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  ​</w:t>
            </w:r>
          </w:p>
        </w:tc>
      </w:tr>
      <w:tr>
        <w:trPr/>
        <w:tc>
          <w:tcPr>
            <w:tcW w:w="47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Discovery research and development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23,079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26,244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41,596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48,031</w:t>
            </w:r>
          </w:p>
        </w:tc>
      </w:tr>
      <w:tr>
        <w:trPr/>
        <w:tc>
          <w:tcPr>
            <w:tcW w:w="47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Manufacturing</w:t>
            </w:r>
          </w:p>
        </w:tc>
        <w:tc>
          <w:tcPr>
            <w:tcW w:w="21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15,278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19,548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133</w:t>
            </w:r>
          </w:p>
        </w:tc>
      </w:tr>
      <w:tr>
        <w:trPr/>
        <w:tc>
          <w:tcPr>
            <w:tcW w:w="47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Clinical research and development</w:t>
            </w:r>
          </w:p>
        </w:tc>
        <w:tc>
          <w:tcPr>
            <w:tcW w:w="21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49,859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23,016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85,055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40,173</w:t>
            </w:r>
          </w:p>
        </w:tc>
      </w:tr>
      <w:tr>
        <w:trPr/>
        <w:tc>
          <w:tcPr>
            <w:tcW w:w="47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Other research and development expenses</w:t>
            </w:r>
          </w:p>
        </w:tc>
        <w:tc>
          <w:tcPr>
            <w:tcW w:w="21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5,317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20,365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9,240</w:t>
            </w:r>
          </w:p>
        </w:tc>
      </w:tr>
      <w:tr>
        <w:trPr/>
        <w:tc>
          <w:tcPr>
            <w:tcW w:w="47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29,185</w:t>
            </w:r>
          </w:p>
        </w:tc>
      </w:tr>
      <w:tr>
        <w:trPr/>
        <w:tc>
          <w:tcPr>
            <w:tcW w:w="47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21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5"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0"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126,762</w:t>
            </w:r>
          </w:p>
        </w:tc>
      </w:tr>
      <w:tr>
        <w:trPr/>
        <w:tc>
          <w:tcPr>
            <w:tcW w:w="47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21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(126,762)</w:t>
            </w:r>
          </w:p>
        </w:tc>
      </w:tr>
      <w:tr>
        <w:trPr/>
        <w:tc>
          <w:tcPr>
            <w:tcW w:w="47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18,505</w:t>
            </w:r>
          </w:p>
        </w:tc>
      </w:tr>
      <w:tr>
        <w:trPr/>
        <w:tc>
          <w:tcPr>
            <w:tcW w:w="47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provision for income taxes</w:t>
            </w:r>
          </w:p>
        </w:tc>
        <w:tc>
          <w:tcPr>
            <w:tcW w:w="21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(105,925)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5"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(61,522)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0"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(181,703)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9"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(108,257)</w:t>
            </w:r>
          </w:p>
        </w:tc>
      </w:tr>
      <w:tr>
        <w:trPr/>
        <w:tc>
          <w:tcPr>
            <w:tcW w:w="4779"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w:t>
            </w:r>
          </w:p>
        </w:tc>
      </w:tr>
      <w:tr>
        <w:trPr/>
        <w:tc>
          <w:tcPr>
            <w:tcW w:w="4779"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Segment net loss and net loss attributable to ordinary shareholders</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(106,159)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95"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(61,661)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00"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(182,127)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(108,494)</w:t>
            </w:r>
          </w:p>
        </w:tc>
      </w:tr>
      <w:tr>
        <w:trPr/>
        <w:tc>
          <w:tcPr>
            <w:tcW w:w="47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Concentration of Credit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short-term investments by investing in investment-grade securities and using banks and institutions it believes are creditworthy.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Risks and Uncertainties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subject to risks and uncertainties common to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relies and expects to continue to rely on a small number of vendors to manufacture supplies and materials for use in its clinical trial programs. These programs could be adversely affected by a significant interruption in these manufacturing services.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Fair Value of Financial Instruments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carrying value of cash and cash equivalents, accounts payable and accrued liabilities approximate fair value due to their relatively short maturities. The Company determines the fair value of financial and non-financial assets and liabilities using the fair value hierarchy which establishes three levels of inputs that may be used to measure fair value (see Note 4).</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Net Loss Per Share Attributable to Ordinary Shareholders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Basic net loss per ordinary share is calculated by dividing the net loss attributable to ordinary shareholders by the weighted-average number of ordinary shares outstanding during the period, including the Pre-Funded Warrants, without consideration of potentially dilutive securities. Ordinary shares into which the Pre-Funded Warrants may be exercised are considered outstanding for the purposes of computing basic net loss per share because the shares may be issued for little or no consideration, are fully vested and are exercisable after the original issuance date (see Note 6). Diluted net loss per ordinary share is computed by dividing the net loss attributable to ordinary shareholders by the weighted-average number of ordinary shares, including the Pre-Funded Warrants, and potentially dilutive securities outstanding for the period. For purposes of the diluted net loss per share calculation, the unvested restricted share units, ordinary shares committed under the employee share purchase plan and share options are considered to be potentially dilutive securities. Because the Company has reported a net loss for all periods presented and the inclusion of the potentially dilutive securities would be antidilutive, diluted net loss per ordinary share is the same as basic net loss per ordinary share for those periods.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Recent Accounting Pronouncements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Accounting Pronouncements Not Yet Adopted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November 2024, the Financial Accounting Standards Board (“FASB”) issued Accounting Standards Update (“ASU”) 2024-03, </w:t>
      </w:r>
      <w:r>
        <w:rPr>
          <w:rFonts w:ascii="Arial;Helvetica;sans-serif" w:hAnsi="Arial;Helvetica;sans-serif"/>
          <w:i/>
          <w:sz w:val="20"/>
        </w:rPr>
        <w:t>Income Statement - Reporting Comprehensive Income - Expense Disaggregation Disclosures (Subtopic 220-40): Disaggregation of Income Statement Expenses</w:t>
      </w:r>
      <w:r>
        <w:rPr>
          <w:rFonts w:ascii="Arial;Helvetica;sans-serif" w:hAnsi="Arial;Helvetica;sans-serif"/>
          <w:sz w:val="20"/>
        </w:rPr>
        <w:t>. This ASU requires additional information about a reporting entity’s certain expense categories in the notes to financial statements in interim and annual reporting periods. Among other provisions, the new standard requires disclosure of disaggregated amounts for expenses such as employee compensation, depreciation, and intangible asset amortization included in each expense caption presented on the face of the income statement. This ASU is effective for fiscal years beginning after December 15, 2026, and interim periods within fiscal years beginning after December 15, 2027, with early adoption permitted. The Company is currently evaluating the impact the adoption of this ASU will have on disclosures in its consolidated financial statements.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December 2025, the FASB issued ASU 2025-11, </w:t>
      </w:r>
      <w:r>
        <w:rPr>
          <w:rFonts w:ascii="Arial;Helvetica;sans-serif" w:hAnsi="Arial;Helvetica;sans-serif"/>
          <w:i/>
          <w:sz w:val="20"/>
        </w:rPr>
        <w:t>Interim Reporting (Topic 270): Narrow-Scope Improvements</w:t>
      </w:r>
      <w:r>
        <w:rPr>
          <w:rFonts w:ascii="Arial;Helvetica;sans-serif" w:hAnsi="Arial;Helvetica;sans-serif"/>
          <w:sz w:val="20"/>
        </w:rPr>
        <w:t xml:space="preserve">.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significant changes to recognition or measurement guidance. This ASU is effective for interim reporting periods within annual reporting periods beginning after December 15, 2027, with early adoption permitted. The Company is currently evaluating the impact the adoption of this ASU will have on disclosures in its consolidated financial statements.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December 2025, the FASB issued ASU 2025-12, </w:t>
      </w:r>
      <w:r>
        <w:rPr>
          <w:rFonts w:ascii="Arial;Helvetica;sans-serif" w:hAnsi="Arial;Helvetica;sans-serif"/>
          <w:i/>
          <w:sz w:val="20"/>
        </w:rPr>
        <w:t>Codification Improvements</w:t>
      </w:r>
      <w:r>
        <w:rPr>
          <w:rFonts w:ascii="Arial;Helvetica;sans-serif" w:hAnsi="Arial;Helvetica;sans-serif"/>
          <w:sz w:val="20"/>
        </w:rPr>
        <w:t>. This ASU addresses suggestions received from stakeholders regarding the Accounting Standards Codification and makes other incremental improvements to GAAP. The update represents changes to the Codification that clarify, correct errors in or make other improvements to a variety of topics that are intended to make it easier to understand and apply. This ASU is effective for fiscal years beginning after December 15, 2026 and interim periods within those fiscal years. Entities are required to apply the amendments to ASC 260 retrospectively. All other amendments may be applied prospectively or retrospectively. The Company is currently evaluating the impact the adoption of this ASU will have on disclosures in its consolidated financial statements.</w:t>
      </w:r>
    </w:p>
    <w:p>
      <w:pPr>
        <w:pStyle w:val="TextBody"/>
        <w:bidi w:val="0"/>
        <w:spacing w:before="0" w:after="240"/>
        <w:ind w:left="0" w:right="0" w:hanging="0"/>
        <w:jc w:val="left"/>
        <w:rPr>
          <w:rFonts w:ascii="Arial;Helvetica;sans-serif" w:hAnsi="Arial;Helvetica;sans-serif"/>
          <w:b/>
          <w:sz w:val="20"/>
        </w:rPr>
      </w:pPr>
      <w:bookmarkStart w:id="714" w:name="Tc_ed3DqULzgkKW5VVxBk_WNw_9_5"/>
      <w:bookmarkStart w:id="715" w:name="Tc_PE_QBXyFjE6r34Ydu5KtDw_9_2"/>
      <w:bookmarkStart w:id="716" w:name="Tc_DNf_UsUjHUykyk14lwTXCQ_9_0"/>
      <w:bookmarkStart w:id="717" w:name="Tc_9a8uSDwn7kGEQPiU3QoirA_8_0"/>
      <w:bookmarkStart w:id="718" w:name="Tc_7kRhQtJHTUGsUmxkNKLAtw_7_0"/>
      <w:bookmarkStart w:id="719" w:name="Tc_MXAE0lQpBUm5N-2x7YBm_w_6_0"/>
      <w:bookmarkStart w:id="720" w:name="Tc_5hfp_LyvEkyqa1oLyO6EZw_5_0"/>
      <w:bookmarkStart w:id="721" w:name="Tc_s_ukrz33mEuaBjTpp6gZ-A_4_5"/>
      <w:bookmarkStart w:id="722" w:name="Tc_fX1_NfsWIECxLwCjdn9F5A_4_2"/>
      <w:bookmarkStart w:id="723" w:name="Tc_uKQv9327KUKN3_2R5kH7_g_4_0"/>
      <w:bookmarkStart w:id="724" w:name="Tc_cM1HRvt41Uqm3glxL9GQgQ_3_5"/>
      <w:bookmarkStart w:id="725" w:name="Tc___fCP3Xv6kKbN21uIBgp4Q_3_2"/>
      <w:bookmarkStart w:id="726" w:name="Tc_7mM9_lfqVUW_JDRaVFx9EQ_2_5"/>
      <w:bookmarkStart w:id="727" w:name="Tc_9lEgbwRiokKj1aMPmY9r4g_2_2"/>
      <w:bookmarkStart w:id="728" w:name="_50e35cd8_db4c_4093_8965_d4a803c85488"/>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r>
        <w:rPr>
          <w:rFonts w:ascii="Arial;Helvetica;sans-serif" w:hAnsi="Arial;Helvetica;sans-serif"/>
          <w:b/>
          <w:sz w:val="20"/>
        </w:rPr>
        <w:t>3. Composition of Certain Consolidated Financial Statement Line Items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Accrued expenses and other current liabilities consisted of the following (in thousands):</w:t>
      </w:r>
    </w:p>
    <w:tbl>
      <w:tblPr>
        <w:tblW w:w="7881" w:type="dxa"/>
        <w:jc w:val="left"/>
        <w:tblInd w:w="0" w:type="dxa"/>
        <w:tblLayout w:type="fixed"/>
        <w:tblCellMar>
          <w:top w:w="0" w:type="dxa"/>
          <w:left w:w="0" w:type="dxa"/>
          <w:bottom w:w="0" w:type="dxa"/>
          <w:right w:w="0" w:type="dxa"/>
        </w:tblCellMar>
      </w:tblPr>
      <w:tblGrid>
        <w:gridCol w:w="4546"/>
        <w:gridCol w:w="346"/>
        <w:gridCol w:w="211"/>
        <w:gridCol w:w="691"/>
        <w:gridCol w:w="346"/>
        <w:gridCol w:w="314"/>
        <w:gridCol w:w="1036"/>
        <w:gridCol w:w="391"/>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886710" cy="175260"/>
                      <wp:effectExtent l="0" t="0" r="0" b="0"/>
                      <wp:wrapNone/>
                      <wp:docPr id="88" name="Frame88"/>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38785" cy="175260"/>
                      <wp:effectExtent l="0" t="0" r="0" b="0"/>
                      <wp:wrapNone/>
                      <wp:docPr id="91" name="Frame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9390" cy="175260"/>
                      <wp:effectExtent l="0" t="0" r="0" b="0"/>
                      <wp:wrapNone/>
                      <wp:docPr id="93" name="Frame93"/>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57860" cy="175260"/>
                      <wp:effectExtent l="0" t="0" r="0" b="0"/>
                      <wp:wrapNone/>
                      <wp:docPr id="94" name="Frame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48285" cy="175260"/>
                      <wp:effectExtent l="0" t="0" r="0" b="0"/>
                      <wp:wrapNone/>
                      <wp:docPr id="95" name="Frame9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14"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3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91" w:type="dxa"/>
            <w:tcBorders/>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8,013</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12,434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research and development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17,348</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12,404</w:t>
            </w:r>
          </w:p>
        </w:tc>
        <w:tc>
          <w:tcPr>
            <w:tcW w:w="391"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clinical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22,015</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15,791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professional services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3,138</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4,470</w:t>
            </w:r>
          </w:p>
        </w:tc>
        <w:tc>
          <w:tcPr>
            <w:tcW w:w="391" w:type="dxa"/>
            <w:tcBorders/>
            <w:vAlign w:val="center"/>
          </w:tcPr>
          <w:p>
            <w:pPr>
              <w:pStyle w:val="TableContents"/>
              <w:bidi w:val="0"/>
              <w:spacing w:before="0" w:after="1"/>
              <w:ind w:left="0" w:right="0" w:hanging="0"/>
              <w:jc w:val="left"/>
              <w:rPr/>
            </w:pPr>
            <w:r>
              <w:rPr/>
              <w:t>​</w:t>
            </w:r>
          </w:p>
        </w:tc>
      </w:tr>
      <w:tr>
        <w:trPr/>
        <w:tc>
          <w:tcPr>
            <w:tcW w:w="454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Accrued other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1,873</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1,444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54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accrued expenses and other current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52,387</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46,543</w:t>
            </w:r>
          </w:p>
        </w:tc>
        <w:tc>
          <w:tcPr>
            <w:tcW w:w="391" w:type="dxa"/>
            <w:tcBorders/>
            <w:vAlign w:val="center"/>
          </w:tcPr>
          <w:p>
            <w:pPr>
              <w:pStyle w:val="TableContents"/>
              <w:bidi w:val="0"/>
              <w:spacing w:before="0" w:after="1"/>
              <w:ind w:left="0" w:right="0" w:hanging="0"/>
              <w:jc w:val="left"/>
              <w:rPr/>
            </w:pPr>
            <w:r>
              <w:rPr/>
              <w:t>​</w:t>
            </w:r>
          </w:p>
        </w:tc>
      </w:tr>
      <w:tr>
        <w:trPr/>
        <w:tc>
          <w:tcPr>
            <w:tcW w:w="45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4. Fair Value Measurements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determines the fair value of financial and non-financial assets and liabilities using the fair value hierarchy which establishes three levels of inputs that may be used to measure fair value, as follows:</w:t>
      </w:r>
    </w:p>
    <w:p>
      <w:pPr>
        <w:pStyle w:val="TextBody"/>
        <w:bidi w:val="0"/>
        <w:spacing w:before="0" w:after="240"/>
        <w:ind w:left="0" w:right="0" w:firstLine="720"/>
        <w:jc w:val="left"/>
        <w:rPr>
          <w:rFonts w:ascii="Arial;Helvetica;sans-serif" w:hAnsi="Arial;Helvetica;sans-serif"/>
          <w:sz w:val="20"/>
        </w:rPr>
      </w:pPr>
      <w:r>
        <w:rPr>
          <w:rFonts w:ascii="Arial;Helvetica;sans-serif" w:hAnsi="Arial;Helvetica;sans-serif"/>
          <w:sz w:val="20"/>
        </w:rPr>
        <w:t>Level 1—Observable inputs, such as quoted prices in active markets for identical assets or liabilities;</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pStyle w:val="TextBody"/>
        <w:bidi w:val="0"/>
        <w:spacing w:before="0" w:after="240"/>
        <w:ind w:left="720" w:right="0" w:hanging="0"/>
        <w:jc w:val="left"/>
        <w:rPr>
          <w:rFonts w:ascii="Arial;Helvetica;sans-serif" w:hAnsi="Arial;Helvetica;sans-serif"/>
          <w:sz w:val="20"/>
        </w:rPr>
      </w:pPr>
      <w:r>
        <w:rPr>
          <w:rFonts w:ascii="Arial;Helvetica;sans-serif" w:hAnsi="Arial;Helvetica;sans-serif"/>
          <w:sz w:val="20"/>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Assets and liabilities measured at fair value are classified in their entirety based on the lowest level of input that is significant to the fair value measurement. The Company’s assessment of the significance of a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bookmarkStart w:id="729" w:name="Tc_Lj-SO-J2akSFBIV1FTvjTQ_10_23"/>
      <w:bookmarkStart w:id="730" w:name="Tc__CbZ47FJnE6f7nHvMv8lJA_10_20"/>
      <w:bookmarkStart w:id="731" w:name="Tc_myeoEIP1HEWiYfHQ1H8M1Q_10_17"/>
      <w:bookmarkStart w:id="732" w:name="Tc_-8ys-4wooEelv7JQYnM--g_10_14"/>
      <w:bookmarkStart w:id="733" w:name="Tc_mPQzw8COhU-6n8b2MXHHrw_10_11"/>
      <w:bookmarkStart w:id="734" w:name="Tc_3JIIw6fWwUaNB5k4Bg1cIQ_10_8"/>
      <w:bookmarkStart w:id="735" w:name="Tc_Gl76TgZKBUSmRque-8JomA_10_5"/>
      <w:bookmarkStart w:id="736" w:name="Tc_e3PjIO_Io0Cyuki4I-qcXg_10_2"/>
      <w:bookmarkStart w:id="737" w:name="Tc_l69nBGoegkqAG6oAz0D7aA_10_0"/>
      <w:bookmarkStart w:id="738" w:name="Tc_0fa0c-XXxEa_kKdnNfv8uQ_9_0"/>
      <w:bookmarkStart w:id="739" w:name="Tc_VoT1xFqubUSj46AiUzkOMg_8_18"/>
      <w:bookmarkStart w:id="740" w:name="Tc_9wd_7mg8Xk-s6hSkIkUFuw_8_9"/>
      <w:bookmarkStart w:id="741" w:name="Tc_cxe0mlkMNES_eeEDefLVfw_8_0"/>
      <w:bookmarkStart w:id="742" w:name="Tc_MnDJR7Gd9k6sKf4JIvm8Ug_7_0"/>
      <w:bookmarkStart w:id="743" w:name="Tc_x6wtmN6OVUC54muLFxxlkw_6_23"/>
      <w:bookmarkStart w:id="744" w:name="Tc_1bKzj-PnE0iJu1udvPMlfQ_6_21"/>
      <w:bookmarkStart w:id="745" w:name="Tc_W5NVVfLw9UG7to6afaOrxg_6_20"/>
      <w:bookmarkStart w:id="746" w:name="Tc_PEmON0Dxa0eZoWv2pIHzYg_6_18"/>
      <w:bookmarkStart w:id="747" w:name="Tc_q805yax0EUi9ooedQE7F2A_6_17"/>
      <w:bookmarkStart w:id="748" w:name="Tc_A-NNfAPFRUaRkSGmZCl0oA_6_14"/>
      <w:bookmarkStart w:id="749" w:name="Tc_99q4sbfIf0e3IMfxVha7Cw_6_11"/>
      <w:bookmarkStart w:id="750" w:name="Tc_o7x5gkBVWUenpMoeOd4Bew_6_9"/>
      <w:bookmarkStart w:id="751" w:name="Tc_1saQ_Uqn9Uq9oQYbBVGdHA_6_8"/>
      <w:bookmarkStart w:id="752" w:name="Tc_p9PuyXoH3UKjBT6sh7QBXw_6_6"/>
      <w:bookmarkStart w:id="753" w:name="Tc_Dy044wwd3EOGEQIeMx0zSA_6_5"/>
      <w:bookmarkStart w:id="754" w:name="Tc_sd51uxCBeEq60OBpKpIfNg_6_2"/>
      <w:bookmarkStart w:id="755" w:name="Tc_zScERGMExUiMspWqka3Cog_6_0"/>
      <w:bookmarkStart w:id="756" w:name="Tc_cMPf8bvP8ku0KhGq1FmADA_5_23"/>
      <w:bookmarkStart w:id="757" w:name="Tc_C1lXALbnbEuJbS2FygsskA_5_20"/>
      <w:bookmarkStart w:id="758" w:name="Tc_DJPYqPmRu06ZKi2aF4lsGQ_5_17"/>
      <w:bookmarkStart w:id="759" w:name="Tc_ed6aL4J_VkOI6f5UB-d7hA_5_14"/>
      <w:bookmarkStart w:id="760" w:name="Tc_3mDKeZebb0GsIjS0g1yeZg_5_11"/>
      <w:bookmarkStart w:id="761" w:name="Tc_LkZA_oTsRkKJVAyUNTCX-w_5_8"/>
      <w:bookmarkStart w:id="762" w:name="Tc_AH9LM-PeS0-6DQBRqZ_qBA_5_5"/>
      <w:bookmarkStart w:id="763" w:name="Tc_cWdSYa-EYU6ZonCjqhhJpA_5_2"/>
      <w:bookmarkStart w:id="764" w:name="Tc_l_j7-ZyZ2UyoNgRMTe3Eww_4_23"/>
      <w:bookmarkStart w:id="765" w:name="Tc_9oLiJW5h9UW0CgPAIPuWnw_4_17"/>
      <w:bookmarkStart w:id="766" w:name="Tc_ufj6qlYIvUagNrNmT34tFw_4_15"/>
      <w:bookmarkStart w:id="767" w:name="Tc_QeFNhA_qA0OA9foaaXIkDw_4_11"/>
      <w:bookmarkStart w:id="768" w:name="Tc_hH7G9NpV3UOEevF-2r29AA_4_5"/>
      <w:bookmarkStart w:id="769" w:name="Tc_26_jD52Ym0qBbywwxxifzQ_4_3"/>
      <w:bookmarkStart w:id="770" w:name="Tc_P_nIpS2zWki4kJHXSRmdcA_3_14"/>
      <w:bookmarkStart w:id="771" w:name="Tc_RAKBKk577kSKpTq6La9DSw_3_2"/>
      <w:bookmarkStart w:id="772" w:name="Tc_EDCzWLSV90OavLYjGd3hNA_2_14"/>
      <w:bookmarkStart w:id="773" w:name="Tc_U5mQvHB-yUqwCw6KQHlUow_2_2"/>
      <w:bookmarkStart w:id="774" w:name="_e1f15a35_96ca_471b_b396_b249b5e92536"/>
      <w:bookmarkStart w:id="775" w:name="Tc_tJTJaIswBUyJmMtqL4EUYA_9_23"/>
      <w:bookmarkStart w:id="776" w:name="Tc_bRttZJQBdE-793O8Nlxrwg_9_21"/>
      <w:bookmarkStart w:id="777" w:name="Tc_mO2cowi9oEauWatUk1BTIg_9_20"/>
      <w:bookmarkStart w:id="778" w:name="Tc_kd9o8J4jq0KgWr2JbJ2zHQ_9_17"/>
      <w:bookmarkStart w:id="779" w:name="Tc_tOzkie6TREmvwp1S_N76TA_9_14"/>
      <w:bookmarkStart w:id="780" w:name="Tc_p0zNxVueA0i2i8SksyDzNQ_9_11"/>
      <w:bookmarkStart w:id="781" w:name="Tc_XTVYb7tBP0-ZqYqcpEwXPA_9_9"/>
      <w:bookmarkStart w:id="782" w:name="Tc_yrdxlban1kWczbv7ppAjWg_9_8"/>
      <w:bookmarkStart w:id="783" w:name="Tc_Fq6LPvTDy02WJwrFXiPFyQ_9_5"/>
      <w:bookmarkStart w:id="784" w:name="Tc_7Bee4MdPeUuSPEJzIwdP0g_9_2"/>
      <w:bookmarkStart w:id="785" w:name="Tc_fcDQN_g3fEOnCrNeyu2Nxw_9_0"/>
      <w:bookmarkStart w:id="786" w:name="Tc_1JzjQn8HwkSn3OWfVlBK-Q_8_21"/>
      <w:bookmarkStart w:id="787" w:name="Tc_LCp-PEcYfE6uQ0jK8wmiCg_8_15"/>
      <w:bookmarkStart w:id="788" w:name="Tc_34ddfdPLZEyXf0FLI7_UNQ_8_9"/>
      <w:bookmarkStart w:id="789" w:name="Tc_IrpjgoFiS0-M7XCZ7Br6Ng_8_3"/>
      <w:bookmarkStart w:id="790" w:name="Tc_rTa95ZSeIkev-CZEZ_x2mg_8_0"/>
      <w:bookmarkStart w:id="791" w:name="Tc_beuqswcPS0iTBszDDSbtYA_7_21"/>
      <w:bookmarkStart w:id="792" w:name="Tc_fpOA8lCEkESRNxBmvhPmrQ_7_15"/>
      <w:bookmarkStart w:id="793" w:name="Tc_jpmKmW-Y_UGV0LjEiU4fyg_7_9"/>
      <w:bookmarkStart w:id="794" w:name="Tc_J-ZeHbIax06wMhmRr-OyTA_7_3"/>
      <w:bookmarkStart w:id="795" w:name="Tc_gvaS9UKYqEqph5jBXMckwA_7_0"/>
      <w:bookmarkStart w:id="796" w:name="Tc_crPzhKJ0k0afihv5A3FV1Q_6_21"/>
      <w:bookmarkStart w:id="797" w:name="Tc_kKpdL9kwxEunKh8GgGv_Og_6_18"/>
      <w:bookmarkStart w:id="798" w:name="Tc_Bw7Yth6HXkG66dKZ74iAGA_6_9"/>
      <w:bookmarkStart w:id="799" w:name="Tc_rPP0kbhROEmkQ2je-KAS4A_6_6"/>
      <w:bookmarkStart w:id="800" w:name="Tc_F3j893s6bkOq8uMFi1c2Ow_6_0"/>
      <w:bookmarkStart w:id="801" w:name="Tc_sXyb3y6jt0qaZyx_Y4zn1A_5_23"/>
      <w:bookmarkStart w:id="802" w:name="Tc_CEMhHLxcPEuuNC36lJPrOw_5_21"/>
      <w:bookmarkStart w:id="803" w:name="Tc_3yd9Ds8IIE2wYNyOkGKRZQ_5_20"/>
      <w:bookmarkStart w:id="804" w:name="Tc_JcpoGvM72UuE8Cnnczlk6Q_5_18"/>
      <w:bookmarkStart w:id="805" w:name="Tc_bitjHV_7g0y3E1Lieqg2Mw_5_17"/>
      <w:bookmarkStart w:id="806" w:name="Tc_WISkbi41TEeMoWxyU2Wkog_5_14"/>
      <w:bookmarkStart w:id="807" w:name="Tc_tQ1_--ipr0e-LsK2hP29Kw_5_11"/>
      <w:bookmarkStart w:id="808" w:name="Tc_55OdaLMoKUmo9v8Ttj5y0g_5_9"/>
      <w:bookmarkStart w:id="809" w:name="Tc_5SYny2ILik-TCXaNgLmLEg_5_8"/>
      <w:bookmarkStart w:id="810" w:name="Tc_SckmgHbkzk-UjjzVUHn9Tg_5_6"/>
      <w:bookmarkStart w:id="811" w:name="Tc_aI9vOMSl4k6fzkTGL3eKWA_5_5"/>
      <w:bookmarkStart w:id="812" w:name="Tc_rKlzJ5Y5bk-CIYrHEjzAXQ_5_2"/>
      <w:bookmarkStart w:id="813" w:name="Tc_zHJyEqZt5EaqMnAXnCsPuQ_5_0"/>
      <w:bookmarkStart w:id="814" w:name="Tc_lH7HBl1Unk6Q2CNF-eW0Tw_4_23"/>
      <w:bookmarkStart w:id="815" w:name="Tc_8C5HP_S3z0idgTO4TNCQLg_4_20"/>
      <w:bookmarkStart w:id="816" w:name="Tc_iiQ81wFRUUKrQOJWrs6Uzg_4_17"/>
      <w:bookmarkStart w:id="817" w:name="Tc_h7QHggVaW0q2RiJBn0UjfQ_4_14"/>
      <w:bookmarkStart w:id="818" w:name="Tc_apF-6u2B4UCJilNKM6hllg_4_11"/>
      <w:bookmarkStart w:id="819" w:name="Tc_urMS1_yZJkKc12DBGuDDrg_4_8"/>
      <w:bookmarkStart w:id="820" w:name="Tc_9IMtPNjhJU-loz-KN6LAmg_4_5"/>
      <w:bookmarkStart w:id="821" w:name="Tc_gCZFNYkvc0KSMGFfZX1ZQQ_4_2"/>
      <w:bookmarkStart w:id="822" w:name="Tc_Wd_OTv8GYEe_7ohktBs0CQ_3_14"/>
      <w:bookmarkStart w:id="823" w:name="Tc_c5eKmLDjb02hgdP_G8Ulgw_3_2"/>
      <w:bookmarkStart w:id="824" w:name="Tc_ilQW1_mlHEyXoC47fJobGA_2_14"/>
      <w:bookmarkStart w:id="825" w:name="Tc_6nk0irQxZUGU45vQaNJPtQ_2_2"/>
      <w:bookmarkStart w:id="826" w:name="_5fb3457c_fe35_4811_b34f_ed670ef31edb"/>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r>
        <w:rPr>
          <w:rFonts w:ascii="Arial;Helvetica;sans-serif" w:hAnsi="Arial;Helvetica;sans-serif"/>
          <w:sz w:val="20"/>
        </w:rPr>
        <w:t>particular input to the fair value measurement in its entirety requires management to make judgments and consider factors specific to the asset or liability.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tables present information about the Company’s financial assets measured at fair value on a recurring basis and indicates the level of the fair value hierarchy utilized to determine such fair values (in thousands):</w:t>
      </w:r>
    </w:p>
    <w:tbl>
      <w:tblPr>
        <w:tblW w:w="11409" w:type="dxa"/>
        <w:jc w:val="left"/>
        <w:tblInd w:w="0" w:type="dxa"/>
        <w:tblLayout w:type="fixed"/>
        <w:tblCellMar>
          <w:top w:w="0" w:type="dxa"/>
          <w:left w:w="0" w:type="dxa"/>
          <w:bottom w:w="0" w:type="dxa"/>
          <w:right w:w="0" w:type="dxa"/>
        </w:tblCellMar>
      </w:tblPr>
      <w:tblGrid>
        <w:gridCol w:w="991"/>
        <w:gridCol w:w="346"/>
        <w:gridCol w:w="196"/>
        <w:gridCol w:w="691"/>
        <w:gridCol w:w="346"/>
        <w:gridCol w:w="196"/>
        <w:gridCol w:w="691"/>
        <w:gridCol w:w="346"/>
        <w:gridCol w:w="196"/>
        <w:gridCol w:w="570"/>
        <w:gridCol w:w="346"/>
        <w:gridCol w:w="196"/>
        <w:gridCol w:w="826"/>
        <w:gridCol w:w="346"/>
        <w:gridCol w:w="196"/>
        <w:gridCol w:w="826"/>
        <w:gridCol w:w="346"/>
        <w:gridCol w:w="196"/>
        <w:gridCol w:w="691"/>
        <w:gridCol w:w="346"/>
        <w:gridCol w:w="196"/>
        <w:gridCol w:w="570"/>
        <w:gridCol w:w="346"/>
        <w:gridCol w:w="196"/>
        <w:gridCol w:w="826"/>
        <w:gridCol w:w="3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29285" cy="175260"/>
                      <wp:effectExtent l="0" t="0" r="0" b="0"/>
                      <wp:wrapNone/>
                      <wp:docPr id="96" name="Frame9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4460" cy="175260"/>
                      <wp:effectExtent l="0" t="0" r="0" b="0"/>
                      <wp:wrapNone/>
                      <wp:docPr id="98" name="Frame9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38785" cy="175260"/>
                      <wp:effectExtent l="0" t="0" r="0" b="0"/>
                      <wp:wrapNone/>
                      <wp:docPr id="99"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1"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38785" cy="175260"/>
                      <wp:effectExtent l="0" t="0" r="0" b="0"/>
                      <wp:wrapNone/>
                      <wp:docPr id="102" name="Frame1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4" name="Frame1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61950" cy="175260"/>
                      <wp:effectExtent l="0" t="0" r="0" b="0"/>
                      <wp:wrapNone/>
                      <wp:docPr id="105" name="Frame105"/>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24510" cy="175260"/>
                      <wp:effectExtent l="0" t="0" r="0" b="0"/>
                      <wp:wrapNone/>
                      <wp:docPr id="108" name="Frame1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24510" cy="175260"/>
                      <wp:effectExtent l="0" t="0" r="0" b="0"/>
                      <wp:wrapNone/>
                      <wp:docPr id="111" name="Frame11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785" cy="175260"/>
                      <wp:effectExtent l="0" t="0" r="0" b="0"/>
                      <wp:wrapNone/>
                      <wp:docPr id="114" name="Frame1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4460" cy="175260"/>
                      <wp:effectExtent l="0" t="0" r="0" b="0"/>
                      <wp:wrapNone/>
                      <wp:docPr id="116" name="Frame1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1950" cy="175260"/>
                      <wp:effectExtent l="0" t="0" r="0" b="0"/>
                      <wp:wrapNone/>
                      <wp:docPr id="117" name="Frame117"/>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4460" cy="175260"/>
                      <wp:effectExtent l="0" t="0" r="0" b="0"/>
                      <wp:wrapNone/>
                      <wp:docPr id="119" name="Frame1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24510" cy="175260"/>
                      <wp:effectExtent l="0" t="0" r="0" b="0"/>
                      <wp:wrapNone/>
                      <wp:docPr id="120" name="Frame1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48285" cy="175260"/>
                      <wp:effectExtent l="0" t="0" r="0" b="0"/>
                      <wp:wrapNone/>
                      <wp:docPr id="121" name="Frame1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5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00" w:type="dxa"/>
            <w:gridSpan w:val="11"/>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4735" w:type="dxa"/>
            <w:gridSpan w:val="11"/>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91" w:type="dxa"/>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60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473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91" w:type="dxa"/>
            <w:tcBorders/>
            <w:vAlign w:val="center"/>
          </w:tcPr>
          <w:p>
            <w:pPr>
              <w:pStyle w:val="TableContents"/>
              <w:bidi w:val="0"/>
              <w:spacing w:before="0" w:after="0"/>
              <w:ind w:left="0" w:right="0" w:hanging="0"/>
              <w:jc w:val="left"/>
              <w:rPr/>
            </w:pPr>
            <w:r>
              <w:rPr/>
              <w:t>  ​ ​ ​</w:t>
            </w:r>
          </w:p>
        </w:tc>
      </w:tr>
      <w:tr>
        <w:trPr/>
        <w:tc>
          <w:tcPr>
            <w:tcW w:w="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267,032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267,032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795,089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795,089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U.S. government bonds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638,630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638,630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385,392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385,392</w:t>
            </w:r>
          </w:p>
        </w:tc>
        <w:tc>
          <w:tcPr>
            <w:tcW w:w="3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U.S. government agency bonds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34,647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34,647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24,941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Corporate debt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396,743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396,743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236,241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236,241</w:t>
            </w:r>
          </w:p>
        </w:tc>
        <w:tc>
          <w:tcPr>
            <w:tcW w:w="391" w:type="dxa"/>
            <w:tcBorders/>
            <w:vAlign w:val="center"/>
          </w:tcPr>
          <w:p>
            <w:pPr>
              <w:pStyle w:val="TableContents"/>
              <w:bidi w:val="0"/>
              <w:spacing w:before="0" w:after="0"/>
              <w:ind w:left="0" w:right="0" w:hanging="0"/>
              <w:jc w:val="left"/>
              <w:rPr/>
            </w:pPr>
            <w:r>
              <w:rPr/>
              <w:t>​</w:t>
            </w:r>
          </w:p>
        </w:tc>
      </w:tr>
      <w:tr>
        <w:trPr/>
        <w:tc>
          <w:tcPr>
            <w:tcW w:w="99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fair value of financial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905,662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431,390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1,337,052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1,180,481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261,182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1,441,663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1175" w:type="dxa"/>
        <w:jc w:val="left"/>
        <w:tblInd w:w="0" w:type="dxa"/>
        <w:tblLayout w:type="fixed"/>
        <w:tblCellMar>
          <w:top w:w="0" w:type="dxa"/>
          <w:left w:w="0" w:type="dxa"/>
          <w:bottom w:w="0" w:type="dxa"/>
          <w:right w:w="0" w:type="dxa"/>
        </w:tblCellMar>
      </w:tblPr>
      <w:tblGrid>
        <w:gridCol w:w="991"/>
        <w:gridCol w:w="346"/>
        <w:gridCol w:w="196"/>
        <w:gridCol w:w="1096"/>
        <w:gridCol w:w="346"/>
        <w:gridCol w:w="196"/>
        <w:gridCol w:w="571"/>
        <w:gridCol w:w="109"/>
        <w:gridCol w:w="240"/>
        <w:gridCol w:w="391"/>
        <w:gridCol w:w="346"/>
        <w:gridCol w:w="196"/>
        <w:gridCol w:w="826"/>
        <w:gridCol w:w="346"/>
        <w:gridCol w:w="196"/>
        <w:gridCol w:w="1096"/>
        <w:gridCol w:w="346"/>
        <w:gridCol w:w="277"/>
        <w:gridCol w:w="489"/>
        <w:gridCol w:w="109"/>
        <w:gridCol w:w="196"/>
        <w:gridCol w:w="511"/>
        <w:gridCol w:w="346"/>
        <w:gridCol w:w="196"/>
        <w:gridCol w:w="826"/>
        <w:gridCol w:w="3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29285" cy="175260"/>
                      <wp:effectExtent l="0" t="0" r="0" b="0"/>
                      <wp:wrapNone/>
                      <wp:docPr id="122" name="Frame12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4" name="Frame1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5960" cy="175260"/>
                      <wp:effectExtent l="0" t="0" r="0" b="0"/>
                      <wp:wrapNone/>
                      <wp:docPr id="125" name="Frame12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24460" cy="175260"/>
                      <wp:effectExtent l="0" t="0" r="0" b="0"/>
                      <wp:wrapNone/>
                      <wp:docPr id="127"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62585" cy="175260"/>
                      <wp:effectExtent l="0" t="0" r="0" b="0"/>
                      <wp:wrapNone/>
                      <wp:docPr id="128" name="Frame12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2400" cy="175260"/>
                      <wp:effectExtent l="0" t="0" r="0" b="0"/>
                      <wp:wrapNone/>
                      <wp:docPr id="130" name="Frame13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48285" cy="175260"/>
                      <wp:effectExtent l="0" t="0" r="0" b="0"/>
                      <wp:wrapNone/>
                      <wp:docPr id="131" name="Frame13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24460" cy="175260"/>
                      <wp:effectExtent l="0" t="0" r="0" b="0"/>
                      <wp:wrapNone/>
                      <wp:docPr id="133" name="Frame1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24510" cy="175260"/>
                      <wp:effectExtent l="0" t="0" r="0" b="0"/>
                      <wp:wrapNone/>
                      <wp:docPr id="134" name="Frame13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24460" cy="175260"/>
                      <wp:effectExtent l="0" t="0" r="0" b="0"/>
                      <wp:wrapNone/>
                      <wp:docPr id="136" name="Frame1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5960" cy="175260"/>
                      <wp:effectExtent l="0" t="0" r="0" b="0"/>
                      <wp:wrapNone/>
                      <wp:docPr id="137" name="Frame13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5895" cy="175260"/>
                      <wp:effectExtent l="0" t="0" r="0" b="0"/>
                      <wp:wrapNone/>
                      <wp:docPr id="139" name="Frame139"/>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10515" cy="175260"/>
                      <wp:effectExtent l="0" t="0" r="0" b="0"/>
                      <wp:wrapNone/>
                      <wp:docPr id="140" name="Frame140"/>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24460" cy="175260"/>
                      <wp:effectExtent l="0" t="0" r="0" b="0"/>
                      <wp:wrapNone/>
                      <wp:docPr id="142"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24485" cy="175260"/>
                      <wp:effectExtent l="0" t="0" r="0" b="0"/>
                      <wp:wrapNone/>
                      <wp:docPr id="143" name="Frame1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4460" cy="175260"/>
                      <wp:effectExtent l="0" t="0" r="0" b="0"/>
                      <wp:wrapNone/>
                      <wp:docPr id="145" name="Frame1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4510" cy="175260"/>
                      <wp:effectExtent l="0" t="0" r="0" b="0"/>
                      <wp:wrapNone/>
                      <wp:docPr id="146" name="Frame1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48285" cy="175260"/>
                      <wp:effectExtent l="0" t="0" r="0" b="0"/>
                      <wp:wrapNone/>
                      <wp:docPr id="147" name="Frame14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40"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77"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48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1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513" w:type="dxa"/>
            <w:gridSpan w:val="11"/>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4588" w:type="dxa"/>
            <w:gridSpan w:val="11"/>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91" w:type="dxa"/>
            <w:tcBorders/>
            <w:vAlign w:val="center"/>
          </w:tcPr>
          <w:p>
            <w:pPr>
              <w:pStyle w:val="TableContents"/>
              <w:bidi w:val="0"/>
              <w:spacing w:before="0" w:after="1"/>
              <w:ind w:left="0" w:right="0" w:hanging="0"/>
              <w:jc w:val="left"/>
              <w:rPr/>
            </w:pPr>
            <w:r>
              <w:rPr/>
              <w:t>​</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451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w:t>
            </w:r>
          </w:p>
        </w:tc>
        <w:tc>
          <w:tcPr>
            <w:tcW w:w="458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1"/>
              <w:ind w:left="0" w:right="0" w:hanging="0"/>
              <w:jc w:val="left"/>
              <w:rPr/>
            </w:pPr>
            <w:r>
              <w:rPr/>
              <w:t> </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46" w:type="dxa"/>
            <w:tcBorders/>
            <w:vAlign w:val="center"/>
          </w:tcPr>
          <w:p>
            <w:pPr>
              <w:pStyle w:val="TableContents"/>
              <w:bidi w:val="0"/>
              <w:spacing w:before="0" w:after="1"/>
              <w:ind w:left="0" w:right="0" w:hanging="0"/>
              <w:jc w:val="left"/>
              <w:rPr/>
            </w:pPr>
            <w:r>
              <w:rPr/>
              <w:t>  ​ ​ ​</w:t>
            </w:r>
          </w:p>
        </w:tc>
        <w:tc>
          <w:tcPr>
            <w:tcW w:w="15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GROSS UNREALIZED</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c>
          <w:tcPr>
            <w:tcW w:w="346" w:type="dxa"/>
            <w:tcBorders/>
            <w:vAlign w:val="center"/>
          </w:tcPr>
          <w:p>
            <w:pPr>
              <w:pStyle w:val="TableContents"/>
              <w:bidi w:val="0"/>
              <w:spacing w:before="0" w:after="1"/>
              <w:ind w:left="0" w:right="0" w:hanging="0"/>
              <w:jc w:val="left"/>
              <w:rPr/>
            </w:pPr>
            <w:r>
              <w:rPr/>
              <w:t>  ​ ​ ​</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46" w:type="dxa"/>
            <w:tcBorders/>
            <w:vAlign w:val="center"/>
          </w:tcPr>
          <w:p>
            <w:pPr>
              <w:pStyle w:val="TableContents"/>
              <w:bidi w:val="0"/>
              <w:spacing w:before="0" w:after="1"/>
              <w:ind w:left="0" w:right="0" w:hanging="0"/>
              <w:jc w:val="left"/>
              <w:rPr/>
            </w:pPr>
            <w:r>
              <w:rPr/>
              <w:t>  ​ ​ ​</w:t>
            </w:r>
          </w:p>
        </w:tc>
        <w:tc>
          <w:tcPr>
            <w:tcW w:w="15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GROSS UNREALIZED</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c>
          <w:tcPr>
            <w:tcW w:w="391" w:type="dxa"/>
            <w:tcBorders/>
            <w:vAlign w:val="center"/>
          </w:tcPr>
          <w:p>
            <w:pPr>
              <w:pStyle w:val="TableContents"/>
              <w:bidi w:val="0"/>
              <w:spacing w:before="0" w:after="1"/>
              <w:ind w:left="0" w:right="0" w:hanging="0"/>
              <w:jc w:val="left"/>
              <w:rPr/>
            </w:pPr>
            <w:r>
              <w:rPr/>
              <w:t>  ​ ​ ​</w:t>
            </w:r>
          </w:p>
        </w:tc>
      </w:tr>
      <w:tr>
        <w:trPr/>
        <w:tc>
          <w:tcPr>
            <w:tcW w:w="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346" w:type="dxa"/>
            <w:tcBorders/>
            <w:vAlign w:val="center"/>
          </w:tcPr>
          <w:p>
            <w:pPr>
              <w:pStyle w:val="TableContents"/>
              <w:bidi w:val="0"/>
              <w:spacing w:before="0" w:after="1"/>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1"/>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34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c>
          <w:tcPr>
            <w:tcW w:w="346" w:type="dxa"/>
            <w:tcBorders/>
            <w:vAlign w:val="center"/>
          </w:tcPr>
          <w:p>
            <w:pPr>
              <w:pStyle w:val="TableContents"/>
              <w:bidi w:val="0"/>
              <w:spacing w:before="0"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109" w:type="dxa"/>
            <w:tcBorders/>
            <w:vAlign w:val="center"/>
          </w:tcPr>
          <w:p>
            <w:pPr>
              <w:pStyle w:val="TableContents"/>
              <w:bidi w:val="0"/>
              <w:spacing w:before="0" w:after="1"/>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346" w:type="dxa"/>
            <w:tcBorders/>
            <w:vAlign w:val="center"/>
          </w:tcPr>
          <w:p>
            <w:pPr>
              <w:pStyle w:val="TableContents"/>
              <w:bidi w:val="0"/>
              <w:spacing w:before="0" w:after="1"/>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c>
          <w:tcPr>
            <w:tcW w:w="391" w:type="dxa"/>
            <w:tcBorders/>
            <w:vAlign w:val="center"/>
          </w:tcPr>
          <w:p>
            <w:pPr>
              <w:pStyle w:val="TableContents"/>
              <w:bidi w:val="0"/>
              <w:spacing w:before="0" w:after="1"/>
              <w:ind w:left="0" w:right="0" w:hanging="0"/>
              <w:jc w:val="left"/>
              <w:rPr/>
            </w:pPr>
            <w:r>
              <w:rPr/>
              <w:t> </w:t>
            </w:r>
          </w:p>
        </w:tc>
      </w:tr>
      <w:tr>
        <w:trPr/>
        <w:tc>
          <w:tcPr>
            <w:tcW w:w="9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267,032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267,032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795,089</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795,089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99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U.S. government bonds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641,154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(2,569)</w:t>
            </w:r>
          </w:p>
        </w:tc>
        <w:tc>
          <w:tcPr>
            <w:tcW w:w="109" w:type="dxa"/>
            <w:tcBorders/>
            <w:vAlign w:val="center"/>
          </w:tcPr>
          <w:p>
            <w:pPr>
              <w:pStyle w:val="TableContents"/>
              <w:bidi w:val="0"/>
              <w:spacing w:before="0" w:after="1"/>
              <w:ind w:left="0" w:right="0" w:hanging="0"/>
              <w:jc w:val="right"/>
              <w:rPr/>
            </w:pPr>
            <w:r>
              <w:rPr/>
              <w:t>​</w:t>
            </w:r>
          </w:p>
        </w:tc>
        <w:tc>
          <w:tcPr>
            <w:tcW w:w="240"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45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638,630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384,571</w:t>
            </w:r>
          </w:p>
        </w:tc>
        <w:tc>
          <w:tcPr>
            <w:tcW w:w="34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489"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822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385,392</w:t>
            </w:r>
          </w:p>
        </w:tc>
        <w:tc>
          <w:tcPr>
            <w:tcW w:w="391" w:type="dxa"/>
            <w:tcBorders/>
            <w:vAlign w:val="center"/>
          </w:tcPr>
          <w:p>
            <w:pPr>
              <w:pStyle w:val="TableContents"/>
              <w:bidi w:val="0"/>
              <w:spacing w:before="0" w:after="1"/>
              <w:ind w:left="0" w:right="0" w:hanging="0"/>
              <w:jc w:val="left"/>
              <w:rPr/>
            </w:pPr>
            <w:r>
              <w:rPr/>
              <w:t>​</w:t>
            </w:r>
          </w:p>
        </w:tc>
      </w:tr>
      <w:tr>
        <w:trPr/>
        <w:tc>
          <w:tcPr>
            <w:tcW w:w="9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U.S. government agency bonds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34,802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(155)</w:t>
            </w:r>
          </w:p>
        </w:tc>
        <w:tc>
          <w:tcPr>
            <w:tcW w:w="109" w:type="dxa"/>
            <w:tcBorders/>
            <w:shd w:fill="CCEEFF" w:val="clear"/>
            <w:vAlign w:val="center"/>
          </w:tcPr>
          <w:p>
            <w:pPr>
              <w:pStyle w:val="TableContents"/>
              <w:bidi w:val="0"/>
              <w:spacing w:before="0" w:after="1"/>
              <w:ind w:left="0" w:right="0" w:hanging="0"/>
              <w:jc w:val="righ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34,647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24,922</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4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24,941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991" w:type="dxa"/>
            <w:tcBorders/>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Corporate debt securities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397,509</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(777)</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396,743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236,027</w:t>
            </w:r>
          </w:p>
        </w:tc>
        <w:tc>
          <w:tcPr>
            <w:tcW w:w="34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236,241</w:t>
            </w:r>
          </w:p>
        </w:tc>
        <w:tc>
          <w:tcPr>
            <w:tcW w:w="391" w:type="dxa"/>
            <w:tcBorders/>
            <w:vAlign w:val="center"/>
          </w:tcPr>
          <w:p>
            <w:pPr>
              <w:pStyle w:val="TableContents"/>
              <w:bidi w:val="0"/>
              <w:spacing w:before="0" w:after="1"/>
              <w:ind w:left="0" w:right="0" w:hanging="0"/>
              <w:jc w:val="left"/>
              <w:rPr/>
            </w:pPr>
            <w:r>
              <w:rPr/>
              <w:t>​</w:t>
            </w:r>
          </w:p>
        </w:tc>
      </w:tr>
      <w:tr>
        <w:trPr/>
        <w:tc>
          <w:tcPr>
            <w:tcW w:w="991" w:type="dxa"/>
            <w:tcBorders/>
            <w:shd w:fill="CCEEFF" w:val="cle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Total fair value of financial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1,340,497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(3,501)</w:t>
            </w:r>
          </w:p>
        </w:tc>
        <w:tc>
          <w:tcPr>
            <w:tcW w:w="109"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3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1,337,052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1,440,609</w:t>
            </w:r>
          </w:p>
        </w:tc>
        <w:tc>
          <w:tcPr>
            <w:tcW w:w="34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4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1,071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16"/>
              </w:rPr>
            </w:pPr>
            <w:r>
              <w:rPr>
                <w:rFonts w:ascii="Arial;Helvetica;sans-serif" w:hAnsi="Arial;Helvetica;sans-serif"/>
                <w:sz w:val="16"/>
              </w:rPr>
              <w:t>1,441,663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9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and December 31, 2025, the Company did not have any liabilities measured at fair value on a recurring basis. There were no transfers in and out of Level 3 during the three and six months ended June 30, 2026 and 2025. The Company classifies its short-term investments as available-for-sale and records them at fair value based upon market prices at period end. Contractual maturities of short-term investments are generally not more than one year. As of June 30, 2026, the remaining contractual maturities of $821.5 million of investments were within one year and $248.5 million of investments were after one year through two years. The Company has classified these securities as short-term investments on its condensed consolidated balance sheets as they are available for use in the current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unrealized losses for marketable securities related to changes in interest rates and the Company has the intent and ability to hold the underlying securities until the estimated date of recovery of its amortized cost. No allowance for credit losses was recorded at either June 30, 2026 or December 31, 2025, and no impairment losses were recognized for the three and six months ended June 30, 2026 and 2025.</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bookmarkStart w:id="827" w:name="Tc_HnMS71eHLkCfW3ZR06Y_aw_12_2"/>
      <w:bookmarkStart w:id="828" w:name="Tc_lTlsWmo310-wXaSp3JJr7g_12_0"/>
      <w:bookmarkStart w:id="829" w:name="Tc_fZBr-fFeTk2GM5ZFCkk5Aw_11_0"/>
      <w:bookmarkStart w:id="830" w:name="Tc_UlqmS89UMkqDL5aMvrpJvw_10_0"/>
      <w:bookmarkStart w:id="831" w:name="Tc_SM4oewORI06OJBFBHP39sg_9_0"/>
      <w:bookmarkStart w:id="832" w:name="Tc_L9wVLD47YUWsXYWSis492Q_8_0"/>
      <w:bookmarkStart w:id="833" w:name="Tc_NEc7B6s0lkGfvDb1dRT5kQ_7_0"/>
      <w:bookmarkStart w:id="834" w:name="Tc_WDY_UV0iD0qC8I8TpHXl8w_6_0"/>
      <w:bookmarkStart w:id="835" w:name="Tc_utyF1gMJXk2anZZ1s2BVcA_5_0"/>
      <w:bookmarkStart w:id="836" w:name="Tc_Gx72mJZcM0uXAl9b7B2x6g_4_2"/>
      <w:bookmarkStart w:id="837" w:name="Tc_uMFDW9uBnUSPOFnw6CyPEg_4_0"/>
      <w:bookmarkStart w:id="838" w:name="Tc_ZmF45lKShUejRMqHZMe58g_3_2"/>
      <w:bookmarkStart w:id="839" w:name="Tc_tlFfmuP1FkGVAMoG9paClA_2_2"/>
      <w:bookmarkStart w:id="840" w:name="_a9c2dd86_0e5e_4415_ac46_71bf0a58662d"/>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rFonts w:ascii="Arial;Helvetica;sans-serif" w:hAnsi="Arial;Helvetica;sans-serif"/>
          <w:b/>
          <w:sz w:val="20"/>
        </w:rPr>
        <w:t>5. Commitments and Contingencies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Leases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has entered into various facility lease agreements expiring at various dates through October 31, 2029, and generally include annual rent increases.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maturities of operating lease liabilities were as follows (in thousands):</w:t>
      </w:r>
    </w:p>
    <w:tbl>
      <w:tblPr>
        <w:tblW w:w="5374" w:type="dxa"/>
        <w:jc w:val="left"/>
        <w:tblInd w:w="0" w:type="dxa"/>
        <w:tblLayout w:type="fixed"/>
        <w:tblCellMar>
          <w:top w:w="0" w:type="dxa"/>
          <w:left w:w="0" w:type="dxa"/>
          <w:bottom w:w="0" w:type="dxa"/>
          <w:right w:w="0" w:type="dxa"/>
        </w:tblCellMar>
      </w:tblPr>
      <w:tblGrid>
        <w:gridCol w:w="4066"/>
        <w:gridCol w:w="346"/>
        <w:gridCol w:w="211"/>
        <w:gridCol w:w="75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581910" cy="175260"/>
                      <wp:effectExtent l="0" t="0" r="0" b="0"/>
                      <wp:wrapNone/>
                      <wp:docPr id="148" name="Frame148"/>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76885" cy="175260"/>
                      <wp:effectExtent l="0" t="0" r="0" b="0"/>
                      <wp:wrapNone/>
                      <wp:docPr id="151" name="Frame15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2026 (remaining six months)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1,721</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2,298</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1,889</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942</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undiscounted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6,850</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(622)</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6,228</w:t>
            </w:r>
          </w:p>
        </w:tc>
      </w:tr>
      <w:tr>
        <w:trPr/>
        <w:tc>
          <w:tcPr>
            <w:tcW w:w="40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(2,595)</w:t>
            </w:r>
          </w:p>
        </w:tc>
      </w:tr>
      <w:tr>
        <w:trPr/>
        <w:tc>
          <w:tcPr>
            <w:tcW w:w="4066"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 net of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3,633</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Operating lease cost was $1.3 million and $1.1 million for the three months ended June 30, 2026 and 2025, respectively, including $0.4 million and $0.4 million short-term lease costs for the three months ended June 30, 2026 and 2025, respectively. Operating lease cost was $2.4 million and $1.8 million for the six months ended June 30, 2026 and 2025, respectively, including $0.7 million and $0.6 million short-term lease costs for the six months ended June 30, 2026 and 2025, respectively. As of June 30, 2026, the weighted average remaining lease term was 2.6 years, and the weighted average discount rate used to measure the lease liabilities for such operating leases upon recognition was 7.7%. During the six months ended June 30, 2026 and 2025, cash paid for amounts included in operating lease liabilities of $1.8 million and $1.4 million, respectively, was included in cash flows from operating activities on the condensed consolidated statements of cash flows.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Indemnification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not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June 30, 2026 and December 31, 2025, the Company did not have any material indemnification claims that were probable or reasonably possible and consequently had not recognized any related liabilities.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Legal Proceedings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6. Shareholders’ Equity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the Company’s amended and restated memorandum and articles of association, authorizes the Company to issue 500,000,000 ordinary shares and 100,000,000 undesignated shares, all of which remain undesignated shares, all with a par value of $0.0001 per share. The undesignated shares may be designated by the Company’s board of directors in accordance with the Company’s amended and restated memorandum and articles of association.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Ordinary shareholders are entitled to dividends if and when declared by the Company’s board of directors. As of June 30, 2026 and December 31, 2025, no dividends on ordinary shares had been declared by the board of directors.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 xml:space="preserve">Performance Share Units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March 2024, the Company granted 381,252 restricted share units with service and performance conditions to certain employees. The awards are divided into three equal tranches, and the vesting of each tranche was contingent on the occurrence of certain milestone events and fulfilment of service condition. As of December 31, 2024, the Company concluded that the two milestones were probable of achievement and therefore recognized compensation expense of $1.7 million during the year ended December 31, 2024. In June 2025, the Company’s compensation committee certified the achievement of two of the three milestones, effective July 1, 2025. Because the third milestone was not achieved, the third tranche of performance share units was forfeited, effective July 1, 2025. As such, no share-based compensation expense has been or will be recognized for this third tranche of performance share units. During the six months ended June 30, 2026 and 2025, the Company recognized compensation expense of $0.1 million and $0.6 million, respectively.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March and April 2026, the Company granted 804,573 restricted share units with service and performance conditions (the “2026 PSUs”) to certain employees. The 2026 PSUs vest in three tranches representing 25%, 25% and 50% of the target number of units, with each tranche vesting upon the achievement of a specified performance milestone and the satisfaction of a continuous service condition. The number of units that ultimately vest will depend on the timing of milestone achievement and may range from 75% to 125% of the target number of units granted. Compensation cost is recognized for each tranche when achievement of the applicable performance milestone is considered probable and is measured based on the grant-date fair value of the Company’s ordinary shares multiplied by the number of units expected to vest, resulting in an aggregate grant-date fair value of approximately $13.6 million. As achievement of the performance milestones was not considered probable as of June 30, 2026, no share-based compensation expense was recognized for the 2026 PSUs during the three and six months ended June 30, 2026.</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bookmarkStart w:id="841" w:name="Tc_jeKT6KTGtkefdj0askpZQA_7_11"/>
      <w:bookmarkStart w:id="842" w:name="Tc_sDvKXlFzk0Cv99q5UBrzLQ_7_8"/>
      <w:bookmarkStart w:id="843" w:name="Tc_4sKvRLSCC0mcVQF3PohPIg_7_5"/>
      <w:bookmarkStart w:id="844" w:name="Tc_XuDTSj-SOEeD7RnXnkpQDQ_7_2"/>
      <w:bookmarkStart w:id="845" w:name="Tc__AFXBZwfb0-nPjfs7zsFjQ_7_0"/>
      <w:bookmarkStart w:id="846" w:name="Tc_n96zHXaBxk61n_4OUcuuwA_6_0"/>
      <w:bookmarkStart w:id="847" w:name="Tc_4Q2LUP1NQ0urjU_x71gvdA_5_11"/>
      <w:bookmarkStart w:id="848" w:name="Tc_a4Y-aBUdX0iBjlMssz7o0w_5_8"/>
      <w:bookmarkStart w:id="849" w:name="Tc_wIPfLP2w3kuluoZral0nwQ_5_5"/>
      <w:bookmarkStart w:id="850" w:name="Tc_M8Gxy0RQtEODUMm_TLvXJg_5_2"/>
      <w:bookmarkStart w:id="851" w:name="Tc_KjwmtxflC0q8HwqoUCV2BQ_5_0"/>
      <w:bookmarkStart w:id="852" w:name="Tc_CMh-8nk1w0-L78CD1tKmGg_4_11"/>
      <w:bookmarkStart w:id="853" w:name="Tc_liHypsgO5UK3fngJxh5I0w_4_8"/>
      <w:bookmarkStart w:id="854" w:name="Tc_XCnHE9g5q0-ECiYn5L9sbA_4_5"/>
      <w:bookmarkStart w:id="855" w:name="Tc_yj7CloQ-kkqx7pqqeA_pgA_4_2"/>
      <w:bookmarkStart w:id="856" w:name="Tc_soQ3WD7kbEmHNNxKqPxhfA_3_8"/>
      <w:bookmarkStart w:id="857" w:name="Tc_bsZPJ9d3_Eaqr1C4maw_Bw_3_2"/>
      <w:bookmarkStart w:id="858" w:name="Tc_-2C_lzOzg0eTOzmJP2lwGw_2_8"/>
      <w:bookmarkStart w:id="859" w:name="Tc_CPuHSRd3-kK3v4C_tjarMw_2_2"/>
      <w:bookmarkStart w:id="860" w:name="_4e801253_8490_4d0e_bf8c_d0ab56138ccd"/>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Pr>
          <w:rFonts w:ascii="Arial;Helvetica;sans-serif" w:hAnsi="Arial;Helvetica;sans-serif"/>
          <w:i/>
          <w:sz w:val="20"/>
        </w:rPr>
        <w:t>Share-Based Compensation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recognized share-based compensation as follows (in thousands):</w:t>
      </w:r>
    </w:p>
    <w:tbl>
      <w:tblPr>
        <w:tblW w:w="8272" w:type="dxa"/>
        <w:jc w:val="left"/>
        <w:tblInd w:w="0" w:type="dxa"/>
        <w:tblLayout w:type="fixed"/>
        <w:tblCellMar>
          <w:top w:w="0" w:type="dxa"/>
          <w:left w:w="0" w:type="dxa"/>
          <w:bottom w:w="0" w:type="dxa"/>
          <w:right w:w="0" w:type="dxa"/>
        </w:tblCellMar>
      </w:tblPr>
      <w:tblGrid>
        <w:gridCol w:w="2956"/>
        <w:gridCol w:w="346"/>
        <w:gridCol w:w="215"/>
        <w:gridCol w:w="704"/>
        <w:gridCol w:w="352"/>
        <w:gridCol w:w="215"/>
        <w:gridCol w:w="597"/>
        <w:gridCol w:w="346"/>
        <w:gridCol w:w="211"/>
        <w:gridCol w:w="691"/>
        <w:gridCol w:w="346"/>
        <w:gridCol w:w="211"/>
        <w:gridCol w:w="691"/>
        <w:gridCol w:w="39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877060" cy="175260"/>
                      <wp:effectExtent l="0" t="0" r="0" b="0"/>
                      <wp:wrapNone/>
                      <wp:docPr id="152" name="Frame152"/>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6525" cy="175260"/>
                      <wp:effectExtent l="0" t="0" r="0" b="0"/>
                      <wp:wrapNone/>
                      <wp:docPr id="154" name="Frame15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47040" cy="175260"/>
                      <wp:effectExtent l="0" t="0" r="0" b="0"/>
                      <wp:wrapNone/>
                      <wp:docPr id="155" name="Frame155"/>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23520" cy="175260"/>
                      <wp:effectExtent l="0" t="0" r="0" b="0"/>
                      <wp:wrapNone/>
                      <wp:docPr id="156" name="Frame15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6525" cy="175260"/>
                      <wp:effectExtent l="0" t="0" r="0" b="0"/>
                      <wp:wrapNone/>
                      <wp:docPr id="157" name="Frame15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79095" cy="175260"/>
                      <wp:effectExtent l="0" t="0" r="0" b="0"/>
                      <wp:wrapNone/>
                      <wp:docPr id="158" name="Frame158"/>
                      <a:graphic xmlns:a="http://schemas.openxmlformats.org/drawingml/2006/main">
                        <a:graphicData uri="http://schemas.microsoft.com/office/word/2010/wordprocessingShape">
                          <wps:wsp>
                            <wps:cNvSpPr txBox="1"/>
                            <wps:spPr>
                              <a:xfrm>
                                <a:off x="0" y="0"/>
                                <a:ext cx="379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1" name="Frame1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64" name="Frame1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8285" cy="175260"/>
                      <wp:effectExtent l="0" t="0" r="0" b="0"/>
                      <wp:wrapNone/>
                      <wp:docPr id="165" name="Frame1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  ​ ​ ​</w:t>
            </w:r>
          </w:p>
        </w:tc>
        <w:tc>
          <w:tcPr>
            <w:tcW w:w="2083" w:type="dxa"/>
            <w:gridSpan w:val="5"/>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center"/>
              <w:rPr/>
            </w:pPr>
            <w:r>
              <w:rPr/>
              <w:t>  ​ ​ ​</w:t>
            </w:r>
          </w:p>
        </w:tc>
        <w:tc>
          <w:tcPr>
            <w:tcW w:w="2150" w:type="dxa"/>
            <w:gridSpan w:val="5"/>
            <w:tcBorders>
              <w:top w:val="single" w:sz="2" w:space="0" w:color="000000"/>
            </w:tcBorders>
            <w:tcMar>
              <w:top w:w="28" w:type="dxa"/>
            </w:tcMar>
            <w:vAlign w:val="center"/>
          </w:tcPr>
          <w:p>
            <w:pPr>
              <w:pStyle w:val="TableContents"/>
              <w:bidi w:val="0"/>
              <w:spacing w:before="0" w:after="1"/>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  ​ ​ ​</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3"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1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52"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7,054</w:t>
            </w:r>
          </w:p>
        </w:tc>
        <w:tc>
          <w:tcPr>
            <w:tcW w:w="352"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7"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3,461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6,160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5,580</w:t>
            </w:r>
          </w:p>
        </w:tc>
        <w:tc>
          <w:tcPr>
            <w:tcW w:w="352" w:type="dxa"/>
            <w:tcBorders/>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4,048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12,118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7,267</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share-based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12,634</w:t>
            </w:r>
          </w:p>
        </w:tc>
        <w:tc>
          <w:tcPr>
            <w:tcW w:w="352" w:type="dxa"/>
            <w:tcBorders/>
            <w:shd w:fill="CCEEFF" w:val="clear"/>
            <w:vAlign w:val="center"/>
          </w:tcPr>
          <w:p>
            <w:pPr>
              <w:pStyle w:val="TableContents"/>
              <w:bidi w:val="0"/>
              <w:spacing w:before="0" w:after="1"/>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24,273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13,427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Pre-Funded Warrants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December 11, 2025, in connection with the 2025 Follow-On Offering the Company issued 9,961,538 ADSs, including the issuance of 1,500,000 ADSs in connection with the full exercise of the 2025 Underwriters’ Option, and, in lieu of ADSs to certain investors, 1,538,462 Pre-Funded Warrants to purchase 4,615,386 ordinary shares. The Pre-Funded Warrants were sold at a public offering price of $64.9999 per Pre-Funded Warrant, which represents the per ADS public offering price less the $0.0001 per share exercise price for each such Pre-Funded Warrant. The Pre-Funded Warrants do not have an expiration date and are exercisable at any time. The Pre-Funded Warrants are classified as a component of permanent equity within the Company's condensed consolidated balance sheets as they are freestanding financial instruments that are immediately exercisable, do not embody an obligation for the Company to repurchase its own shares and permit the holders to receive a fixed number of ordinary shares upon exercise. Upon issuance, the Company recorded the Pre-Funded Warrants at the net proceeds, after deducting $6.2 million of underwriting discount and commissions and other offering expenses, of approximately $93.8 million. The Company may receive nominal proceeds, if any, from the exercise of the Pre-Funded Warrants. As of June 30, 2026, none of the Pre-Funded Warrants have been exercised.</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7. License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December 2025, the Company entered into a non-exclusive license agreement (the “GNE Agreement”) with Genentech, Inc. (“Genentech”) and F. Hoffmann-La Roche Ltd (“Roche”, and together with Genentech, “GNE”) under which the Company granted to GNE a non-exclusive, sublicensable, royalty-bearing license, under the Company’s licensed patents, to make, use, sell, offer for sale, and import licensed products (the “License”). The Company concluded that this type of transaction did not meet the definition of “ordinary activities” of the Company and GNE is not considered a “customer” in this transaction. In the absence of specific guidance, the Company applied ASC 606, </w:t>
      </w:r>
      <w:r>
        <w:rPr>
          <w:rFonts w:ascii="Arial;Helvetica;sans-serif" w:hAnsi="Arial;Helvetica;sans-serif"/>
          <w:i/>
          <w:sz w:val="20"/>
        </w:rPr>
        <w:t>Revenue from Contracts with Customers</w:t>
      </w:r>
      <w:r>
        <w:rPr>
          <w:rFonts w:ascii="Arial;Helvetica;sans-serif" w:hAnsi="Arial;Helvetica;sans-serif"/>
          <w:sz w:val="20"/>
        </w:rPr>
        <w:t>, by analogy to account for the GNE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terms of the GNE Agreement, the Company received an upfront payment of $100.0 million from Genentech in January 2026. In addition, the Company is eligible to receive low single digit royalties on annual worldwide net sales of licensed products.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Unless terminated earlier, the GNE Agreement shall continue in full force and effect, on a country-by-country and licensed product-by-licensed product basis, until the expiration of the last to expire valid claim of a licensed patent. GNE may, in its sole discretion, terminate the GNE Agreement in its entirety at any time and without cause upon 60 days’ prior written notice to the Company. Each party may terminate the GNE Agreement in its entirety if the other party materially breaches the GNE Agreement and fails to cure within a specified period. In addition, the Company may terminate the GNE Agreement in its entirety if GNE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commences a legal, administrative or other action challenging the validity, enforceability, patentability or scope of any licensed patent.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Company determined that the License is the only promise and performance obligation in the GNE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determine the consideration amount to recognize under the GNE Agreement, the Company evaluated all payments to be received during the contract. The Company determined that at inception the transaction price was $100.0 million which consisted of fixed consideration of $100.0 million represented by the upfront payment. The transaction price was recognized as other license income at the point in time when the License was delivered to GNE in December 2025. The royalties will be recognized if and when the underlying sales occur.</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8. Asset Purchase Agreement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August 2025, the Company’s wholly-owned subsidiary, Basecamp Bio Inc., entered into an asset purchase agreement (the “Exelixis Agreement”) with Exelixis, Inc. related to the sale of certain early-stage non-metabolic and non-obesity assets. The Company concluded that the sale of such assets should be accounted for under the guidance at ASC 610-20, </w:t>
      </w:r>
      <w:r>
        <w:rPr>
          <w:rFonts w:ascii="Arial;Helvetica;sans-serif" w:hAnsi="Arial;Helvetica;sans-serif"/>
          <w:i/>
          <w:sz w:val="20"/>
        </w:rPr>
        <w:t>Other Income—Gains and Losses from the Derecognition of Nonfinancial Assets</w:t>
      </w:r>
      <w:r>
        <w:rPr>
          <w:rFonts w:ascii="Arial;Helvetica;sans-serif" w:hAnsi="Arial;Helvetica;sans-serif"/>
          <w:sz w:val="20"/>
        </w:rPr>
        <w:t>, as this type of transaction did not meet the definition of “ordinary activities” of the Company and Exelixis is not considered a “customer” in this transaction.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Under the Exelixis Agreement, the Company is eligible for initial payments totaling $10.0 million and patent cost reimbursements, and contingent milestone payments of up to $90.0 million in the aggregate. In addition, the Company is eligible to receive tiered, low single digit royalties on the net sales of approved products. As of December 31, 2025, initial payments and patent cost reimbursements of $10.2 million has been received and were included in gains on sale of non-financial asset on the consolidated statements of operations and comprehensive loss for the year ended December 31, 2025. At the inception of the Exelixis Agreement and as of June 30, 2026, it was determined that it was not more likely than not that the variable consideration related to the contingent milestone payments and royalties will be received and, therefore, such variable consideration was excluded from the total consideration. The contingent milestone payments will be recognized if and when it becomes more likely than not that the underlying milestones will be achieved and royalties will be recognized if and when the related sales occur.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9. Collaboration Agreements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Lhotse Collaboration Agreement with Schrödinger LLC</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October 2020, Lhotse Bio, Inc. (“Lhotse”), the Company’s wholly-owned subsidiary, entered into a collaboration agreement (the “Lhotse-Schrödinger Agreement”) with Schrödinger LLC to discover and develop novel, orally bioavailable, small molecule inhibitors of lysophosphatidic acid 1 receptor (“LPA1R”). Under the Lhotse-Schrödinger Agreement, Schrödinger LLC was obligated to provide computational modeling and design support, including by using its technology platform to perform virtual screens, and Lhotse was obligated to provide day-to-day chemistry and biology support. Lhotse solely owned the research results, work product, inventions and other intellectual property generated under the Lhotse-Schrödinger Agreement that were directed to LPA1R.</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If Lhotse developed and commercialized a product containing a compound (a “Lhotse Collaboration Compound”), that was discovered or developed under the Lhotse-Schrödinger Agreement (a “Lhotse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Collaboration Product”), Lhotse was obligated to pay Schrödinger LLC development and regulatory milestone payments of up to an aggregate of $17.0 million, regardless of the number of Lhotse Collaboration Products that reach such milestones. Lhotse will also be obligated to pay Schrödinger LLC tiered royalties on a Lhotse Collaboration Product-by-Lhotse Collaboration Product basis equal to low single digit percentages on aggregate worldwide net sales of Lhotse Collaboration Products, subject to specified reductions and offsets. Lhotse’s obligation to pay royalties to Schrödinger LLC was to expire on a Lhotse Collaboration Product-by-Lhotse Collaboration Product and country-by-country basis on the later of (i) the expiration of the last-to-expire Lhotse patent claim covering the composition of matter of the Lhotse Collaboration Compound contained in such Lhotse Collaboration Product in such country, (ii) the expiration of regulatory, pediatric, orphan drug, or data exclusivity with respect to such Lhotse Collaboration Product in such country, and (iii) ten years after the first commercial sale of such Lhotse Collaboration Product in such country (the “Lhotse Royalty Term”).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Lhotse-Schrödinger Agreement expired after three years. Lhotse’s obligation to make milestone and royalty payments (subject to the Lhotse Royalty Term) to Schrödinger LLC continues after the expiration of the Lhotse-Schrödinger Agreement. As of June 30, 2026 and December 31, 2025, no milestone or royalty payments have been paid or accrued.</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Aconcagua Collaboration Agreement with Schrödinger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November 2023, Aconcagua Bio, Inc. (“Aconcagua”), the Company’s wholly-owned subsidiary, entered into a collaboration agreement (the “Aconcagua-Schrödinger Agreement”) with Schrödinger to discover and develop novel, small molecule modulators of a specific target. Under the Aconcagua-Schrödinger Agreement, Schrödinger is obligated to provide computational modeling and design support, including by using its technology platform to perform virtual screens, and Aconcagua is obligated to provide day-to-day chemistry and biology support. During the term of the Aconcagua-Schrödinger Agreement or if longer, for a specified number of years after the effective date of the Aconcagua-Schrödinger Agreement, Schrödinger is obligated, subject to certain exceptions, to work exclusively with Aconcagua on the design, research, development and commercialization of compounds that inhibit the target. Aconcagua will solely own the research results, work product, inventions and other intellectual property generated under the Aconcagua-Schrödinger Agreement other than improvements to Schrödinger’s background intellectual property.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term of the Aconcagua-Schrödinger Agreement, Aconcagua is obligated to pay Schrödinger a monthly active program payment in the low six digits, which payment includes fees payable for certain Schrödinger software employed in the collaboration.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Aconcagua develops and commercializes a product containing a compound (“Aconcagua Collaboration Compound”) that is discovered or developed under the Aconcagua-Schrödinger Agreement or a derivative thereof (“Aconcagua Collaboration Product”), Aconcagua is obligated to pay Schrödinger development, regulatory and commercialization milestone payments of up to an aggregate of $89.0 million for the first Aconcagua Collaboration Product to achieve a particular milestone event, regardless of the number of Aconcagua Collaboration Products that reach such milestones. Aconcagua will also be obligated to pay Schrödinger tiered royalties in the low single digit range on aggregate worldwide net sales of all Aconcagua Collaboration Products, subject to specified reductions and offsets. Aconcagua’s obligation to pay royalties to Schrödinger will expire on a Aconcagua Collaboration Product-by-Aconcagua Collaboration Product and country-by-country basis on the later of (i) the expiration of the last-to-expire Aconcagua owned patent claim covering the composition of matter of the Aconcagua Collaboration Compound contained in such Aconcagua Collaboration Product in such country and (ii) ten years after the first commercial sale of such Aconcagua Collaboration Product in such country (“Aconcagua Royalty Term”).</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NOTES TO UNAUDITED CONDENSED CONSOLIDATED FINANCIAL STATEMENTS (CONTINUED)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val="false"/>
          <w:sz w:val="20"/>
        </w:rPr>
        <w:t>Unless terminated earlier, the Aconcagua-Schrödinger Agreement will continue for three years, subject to extension by mutual written agreement of the parties. Either party may terminate the Aconcagua-Schrödinger Agreement for convenience after a specified period or for the other party’s uncured material breach. Aconcagua’s obligation to make milestone and royalty payments (subject to the Aconcagua Royalty Term) to Schrödinger continues after the expiration or termination of the Aconcagua-Schrödinger Agreement, unless the Aconcagua-Schrödinger Agreement is terminated under specified circumstances. As of June 30, 2026, two</w:t>
      </w:r>
      <w:r>
        <w:rPr>
          <w:rFonts w:ascii="Arial;Helvetica;sans-serif" w:hAnsi="Arial;Helvetica;sans-serif"/>
          <w:b/>
          <w:sz w:val="20"/>
        </w:rPr>
        <w:t xml:space="preserve"> </w:t>
      </w:r>
      <w:r>
        <w:rPr>
          <w:rFonts w:ascii="Arial;Helvetica;sans-serif" w:hAnsi="Arial;Helvetica;sans-serif"/>
          <w:b w:val="false"/>
          <w:sz w:val="20"/>
        </w:rPr>
        <w:t>milestones of $9.0</w:t>
      </w:r>
      <w:r>
        <w:rPr>
          <w:rFonts w:ascii="Arial;Helvetica;sans-serif" w:hAnsi="Arial;Helvetica;sans-serif"/>
          <w:b/>
          <w:sz w:val="20"/>
        </w:rPr>
        <w:t xml:space="preserve"> </w:t>
      </w:r>
      <w:r>
        <w:rPr>
          <w:rFonts w:ascii="Arial;Helvetica;sans-serif" w:hAnsi="Arial;Helvetica;sans-serif"/>
          <w:b w:val="false"/>
          <w:sz w:val="20"/>
        </w:rPr>
        <w:t>million were achieved and $9.0</w:t>
      </w:r>
      <w:r>
        <w:rPr>
          <w:rFonts w:ascii="Arial;Helvetica;sans-serif" w:hAnsi="Arial;Helvetica;sans-serif"/>
          <w:b/>
          <w:sz w:val="20"/>
        </w:rPr>
        <w:t xml:space="preserve"> </w:t>
      </w:r>
      <w:r>
        <w:rPr>
          <w:rFonts w:ascii="Arial;Helvetica;sans-serif" w:hAnsi="Arial;Helvetica;sans-serif"/>
          <w:b w:val="false"/>
          <w:sz w:val="20"/>
        </w:rPr>
        <w:t>million was paid under this agreement.</w:t>
      </w:r>
    </w:p>
    <w:p>
      <w:pPr>
        <w:pStyle w:val="TextBody"/>
        <w:bidi w:val="0"/>
        <w:spacing w:before="0" w:after="240"/>
        <w:ind w:left="0" w:right="0" w:hanging="0"/>
        <w:jc w:val="left"/>
        <w:rPr>
          <w:rFonts w:ascii="Arial;Helvetica;sans-serif" w:hAnsi="Arial;Helvetica;sans-serif"/>
          <w:b/>
          <w:sz w:val="20"/>
        </w:rPr>
      </w:pPr>
      <w:bookmarkStart w:id="861" w:name="Tc_zBdISAF1xEeMqaDXxLIxLg_8_0"/>
      <w:bookmarkStart w:id="862" w:name="Tc_cHssGAiYRU25a4DY_RQe9g_7_0"/>
      <w:bookmarkStart w:id="863" w:name="Tc_y7Dh-kwBmEOOgyv-JIJhHA_6_0"/>
      <w:bookmarkStart w:id="864" w:name="Tc_uuNcu_FvSUm80OB5gXjJlg_5_0"/>
      <w:bookmarkStart w:id="865" w:name="Tc_fRBO4V5wNUWgJEa0Jx19rg_4_4"/>
      <w:bookmarkStart w:id="866" w:name="Tc_aRqhR9PpLUWJgRhqPIEWbA_4_2"/>
      <w:bookmarkStart w:id="867" w:name="Tc_6t7TLV06FkanZuWFSFJz2w_3_2"/>
      <w:bookmarkStart w:id="868" w:name="Tc_58tGnIzKG0KcJOjmvbs89Q_2_2"/>
      <w:bookmarkStart w:id="869" w:name="_5156a4d4_59c2_4c30_ba5f_601bbbda9ef8"/>
      <w:bookmarkStart w:id="870" w:name="Tc_JQ3LG4fOUk-R6Z0z9fV9kg_11_11"/>
      <w:bookmarkStart w:id="871" w:name="Tc_buMWhy5QekWmdJVp4kZm-g_11_8"/>
      <w:bookmarkStart w:id="872" w:name="Tc_T8flUO3E-UCvtz4Ergqe-A_11_5"/>
      <w:bookmarkStart w:id="873" w:name="Tc_nZEDIS1guEiKUuC1nfB0Fg_11_2"/>
      <w:bookmarkStart w:id="874" w:name="Tc_VTOAlwGBtEKOMG5a7Q45BA_11_0"/>
      <w:bookmarkStart w:id="875" w:name="Tc_ktGbkwTopUacsJKAwwq3lQ_10_0"/>
      <w:bookmarkStart w:id="876" w:name="Tc_DW0gqfu2w0q8-UeEd98qhQ_9_12"/>
      <w:bookmarkStart w:id="877" w:name="Tc_YUOhSnObnUizvzjCjEgpDg_9_6"/>
      <w:bookmarkStart w:id="878" w:name="Tc_vT0NWv1Mq0ex3phQYe-Fmw_9_0"/>
      <w:bookmarkStart w:id="879" w:name="Tc_AGEibsa7UE2R0PPBpWKVCw_8_0"/>
      <w:bookmarkStart w:id="880" w:name="Tc_klCKfMtpTEa92FHyvwmdjg_7_0"/>
      <w:bookmarkStart w:id="881" w:name="Tc_yZ_rA-wu8UKkYKhOBdrNEQ_6_11"/>
      <w:bookmarkStart w:id="882" w:name="Tc_8k6GEOYcSU-kuxQ_MxTkSQ_6_8"/>
      <w:bookmarkStart w:id="883" w:name="Tc_pQNGKkkTHkGOJezSUd6_xQ_6_5"/>
      <w:bookmarkStart w:id="884" w:name="Tc_TwhrXgiTmU-bAwEFwK_DTw_6_2"/>
      <w:bookmarkStart w:id="885" w:name="Tc_TwobQuOYbk-uc74wqlZZFQ_6_0"/>
      <w:bookmarkStart w:id="886" w:name="Tc_yjHMsXYhTUS9IUay20uLdQ_5_0"/>
      <w:bookmarkStart w:id="887" w:name="Tc_vIt70g2b5Ey28d6h8hqNXA_4_11"/>
      <w:bookmarkStart w:id="888" w:name="Tc_aT88IfDzG0quw-bjlJ6R0A_4_8"/>
      <w:bookmarkStart w:id="889" w:name="Tc_yx5B15RfhkWOzIl45Bvj5g_4_5"/>
      <w:bookmarkStart w:id="890" w:name="Tc_GWl8Av-R60Cm3bJcBQIu-Q_4_2"/>
      <w:bookmarkStart w:id="891" w:name="Tc_kNutUBNVIUyeBgW3M1q-xA_3_8"/>
      <w:bookmarkStart w:id="892" w:name="Tc_xDDlSeEHG0Cf3snTXsLOAg_3_2"/>
      <w:bookmarkStart w:id="893" w:name="Tc_X4y7RxYleEmzYkEbjIinMw_2_8"/>
      <w:bookmarkStart w:id="894" w:name="Tc_tH3uZJYItES_9Ogz0L_bdQ_2_2"/>
      <w:bookmarkStart w:id="895" w:name="_3d8a7e7d_1a2b_482f_b4fa_949f58389c4a"/>
      <w:bookmarkStart w:id="896" w:name="_847ff72f_70bc_434f_a02c_493d446d7b46"/>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r>
        <w:rPr>
          <w:rFonts w:ascii="Arial;Helvetica;sans-serif" w:hAnsi="Arial;Helvetica;sans-serif"/>
          <w:b/>
          <w:sz w:val="20"/>
        </w:rPr>
        <w:t>10. Net Loss Per Share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computation of basic and diluted net loss per share attributable to ordinary shareholders (in thousands, except per share amounts):</w:t>
      </w:r>
    </w:p>
    <w:tbl>
      <w:tblPr>
        <w:tblW w:w="10205" w:type="dxa"/>
        <w:jc w:val="left"/>
        <w:tblInd w:w="0" w:type="dxa"/>
        <w:tblLayout w:type="fixed"/>
        <w:tblCellMar>
          <w:top w:w="0" w:type="dxa"/>
          <w:left w:w="0" w:type="dxa"/>
          <w:bottom w:w="0" w:type="dxa"/>
          <w:right w:w="0" w:type="dxa"/>
        </w:tblCellMar>
      </w:tblPr>
      <w:tblGrid>
        <w:gridCol w:w="4148"/>
        <w:gridCol w:w="346"/>
        <w:gridCol w:w="211"/>
        <w:gridCol w:w="878"/>
        <w:gridCol w:w="346"/>
        <w:gridCol w:w="211"/>
        <w:gridCol w:w="801"/>
        <w:gridCol w:w="346"/>
        <w:gridCol w:w="211"/>
        <w:gridCol w:w="878"/>
        <w:gridCol w:w="346"/>
        <w:gridCol w:w="211"/>
        <w:gridCol w:w="878"/>
        <w:gridCol w:w="394"/>
      </w:tblGrid>
      <w:tr>
        <w:trPr/>
        <w:tc>
          <w:tcPr>
            <w:tcW w:w="4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33980" cy="175260"/>
                      <wp:effectExtent l="0" t="0" r="0" b="0"/>
                      <wp:wrapNone/>
                      <wp:docPr id="166" name="Frame166"/>
                      <a:graphic xmlns:a="http://schemas.openxmlformats.org/drawingml/2006/main">
                        <a:graphicData uri="http://schemas.microsoft.com/office/word/2010/wordprocessingShape">
                          <wps:wsp>
                            <wps:cNvSpPr txBox="1"/>
                            <wps:spPr>
                              <a:xfrm>
                                <a:off x="0" y="0"/>
                                <a:ext cx="263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57530" cy="175260"/>
                      <wp:effectExtent l="0" t="0" r="0" b="0"/>
                      <wp:wrapNone/>
                      <wp:docPr id="169" name="Frame169"/>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08635" cy="175260"/>
                      <wp:effectExtent l="0" t="0" r="0" b="0"/>
                      <wp:wrapNone/>
                      <wp:docPr id="172" name="Frame172"/>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57530" cy="175260"/>
                      <wp:effectExtent l="0" t="0" r="0" b="0"/>
                      <wp:wrapNone/>
                      <wp:docPr id="175" name="Frame175"/>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7" name="Frame1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57530" cy="175260"/>
                      <wp:effectExtent l="0" t="0" r="0" b="0"/>
                      <wp:wrapNone/>
                      <wp:docPr id="178" name="Frame17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50190" cy="175260"/>
                      <wp:effectExtent l="0" t="0" r="0" b="0"/>
                      <wp:wrapNone/>
                      <wp:docPr id="179" name="Frame17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447" w:type="dxa"/>
            <w:gridSpan w:val="5"/>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2524" w:type="dxa"/>
            <w:gridSpan w:val="5"/>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94"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r>
      <w:tr>
        <w:trPr/>
        <w:tc>
          <w:tcPr>
            <w:tcW w:w="41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7"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524"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4" w:type="dxa"/>
            <w:tcBorders/>
            <w:vAlign w:val="center"/>
          </w:tcPr>
          <w:p>
            <w:pPr>
              <w:pStyle w:val="TableContents"/>
              <w:bidi w:val="0"/>
              <w:spacing w:before="0" w:after="0"/>
              <w:ind w:left="0" w:right="0" w:hanging="0"/>
              <w:jc w:val="left"/>
              <w:rPr/>
            </w:pPr>
            <w:r>
              <w:rPr/>
              <w:t>​</w:t>
            </w:r>
          </w:p>
        </w:tc>
      </w:tr>
      <w:tr>
        <w:trPr/>
        <w:tc>
          <w:tcPr>
            <w:tcW w:w="41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4" w:type="dxa"/>
            <w:tcBorders/>
            <w:vAlign w:val="center"/>
          </w:tcPr>
          <w:p>
            <w:pPr>
              <w:pStyle w:val="TableContents"/>
              <w:bidi w:val="0"/>
              <w:spacing w:before="0" w:after="0"/>
              <w:ind w:left="0" w:right="0" w:hanging="0"/>
              <w:jc w:val="left"/>
              <w:rPr/>
            </w:pPr>
            <w:r>
              <w:rPr/>
              <w:t>​</w:t>
            </w:r>
          </w:p>
        </w:tc>
      </w:tr>
      <w:tr>
        <w:trPr/>
        <w:tc>
          <w:tcPr>
            <w:tcW w:w="41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4" w:type="dxa"/>
            <w:tcBorders/>
            <w:vAlign w:val="center"/>
          </w:tcPr>
          <w:p>
            <w:pPr>
              <w:pStyle w:val="TableContents"/>
              <w:bidi w:val="0"/>
              <w:spacing w:before="0" w:after="0"/>
              <w:ind w:left="0" w:right="0" w:hanging="0"/>
              <w:jc w:val="left"/>
              <w:rPr/>
            </w:pPr>
            <w:r>
              <w:rPr/>
              <w:t>​</w:t>
            </w:r>
          </w:p>
        </w:tc>
      </w:tr>
      <w:tr>
        <w:trPr/>
        <w:tc>
          <w:tcPr>
            <w:tcW w:w="414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  ​</w:t>
            </w:r>
          </w:p>
        </w:tc>
        <w:tc>
          <w:tcPr>
            <w:tcW w:w="394" w:type="dxa"/>
            <w:tcBorders/>
            <w:shd w:fill="CCEEFF" w:val="clear"/>
            <w:vAlign w:val="center"/>
          </w:tcPr>
          <w:p>
            <w:pPr>
              <w:pStyle w:val="TableContents"/>
              <w:bidi w:val="0"/>
              <w:spacing w:before="0" w:after="0"/>
              <w:ind w:left="0" w:right="0" w:hanging="0"/>
              <w:jc w:val="left"/>
              <w:rPr/>
            </w:pPr>
            <w:r>
              <w:rPr/>
              <w:t> </w:t>
            </w:r>
          </w:p>
        </w:tc>
      </w:tr>
      <w:tr>
        <w:trPr/>
        <w:tc>
          <w:tcPr>
            <w:tcW w:w="414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(106,159)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(61,661)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(182,127)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(108,494)</w:t>
            </w:r>
          </w:p>
        </w:tc>
        <w:tc>
          <w:tcPr>
            <w:tcW w:w="394" w:type="dxa"/>
            <w:tcBorders/>
            <w:vAlign w:val="center"/>
          </w:tcPr>
          <w:p>
            <w:pPr>
              <w:pStyle w:val="TableContents"/>
              <w:bidi w:val="0"/>
              <w:spacing w:before="0" w:after="0"/>
              <w:ind w:left="0" w:right="0" w:hanging="0"/>
              <w:jc w:val="left"/>
              <w:rPr/>
            </w:pPr>
            <w:r>
              <w:rPr/>
              <w:t>​</w:t>
            </w:r>
          </w:p>
        </w:tc>
      </w:tr>
      <w:tr>
        <w:trPr/>
        <w:tc>
          <w:tcPr>
            <w:tcW w:w="414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  ​</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414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Weighted-average ordinary shares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213,342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172,647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172,351</w:t>
            </w:r>
          </w:p>
        </w:tc>
        <w:tc>
          <w:tcPr>
            <w:tcW w:w="394" w:type="dxa"/>
            <w:tcBorders/>
            <w:vAlign w:val="center"/>
          </w:tcPr>
          <w:p>
            <w:pPr>
              <w:pStyle w:val="TableContents"/>
              <w:bidi w:val="0"/>
              <w:spacing w:before="0" w:after="0"/>
              <w:ind w:left="0" w:right="0" w:hanging="0"/>
              <w:jc w:val="left"/>
              <w:rPr/>
            </w:pPr>
            <w:r>
              <w:rPr/>
              <w:t>​</w:t>
            </w:r>
          </w:p>
        </w:tc>
      </w:tr>
      <w:tr>
        <w:trPr/>
        <w:tc>
          <w:tcPr>
            <w:tcW w:w="414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 weighted average of ordinary shares to be issued upon exercise of Pre-Funded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414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Weighted average shares used to compute 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217,957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172,647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217,643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172,351</w:t>
            </w:r>
          </w:p>
        </w:tc>
        <w:tc>
          <w:tcPr>
            <w:tcW w:w="394" w:type="dxa"/>
            <w:tcBorders/>
            <w:vAlign w:val="center"/>
          </w:tcPr>
          <w:p>
            <w:pPr>
              <w:pStyle w:val="TableContents"/>
              <w:bidi w:val="0"/>
              <w:spacing w:before="0" w:after="0"/>
              <w:ind w:left="0" w:right="0" w:hanging="0"/>
              <w:jc w:val="left"/>
              <w:rPr/>
            </w:pPr>
            <w:r>
              <w:rPr/>
              <w:t>​</w:t>
            </w:r>
          </w:p>
        </w:tc>
      </w:tr>
      <w:tr>
        <w:trPr/>
        <w:tc>
          <w:tcPr>
            <w:tcW w:w="4148"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loss per share,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(0.63)</w:t>
            </w:r>
          </w:p>
        </w:tc>
        <w:tc>
          <w:tcPr>
            <w:tcW w:w="394" w:type="dxa"/>
            <w:tcBorders/>
            <w:shd w:fill="CCEEFF" w:val="clear"/>
            <w:vAlign w:val="center"/>
          </w:tcPr>
          <w:p>
            <w:pPr>
              <w:pStyle w:val="TableContents"/>
              <w:bidi w:val="0"/>
              <w:spacing w:before="0" w:after="0"/>
              <w:ind w:left="0" w:right="0" w:hanging="0"/>
              <w:jc w:val="left"/>
              <w:rPr/>
            </w:pPr>
            <w:r>
              <w:rPr/>
              <w:t>​</w:t>
            </w:r>
          </w:p>
        </w:tc>
      </w:tr>
      <w:tr>
        <w:trPr/>
        <w:tc>
          <w:tcPr>
            <w:tcW w:w="41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outstanding shares of potentially dilutive securities were excluded from the computation of diluted net loss per share attributable to ordinary shareholders for the periods presented because including them would have been antidilutive (in thousands):</w:t>
      </w:r>
    </w:p>
    <w:tbl>
      <w:tblPr>
        <w:tblW w:w="5736" w:type="dxa"/>
        <w:jc w:val="left"/>
        <w:tblInd w:w="0" w:type="dxa"/>
        <w:tblLayout w:type="fixed"/>
        <w:tblCellMar>
          <w:top w:w="0" w:type="dxa"/>
          <w:left w:w="0" w:type="dxa"/>
          <w:bottom w:w="0" w:type="dxa"/>
          <w:right w:w="0" w:type="dxa"/>
        </w:tblCellMar>
      </w:tblPr>
      <w:tblGrid>
        <w:gridCol w:w="3271"/>
        <w:gridCol w:w="346"/>
        <w:gridCol w:w="691"/>
        <w:gridCol w:w="346"/>
        <w:gridCol w:w="691"/>
        <w:gridCol w:w="391"/>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7085" cy="175260"/>
                      <wp:effectExtent l="0" t="0" r="0" b="0"/>
                      <wp:wrapNone/>
                      <wp:docPr id="180" name="Frame180"/>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2" name="Frame1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8785" cy="175260"/>
                      <wp:effectExtent l="0" t="0" r="0" b="0"/>
                      <wp:wrapNone/>
                      <wp:docPr id="184" name="Frame1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48285" cy="175260"/>
                      <wp:effectExtent l="0" t="0" r="0" b="0"/>
                      <wp:wrapNone/>
                      <wp:docPr id="185" name="Frame18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center"/>
              <w:rPr/>
            </w:pPr>
            <w:r>
              <w:rPr/>
              <w:t>  ​ ​ ​</w:t>
            </w:r>
          </w:p>
        </w:tc>
        <w:tc>
          <w:tcPr>
            <w:tcW w:w="1728" w:type="dxa"/>
            <w:gridSpan w:val="3"/>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  ​ ​ ​</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28" w:type="dxa"/>
            <w:gridSpan w:val="3"/>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Options to purchase ordinary shares</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17,180</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15,879</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Unvested restricted share units</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6,356</w:t>
            </w:r>
          </w:p>
        </w:tc>
        <w:tc>
          <w:tcPr>
            <w:tcW w:w="34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2,884</w:t>
            </w:r>
          </w:p>
        </w:tc>
        <w:tc>
          <w:tcPr>
            <w:tcW w:w="391"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committed under ESPP</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23,792</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19,073</w:t>
            </w:r>
          </w:p>
        </w:tc>
        <w:tc>
          <w:tcPr>
            <w:tcW w:w="391" w:type="dxa"/>
            <w:tcBorders/>
            <w:vAlign w:val="center"/>
          </w:tcPr>
          <w:p>
            <w:pPr>
              <w:pStyle w:val="TableContents"/>
              <w:bidi w:val="0"/>
              <w:spacing w:before="0" w:after="0"/>
              <w:ind w:left="0" w:right="0" w:hanging="0"/>
              <w:jc w:val="left"/>
              <w:rPr/>
            </w:pPr>
            <w:r>
              <w:rPr/>
              <w:t> </w:t>
            </w:r>
          </w:p>
        </w:tc>
      </w:tr>
      <w:tr>
        <w:trPr/>
        <w:tc>
          <w:tcPr>
            <w:tcW w:w="3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bookmarkStart w:id="897" w:name="_5b924841_a421_45b9_bd1a_88f580d58d47"/>
      <w:bookmarkEnd w:id="897"/>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bookmarkStart w:id="898" w:name="Item2ManagementsDiscussionandAnalysisofF"/>
      <w:bookmarkStart w:id="899" w:name="_a496f4d8_0444_482a_b4a8_659bc3053eed"/>
      <w:bookmarkEnd w:id="898"/>
      <w:bookmarkEnd w:id="899"/>
      <w:r>
        <w:rPr>
          <w:rFonts w:ascii="Arial;Helvetica;sans-serif" w:hAnsi="Arial;Helvetica;sans-serif"/>
          <w:b/>
          <w:sz w:val="20"/>
        </w:rPr>
        <w:t>Item 2. Management’s Discussion and Analysis of Financial Condition and Results of Operations.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(“Quarterly Report”). This discussion and other parts of this Quarterly Report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sections of this Quarterly Report entitled “Forward-Looking Statements” and “Risk Factors,” under Part II. Item 1A. and those discussed in our Annual Report on Form 10-K (“Annual Report”) for the year ended December 31, 2025 filed with the Securities and Exchange Commission (“SEC”) on February 26, 2026.</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Overview</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 clinical stage global biopharmaceutical company developing novel oral small molecule therapeutics to treat a wide range of chronic diseases with unmet medical need. Our differentiated technology platform leverages both structure-based drug discovery and our expertise in computational chemistry to discover and develop small molecule therapeutics against G-protein coupled receptors (“GPCRs”). These important receptors regulate numerous and diverse physiological and pathological processes. In fact, approximately one in every three marketed medicines targets GPCR-associated pathways for the treatment of various metabolic, cardiovascular and pulmonary disorders. By leveraging our world-class GPCR know-how, we are designing differentiated small molecule therapies to overcome the limitations of biologics and peptide therapies that target this family of receptors.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most advanced product candidate to date is aleniglipron, also known as GSBR-1290, an oral small molecule selective glucagon-like-peptide-1 receptor (“GLP-1R”) agonist currently in five ongoing clinical trials for the treatment of obesity, overweight and related conditions. We have two oral small molecule amylin receptor agonists: ACCG-2671, which is currently in Phase 1 clinical development, and ACCG-3535, which we have selected as our second amylin development candidate. Our obesity pipeline also includes multiple preclinical discovery stage small molecules targeting glucose-dependent insulinotropic polypeptide and glucagon receptors. Importantly, these programs have the potential to be developed as monotherapy as well as in fixed dose combination with our backbone GLP-1 or amylin development candidates. These combination products enable us to potentially address diseases beyond obesity including type 2 diabetes mellitus (“T2DM”), heart failure, sleep apnea, chronic kidney disease, osteoarthritis, metabolic dysfunction-associated steatotic liver disease (“MASH”) and potentially even addiction and Parkinson’s disease and Alzheimer’s disease, areas where we are starting to see encouraging data with GLP-1Rs. Our product candidates, as oral small molecules, have the potential to be more accessible medicines than biologics and peptide therapies with potentially differentiated efficacy and safety and, from a manufacturing standpoint, more scalable to meet global demand.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i/>
          <w:sz w:val="20"/>
        </w:rPr>
        <w:t>Aleniglipron (GSBR-1290)</w:t>
      </w:r>
      <w:r>
        <w:rPr>
          <w:rFonts w:ascii="Arial;Helvetica;sans-serif" w:hAnsi="Arial;Helvetica;sans-serif"/>
          <w:sz w:val="20"/>
        </w:rPr>
        <w:t xml:space="preserve"> – </w:t>
      </w:r>
      <w:r>
        <w:rPr>
          <w:rFonts w:ascii="Arial;Helvetica;sans-serif" w:hAnsi="Arial;Helvetica;sans-serif"/>
          <w:i/>
          <w:sz w:val="20"/>
        </w:rPr>
        <w:t>Oral Small Molecule Selective GLP-1R Agonist for Obesity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the fourth quarter of 2024, we initiated the Phase 2b ACCESS trial, a randomized, double-blind, placebo-controlled, dose-range finding trial of aleniglipron in approximately 220 adult participants living with obesity (BMI ≥ 30 kg/m2), or overweight (BMI ≥ 27 kg/m2) with at least one weight-related comorbidity. Participants started at 5 mg of aleniglipron (or placebo) with a 4-week titration schedule, reaching target doses of 45 mg, 90 mg and 120 mg. The primary endpoint was percent change in body weight from baseline to week 36. Secondary endpoints included safety and tolerability of the monthly titration scheme, as well as PK of aleniglipron. In the fourth quarter of 2024, we initiated a randomized, double-blind, placebo-controlled dose-range finding Phase 2 trial of aleniglipron, known as ACCESS II, in approximately 82 adult participants living with obesity or overweight with at least one weight-related comorbidity. The trial was designed to evaluate two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higher doses of aleniglipron. Participants started at 5 mg of aleniglipron (or placebo) and follow a 4-week titration schedule up to target doses of 120 mg, 180 mg and 240 mg.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February 2025, we completed enrollment in the ACCESS and ACCESS II trials, and in December 2025, we reported topline data from the ACCESS clinical program including 36-week topline data from the core Phase 2b ACCESS trial, 36-week interim data from the exploratory ACCESS II trial, interim data from Phase 2 body composition trial and Phase 2b ACCESS open label extension (“OLE”) trial. In summary, the Phase 2b ACCESS trial demonstrated a placebo-adjusted mean weight loss of 11.3% with 120 mg dose at 36 weeks; the exploratory ACCESS II dose exploration trial demonstrated a placebo-adjusted mean weight loss of 15.3% at 240 mg at 36 weeks. The tolerability profile reflected the well-known gastrointestinal-related adverse events typical of the GLP-1 class, with a favorable overall discontinuation rate of 10.4%.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March 2026, we reported topline data from the aleniglipron clinical program including 44-week topline data from the Phase 2 ACCESS II trial and interim data from the ongoing body composition trial and the ACCESS OLE trial. In summary, the Phase 2 ACCESS II trial demonstrated a placebo-adjusted mean weight loss of 16.3% (39 Ibs; p&lt;0.0001) at the 180 mg dose and 16.0% (37 Ibs; p&lt;0.0001) at the 240 mg dose at 44 weeks. In the ACCESS OLE trial, aleniglipron achieved continued weight loss from 36 weeks, up to 16.2% (40.5 Ibs) with 120 mg after a median follow-up of 20 weeks after the completion of the 36-week double blind treatment period. The ACCESS OLE trial is ongoing to evaluate the tolerability profile of the dosing regimen starting at the 2.5 mg dose for those previously on placebo and to collect up to 72 weeks of data exposure to aleniglipron, including 180 mg dose. We anticipate topline results from the ACCESS OLE trial in the third quarter of 2026. In addition, the body composition trial is ongoing to assess the effect of aleniglipron on body fat loss over a 44-week evaluation period, which includes a 28-week titration period and a starting dose of 2.5 mg and target dose of 180 mg of aleniglipron. The data will be used to inform the size of a sub trial into the Phase 3 program. We anticipate topline results from the body composition trial in the fourth quarter of 2026.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Data from the ACCESS clinical program supported and informed the advancement of aleniglipron into Phase 3 development. The Company received positive end-of-Phase 2 correspondence from the U.S. Food and Drug Administration (“FDA”) and clear guidance on the Phase 3 program.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August 2026, we initiated the Phase 3 ACCOMPLISH program, which includes two clinical trials evaluating aleniglipron. ACCOMPLISH-1 will evaluate aleniglipron in adults living with obesity or overweight with a weight-related comorbidity and will enroll up to 3,600 patients. ACCOMPLISH-2 will evaluate aleniglipron in adults living with obesity or overweight and T2DM and will enroll up to 1,100 patients.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ACCOMPLISH-1 and ACCOMPLISH-2 are randomized, double-blind, placebo-controlled trials designed to evaluate the long-term efficacy and safety of three maintenance doses of aleniglipron. Participants in the clinicla trials will be randomized to one of four treatment arms to evaluate three doses (45 mg, 90 mg or 180 mg) or placebo. Participants will begin treatment at a 2.5 mg starting dose of aleniglipron or placebo with a 4-week titration schedule. Together, the ACCOMPLISH clinical trials are designed to support regulatory submissions for aleniglipron in chronic weight management.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are conducting an ongoing 30-week trial to evaluate the potential to include patients with T2DM with obesity/overweight and a starting dose of 2.5 mg and target dose of 180 mg of aleniglipron. We anticipate data from the T2DM trial in the fourth quarter of 2026.</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are also conducting an ongoing SWITCH trial to assess the transition or switching from an approved injectable GLP-1 receptor agonist to once-daily oral aleniglipron for weight loss maintenance. This trial assesses different aleniglipron starting doses and weight loss maintenance over 12 weeks. We anticipate data from the SWITCH trial in the fourth quarter of 2026.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ACCG-2671 and ACCG-3535 – Oral Small Molecule Amylin Receptor Agonist for Obesity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advancing our amylin oral small molecule program and have initiated a Phase 1 clinical trial of our lead candidate, ACCG-2671 in December 2025. We expect to report initial Phase 1 Single Ascending Dose (“SAD”) trial results for ACCG-2671 and advance it into Phase 2 Multiple Ascending Dose (“MAD”) trial in the third quarter of 2026.</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November 2025, we selected a second DACRA development candidate, ACCG-3535. ACCG-3535 is a unique chemical structure from ACCG-2671. Preclinical ACCG-3535 data indicated high binding affinity to human amylin and calcitonin receptors and balanced potency in human amylin and calcitonin receptor functional assays. In addition, ACCG-3535 demonstrated robust food intake suppression and significant, dose-dependent body weight reduction as a monotherapy in diet-induced obese rats. Combination therapy with semaglutide (both concurrently and as a subsequent add-on to semaglutide) resulted in superior weight loss compared to semaglutide or ACCG-3535 monotherapy. We expect to initiate a Phase 1 trial for ACCG-3535 in the fourth quarter of 2026.</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GIP and GCG Receptor Oral Small Molecule Obesity Programs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Beyond our GLP-1R and amylin receptor programs, we are developing next generation oral incretins for potential combination therapy with GLP-1R or amylin candidates. These include small molecule candidates targeting glucose-dependent insulinotropic polypeptide receptor (“GIPR”) and GCG receptor (“GCGR”), each designed with customized properties to achieve additional benefit. We believe GLP/GIPR modulation has the potential to provide a differentiated treatment in obesity. In our GCG program, we have identified multiple GCGR agonist and dual GLP-1R/GCGR agonist hits for small molecule GCGR modulation. GCG is primarily expressed in the liver and therefore GCGR agonists could play an important role in liver-mediated diseases, specifically MASH.</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LTSE-2578 – Oral Small Molecule LPA1R Agonist for IPF</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been developing an antagonist that targets lysophosphatidic acid 1 receptor (“LPA1R”), a GPCR implicated in responses to tissue injury and pro-fibrotic processes, for the treatment of idiopathic pulmonary fibrosis (“IPF”).</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believe LTSE-2578 is a differentiated oral small molecule because it demonstrated potent in vitro and in vivo activity in preclinical IPF models and dose dependent inhibition of histamine release as the pharmacodynamic marker. We have completed IND-enabling trials including 28-day GLP-toxicology trials in dogs and rats. In July 2025, we completed a Phase 1 single and multiple ascending dose clinical trial of LTSE-2578, our oral small molecule antagonist that targets the LPA1R for the treatment of IPF. The randomized, double-blind, placebo-controlled first-in-human clinical trial investigated the safety, tolerability and pharmacokinetics of single and multiple ascending doses of LTSE-2578. In the trial, there was no evidence of any dose-dependent LTSE-2578-related adverse events, including clinical, laboratory and electrocardiogram recordings. No serious adverse events were observed. Having completed the Phase 1 trial, we are considering strategic alternatives for LTSE-2578 as a Phase 2 ready program in non-metabolic indications.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advancing a robust pipeline of small molecule therapeutic candidates for chronic diseases with unmet medical need.</w:t>
      </w:r>
    </w:p>
    <w:p>
      <w:pPr>
        <w:pStyle w:val="TextBody"/>
        <w:bidi w:val="0"/>
        <w:spacing w:before="0" w:after="0"/>
        <w:ind w:left="0" w:right="0" w:hanging="0"/>
        <w:jc w:val="center"/>
        <w:rPr/>
      </w:pPr>
      <w:r>
        <w:rPr/>
        <w:drawing>
          <wp:inline distT="0" distB="0" distL="0" distR="0">
            <wp:extent cx="6158865" cy="2647950"/>
            <wp:effectExtent l="0" t="0" r="0" b="0"/>
            <wp:docPr id="18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 descr=""/>
                    <pic:cNvPicPr>
                      <a:picLocks noChangeAspect="1" noChangeArrowheads="1"/>
                    </pic:cNvPicPr>
                  </pic:nvPicPr>
                  <pic:blipFill>
                    <a:blip r:embed="rId2"/>
                    <a:stretch>
                      <a:fillRect/>
                    </a:stretch>
                  </pic:blipFill>
                  <pic:spPr bwMode="auto">
                    <a:xfrm>
                      <a:off x="0" y="0"/>
                      <a:ext cx="6158865" cy="264795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We have established a manufacturing plan in the United States and continue to contract in parallel with additional suppliers in the United States and other regions outside of China to diversify the manufacturing of our active pharmaceutical ingredient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$182.1 million and $108.5 million in the six months ended June 30, 2026 and 2025, respectively. As of June 30, 2026, we had an accumulated deficit of $652.4 million.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we have cash, cash equivalents and short-term investments of $1,342.7 million. We received $100.0 million in the first quarter of 2026 consisting of an upfront license fee for certain patents that cover a class of oral GLP-1 receptor agonists that is different from aleniglipron. Based on our current business plan, we estimate that our existing cash, cash equivalents and short-term investments will be sufficient to fund our projected operations and key clinical milestones through the end of 2028. This includes costs related to the ongoing aleniglipron ACCESS OLE, ACCESS II extension trial, the supplementary trials, and Phase 3 registrational program in chronic weight management, but excludes additional costs related to pre-commercialization activities including commercial manufacturing. We have based this estimate on assumptions that may prove to be wrong, and we may exhaust our available capital resources sooner than we expect.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have incurred and expect to continue to incur additional costs associated with operating as a public company, including significant legal, audit, accounting, regulatory, consulting, and tax-related services associated with being a public company, compliance with Nasdaq listing and SEC requirements, director and officer insurance premiums and investor relations costs that we did not incur as a private company. As a result, we will need substantial additional capital to develop our product candidates, including to fund Phase 3 clinical trials of aleniglipron, and fund operations for the foreseeable future. Moreover, we may in the future seek to acquire or invest in additional businesses, products, or technologies that we believe could complement or enhance our products, enhance our technical capabilities or otherwise offer growth opportunities, although we currently have no agreements or understandings with respect to any such acquisitions or investments. Until such time as we can generate significant revenue from our products,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 Because of the numerous risks and uncertainties associated with product development, we cannot predict the timing or amount of increased expenses or when or if we will be able to achieve or maintain profitability.</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Impact of Geopolitical and Macroeconomic Factors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we did not see a significant financial impact to our business operations as a result of recent geopolitical and macroeconomic developments, such as recent and potential future disruptions in access to bank deposits or lending commitments due to bank failures, tariffs, global pandemics, geopolitical tensions between the United States and China, and various global conflicts for the six months ended June 30, 2026, there may be potential impacts to our business in the future that are highly uncertain and difficult to predict, including our ability to raise additional funds, disruptions to the supply chain and the manufacture or shipment of drug substances and finished drug products for our product candidates for use in our research, preclinical studies and clinical trials, impediments to our clinical trial initiation and recruitment, errors or omissions at our clinical sites and the ability of patients to continue in clinical trials, delays in the FDA’s review and approval processes, our ability to effectively operate across different geographies in which our offices are located, any increases in interest rates and economic inflation, bank failures, the impact on the global economy due to various global conflicts, higher prices of supplies, tariffs, changes in monetary and fiscal policy, U.S. political developments and other sources of instability and changes in availability and cost of credit and our ability to access capital. The ultimate impact of these geopolitical and macroeconomic factors, as well as any lasting effects on the way we conduct our business, is highly uncertain and subject to continued change, and we recognize that they may continue to present unique challenges for us.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Components of Our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Operating Expenses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research and development activities primarily consist of discovery, engineering and research associated with our product candidates under development, including preclinical studies and clinical trials. Research and development expenses include personnel-related costs for our management, including salaries, bonuses,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benefits and share-based compensation expenses, consulting services, clinical trial expenses, regulatory expenses, publications, and allocated overhead expenses, including rent, equipment, depreciation, information technology costs and utilities.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focusing substantially all of our resources on the development of our product candidates and the discovery of new product candidates through our structure-based drug discovery platform. At this time, we cannot reasonably estimate or know the nature, timing and estimated costs of the efforts that will be necessary to complete the development of our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our research and development expenses to continue to account for a significant portion of our operating expenses, and to increase substantially for the foreseeable future as we advance our product candidates into and through preclinical studies and clinical trials, identify new product candidates and potentially pursue regulatory approval of our product candidates. We anticipate that we will make determinations as to which product candidates to pursue and how much funding to direct to each product candidate on an ongoing basis in response to the results of ongoing and future preclinical studies and clinical trials, such as to conduct Phase 3 clinical trials of aleniglipron.</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general and administrative expenses consist primarily of personnel-related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expect our general and administrative expenses will increase during the next several years as we increase our headcount and expand our infrastructure to support our operations, particularly as a public company. In addition, as a public company, we have incurred and will continue to incur significant legal, accounting, investor relations and other expenses to comply with the reporting requirements of the Securities Exchange Act of 1934, as amended (the “Exchange Act”), the listing standards of Nasdaq, the Sarbanes-Oxley Act, and other applicable securities rules and regulations. Our general and administrative expenses may fluctuate from period to period as we continue to grow.</w:t>
      </w:r>
    </w:p>
    <w:p>
      <w:pPr>
        <w:pStyle w:val="TextBody"/>
        <w:bidi w:val="0"/>
        <w:spacing w:before="0" w:after="240"/>
        <w:ind w:left="0" w:right="0" w:hanging="0"/>
        <w:jc w:val="left"/>
        <w:rPr>
          <w:rFonts w:ascii="Arial;Helvetica;sans-serif" w:hAnsi="Arial;Helvetica;sans-serif"/>
          <w:b w:val="false"/>
          <w:i/>
          <w:sz w:val="20"/>
        </w:rPr>
      </w:pPr>
      <w:r>
        <w:rPr>
          <w:rFonts w:ascii="Arial;Helvetica;sans-serif" w:hAnsi="Arial;Helvetica;sans-serif"/>
          <w:b w:val="false"/>
          <w:i/>
          <w:sz w:val="20"/>
        </w:rPr>
        <w:t>Interest and 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and other income, net primarily consists of interest income earned on our cash, cash equivalents and short-term investments, including amortization and accretion of premiums and discounts on short-term investments, and foreign currency exchange gains and losses.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Comparison of the Three Months Ended June 30, 2026 and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consolidated results of operations for the periods indicated (in thousands):</w:t>
      </w:r>
    </w:p>
    <w:tbl>
      <w:tblPr>
        <w:tblW w:w="6188" w:type="dxa"/>
        <w:jc w:val="left"/>
        <w:tblInd w:w="0" w:type="dxa"/>
        <w:tblLayout w:type="fixed"/>
        <w:tblCellMar>
          <w:top w:w="0" w:type="dxa"/>
          <w:left w:w="0" w:type="dxa"/>
          <w:bottom w:w="0" w:type="dxa"/>
          <w:right w:w="0" w:type="dxa"/>
        </w:tblCellMar>
      </w:tblPr>
      <w:tblGrid>
        <w:gridCol w:w="2956"/>
        <w:gridCol w:w="346"/>
        <w:gridCol w:w="211"/>
        <w:gridCol w:w="916"/>
        <w:gridCol w:w="346"/>
        <w:gridCol w:w="211"/>
        <w:gridCol w:w="811"/>
        <w:gridCol w:w="39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877060" cy="175260"/>
                      <wp:effectExtent l="0" t="0" r="0" b="0"/>
                      <wp:wrapNone/>
                      <wp:docPr id="187" name="Frame186"/>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89"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81660" cy="175260"/>
                      <wp:effectExtent l="0" t="0" r="0" b="0"/>
                      <wp:wrapNone/>
                      <wp:docPr id="190" name="Frame18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1"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14985" cy="175260"/>
                      <wp:effectExtent l="0" t="0" r="0" b="0"/>
                      <wp:wrapNone/>
                      <wp:docPr id="193" name="Frame19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48285" cy="175260"/>
                      <wp:effectExtent l="0" t="0" r="0" b="0"/>
                      <wp:wrapNone/>
                      <wp:docPr id="194" name="Frame19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5"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 ​ ​</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100,057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54,710</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15,741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118,630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70,451</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(118,630)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(70,451)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12,705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8,929</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(105,925)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(61,522)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139</w:t>
            </w:r>
          </w:p>
        </w:tc>
        <w:tc>
          <w:tcPr>
            <w:tcW w:w="391" w:type="dxa"/>
            <w:tcBorders/>
            <w:vAlign w:val="center"/>
          </w:tcPr>
          <w:p>
            <w:pPr>
              <w:pStyle w:val="TableContents"/>
              <w:bidi w:val="0"/>
              <w:spacing w:before="0" w:after="1"/>
              <w:ind w:left="0" w:right="0" w:hanging="0"/>
              <w:jc w:val="left"/>
              <w:rPr/>
            </w:pPr>
            <w:r>
              <w:rPr/>
              <w:t>​</w:t>
            </w:r>
          </w:p>
        </w:tc>
      </w:tr>
      <w:tr>
        <w:trPr/>
        <w:tc>
          <w:tcPr>
            <w:tcW w:w="295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(106,159)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(61,661)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9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increased by $45.3 million, or 83%, to $100.1 million during the three months ended June 30, 2026, compared to $54.7 million during the three months ended June 30, 2025. The increase in research and development expenses was primarily due to increases related to clinical trial costs, preclinical research and development expenses and employee expenses (primarily due to an increase in personnel).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research and development expenses for the periods indicated (in thousands):</w:t>
      </w:r>
    </w:p>
    <w:tbl>
      <w:tblPr>
        <w:tblW w:w="6803" w:type="dxa"/>
        <w:jc w:val="left"/>
        <w:tblInd w:w="0" w:type="dxa"/>
        <w:tblLayout w:type="fixed"/>
        <w:tblCellMar>
          <w:top w:w="0" w:type="dxa"/>
          <w:left w:w="0" w:type="dxa"/>
          <w:bottom w:w="0" w:type="dxa"/>
          <w:right w:w="0" w:type="dxa"/>
        </w:tblCellMar>
      </w:tblPr>
      <w:tblGrid>
        <w:gridCol w:w="3811"/>
        <w:gridCol w:w="346"/>
        <w:gridCol w:w="211"/>
        <w:gridCol w:w="796"/>
        <w:gridCol w:w="346"/>
        <w:gridCol w:w="211"/>
        <w:gridCol w:w="691"/>
        <w:gridCol w:w="39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419985" cy="175260"/>
                      <wp:effectExtent l="0" t="0" r="0" b="0"/>
                      <wp:wrapNone/>
                      <wp:docPr id="195" name="Frame19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7"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8" name="Frame19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48285" cy="175260"/>
                      <wp:effectExtent l="0" t="0" r="0" b="0"/>
                      <wp:wrapNone/>
                      <wp:docPr id="202" name="Frame20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THREE MONTHS ENDED </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 candidate: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 ​ ​</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Aleniglipron (GSBR</w:t>
              <w:noBreakHyphen/>
              <w:t>1290)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62,871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28,282</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ACCG-2671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9,650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ACCG-3535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3,223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25,509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16,778</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100,057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54,710</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General and administrative expenses increased by $2.8 million, or 18%, to $18.6 million during the three months ended June 30, 2026, compared to $15.7 million during the three months ended June 30, 2025. The increase in general and administrative expenses was primarily due to increases in employee expenses as we expanded our infrastructure to drive and support the growth in our operations as a publicly-traded company, and increases in professional services.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and 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and other income, net, increased by $3.8 million to $12.7 million during the three months ended June 30, 2026, compared to $8.9 million during the three months ended June 30, 2025. The increase in interest and other income, net, was primarily due to an increase in interest income from higher cash, cash equivalents and short-term investment balances.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Comparison of the Six Months Ended June 30, 2026 and 2025</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consolidated results of operations for the periods indicated (in thousands):</w:t>
      </w:r>
    </w:p>
    <w:tbl>
      <w:tblPr>
        <w:tblW w:w="6833" w:type="dxa"/>
        <w:jc w:val="left"/>
        <w:tblInd w:w="0" w:type="dxa"/>
        <w:tblLayout w:type="fixed"/>
        <w:tblCellMar>
          <w:top w:w="0" w:type="dxa"/>
          <w:left w:w="0" w:type="dxa"/>
          <w:bottom w:w="0" w:type="dxa"/>
          <w:right w:w="0" w:type="dxa"/>
        </w:tblCellMar>
      </w:tblPr>
      <w:tblGrid>
        <w:gridCol w:w="3496"/>
        <w:gridCol w:w="346"/>
        <w:gridCol w:w="211"/>
        <w:gridCol w:w="916"/>
        <w:gridCol w:w="346"/>
        <w:gridCol w:w="211"/>
        <w:gridCol w:w="916"/>
        <w:gridCol w:w="39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219960" cy="175260"/>
                      <wp:effectExtent l="0" t="0" r="0" b="0"/>
                      <wp:wrapNone/>
                      <wp:docPr id="203" name="Frame202"/>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4"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81660" cy="175260"/>
                      <wp:effectExtent l="0" t="0" r="0" b="0"/>
                      <wp:wrapNone/>
                      <wp:docPr id="206" name="Frame20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7"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81660" cy="175260"/>
                      <wp:effectExtent l="0" t="0" r="0" b="0"/>
                      <wp:wrapNone/>
                      <wp:docPr id="209" name="Frame20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48285" cy="175260"/>
                      <wp:effectExtent l="0" t="0" r="0" b="0"/>
                      <wp:wrapNone/>
                      <wp:docPr id="210" name="Frame20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60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1" w:type="dxa"/>
            <w:tcBorders/>
            <w:vAlign w:val="center"/>
          </w:tcPr>
          <w:p>
            <w:pPr>
              <w:pStyle w:val="TableContents"/>
              <w:bidi w:val="0"/>
              <w:spacing w:before="0" w:after="1"/>
              <w:ind w:left="0" w:right="0" w:hanging="0"/>
              <w:jc w:val="left"/>
              <w:rPr/>
            </w:pPr>
            <w:r>
              <w:rPr/>
              <w:t>  ​ ​ ​</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 ​ ​</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166,564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97,577</w:t>
            </w:r>
          </w:p>
        </w:tc>
        <w:tc>
          <w:tcPr>
            <w:tcW w:w="39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41,445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29,185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126,762</w:t>
            </w:r>
          </w:p>
        </w:tc>
        <w:tc>
          <w:tcPr>
            <w:tcW w:w="39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(208,009)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(126,762)</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Interest and other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26,306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18,505</w:t>
            </w:r>
          </w:p>
        </w:tc>
        <w:tc>
          <w:tcPr>
            <w:tcW w:w="39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Loss before provision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(181,703)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(108,257)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Provision for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237</w:t>
            </w:r>
          </w:p>
        </w:tc>
        <w:tc>
          <w:tcPr>
            <w:tcW w:w="391" w:type="dxa"/>
            <w:tcBorders/>
            <w:vAlign w:val="center"/>
          </w:tcPr>
          <w:p>
            <w:pPr>
              <w:pStyle w:val="TableContents"/>
              <w:bidi w:val="0"/>
              <w:spacing w:before="0" w:after="1"/>
              <w:ind w:left="0" w:right="0" w:hanging="0"/>
              <w:jc w:val="left"/>
              <w:rPr/>
            </w:pPr>
            <w:r>
              <w:rPr/>
              <w:t>​</w:t>
            </w:r>
          </w:p>
        </w:tc>
      </w:tr>
      <w:tr>
        <w:trPr/>
        <w:tc>
          <w:tcPr>
            <w:tcW w:w="3496"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(182,127)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(108,494)</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Research and Development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expenses increased by $69.0 million, or 71%, to $166.6 million during the six months ended June 30, 2026, compared to $97.6 million during the six months ended June 30, 2025. The increase in research and development expenses was primarily due to increases related to clinical trial costs, preclinical research and development expenses and employee expenses (primarily due to an increase in personnel).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summarizes our research and development expenses for the periods indicated (in thousands):</w:t>
      </w:r>
    </w:p>
    <w:tbl>
      <w:tblPr>
        <w:tblW w:w="6803" w:type="dxa"/>
        <w:jc w:val="left"/>
        <w:tblInd w:w="0" w:type="dxa"/>
        <w:tblLayout w:type="fixed"/>
        <w:tblCellMar>
          <w:top w:w="0" w:type="dxa"/>
          <w:left w:w="0" w:type="dxa"/>
          <w:bottom w:w="0" w:type="dxa"/>
          <w:right w:w="0" w:type="dxa"/>
        </w:tblCellMar>
      </w:tblPr>
      <w:tblGrid>
        <w:gridCol w:w="3811"/>
        <w:gridCol w:w="346"/>
        <w:gridCol w:w="211"/>
        <w:gridCol w:w="796"/>
        <w:gridCol w:w="346"/>
        <w:gridCol w:w="211"/>
        <w:gridCol w:w="691"/>
        <w:gridCol w:w="39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19985" cy="175260"/>
                      <wp:effectExtent l="0" t="0" r="0" b="0"/>
                      <wp:wrapNone/>
                      <wp:docPr id="211" name="Frame210"/>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2"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5460" cy="175260"/>
                      <wp:effectExtent l="0" t="0" r="0" b="0"/>
                      <wp:wrapNone/>
                      <wp:docPr id="214" name="Frame2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5"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6"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38785" cy="175260"/>
                      <wp:effectExtent l="0" t="0" r="0" b="0"/>
                      <wp:wrapNone/>
                      <wp:docPr id="217" name="Frame2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48285" cy="175260"/>
                      <wp:effectExtent l="0" t="0" r="0" b="0"/>
                      <wp:wrapNone/>
                      <wp:docPr id="218" name="Frame2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6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Product candidate: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Aleniglipron (GSBR</w:t>
              <w:noBreakHyphen/>
              <w:t>1290)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101,057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53,267</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ACCG-2671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15,260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ACCG-3535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shd w:fill="CCEEFF" w:val="cle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44,874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29,050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 research and development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166,564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97,577</w:t>
            </w:r>
          </w:p>
        </w:tc>
        <w:tc>
          <w:tcPr>
            <w:tcW w:w="39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General and Administrative Expenses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General and administrative expenses increased by $12.3 million, or 42%, to $41.4 million during the six months ended June 30, 2026, compared to $29.2 million during the six months ended June 30, 2025. The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increase in general and administrative expenses was primarily due to increases in employee expenses as we expanded our infrastructure to drive and support the growth in our operations as a publicly-traded company, and increases in professional services.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Interest and Other Income, Net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Interest and other income, net, increased by $7.8 million to $26.3 million during the six months ended June 30, 2026, compared to $18.5 million during the six months ended June 30, 2025. The increase in interest and other income, net, was primarily due to an increase in interest income from higher cash, cash equivalents and short-term investment balances.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Liquidity and Capital Resources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Sources of Funds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At-the-Market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August 2025, we entered into a sales agreement (the “ATM Sales Agreement”) with Leerink Partners LLC and Cantor Fitzgerald &amp; Co. (the “ATM Sales Agents”), pursuant to which we may, from time to time, offer and sell our ADSs through the ATM Sales Agents in any manner deemed to be an “at-the-market” offering, initially up to an aggregate offering price of $250.0 million. In September 2025, we sold 3,040,000 ADSs under the ATM Sales Agreement, for gross proceeds of approximately $58.5 million. The net proceeds after deducting sales commissions to the ATM Sales Agents were approximately $57.1 million, and, after further deducting offering expenses were approximately $55.8 million. In May 2026, we amended and restated the ATM Sales Agreement (the “Amended and Restated Sales Agreement”) to remove the aggregate offering amount of ADSs we may offer and sell thereunder (the “ATM Shares”). In connection with the Amended and Restated Sales Agreement, in May 2026, we filed a prospectus supplement (the “Prospectus Supplement”) to the prospectus filed on August 6, 2025 with the SEC as part of our automatic shelf registration statement on Form S-3. We filed the Prospectus Supplement to increase the ATM Shares available to be sold pursuant to the terms of the Amended and Restated Sales Agreement by an additional $150.0 million, for an aggregate offering price of up to $400.0 million. As of the date of this Quarterly Report, approximately $341.5 million remained available for sale.</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2025 Follow-On Offering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In December 2025, we issued and sold (i) 9,961,538 ADSs, including the issuance of 1,500,000 ADSs in connection with the full exercise of the underwriters’ option, and (ii) in lieu of ADSs to certain investors, pre-funded warrants to purchase ordinary shares represented by 1,538,462 ADSs (the “Pre-Funded Warrants”) at a price of $64.9999 per Pre-Funded Warrant, which represents the per ADS public offering price less the $0.0001 per share exercise price for each such Pre-Funded Warrant. We received $701.5 million in net proceeds, after deducting the underwriting discounts and commissions and estimated offering expenses.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we had cash, cash equivalents and short-term investments of $1,342.7 million and an accumulated deficit of $652.4 million.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Funding Requirements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Since our inception, we have incurred net operating losses and negative cash flows from operations. We had net losses of $182.1 million and $108.5 million in the six months ended June 30, 2026 and 2025, respectively. As of June 30, 2026, we had an accumulated deficit of $652.4 million.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we had cash, cash equivalents and short-term investments of $1,342.7 million. We received $100.0 million in the first quarter of 2026 consisting of an upfront license fee for certain patents that cover a class of oral GLP-1 receptor agonists that is different from aleniglipron. Based on our current business plan, we believe that our existing cash, cash equivalents and short-term investments will be sufficient to fund our projected operations for at least the next 12 months from the date of the issuance of our condensed consolidated financial statements. Further, based on our current business plan, we estimate that our existing cash, cash equivalents and short-term investments will be sufficient to fund our projected operations and key clinical milestones through the end of 2028. This includes costs related to the ongoing aleniglipron ACCESS OLE, ACCESS II extension trial, the supplementary trials, and Phase 3 registrational program in chronic weight management, but excludes additional costs related to pre-commercialization activities including commercial manufacturing. We have based this estimate on assumptions that may prove to be wrong, and we may exhaust our available capital resources sooner than we expect.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have incurred and expect to continue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products, enhance our technical capabilities or otherwise offer growth opportunities, although we currently have no agreements or understandings with respect to any such acquisitions or investments. We are subject to the risks typically related to the development of new product candidates, and we may encounter unforeseen expenses, difficulties, complications, delays and other unknown factors that may adversely affect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will need substantial additional capital to develop our product candidates, including to fund Phase 3 clinical trials of aleniglipron, and fund operations for the foreseeable future. 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timing, rate of progress and costs of our preclinical development activities, laboratory testing and clinical trials for our product candidates;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scope of clinical programs we decide to pursue;</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timing and outcome of preparing for and undergoing regulatory review of our product candidates;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associated with commercializing our product candidates, if they receive marketing approval;</w:t>
            </w:r>
          </w:p>
        </w:tc>
      </w:tr>
    </w:tbl>
    <w:tbl>
      <w:tblPr>
        <w:tblW w:w="8076" w:type="dxa"/>
        <w:jc w:val="left"/>
        <w:tblInd w:w="0" w:type="dxa"/>
        <w:tblLayout w:type="fixed"/>
        <w:tblCellMar>
          <w:top w:w="28" w:type="dxa"/>
          <w:left w:w="28" w:type="dxa"/>
          <w:bottom w:w="28" w:type="dxa"/>
          <w:right w:w="28" w:type="dxa"/>
        </w:tblCellMar>
      </w:tblPr>
      <w:tblGrid>
        <w:gridCol w:w="124"/>
        <w:gridCol w:w="256"/>
        <w:gridCol w:w="7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establish and maintain collaborations on favorable terms,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efforts to enhance operational systems and our ability to attract, hire and retain qualified personnel, including personnel to support the development of our product candidates and, ultimately, the sale of our products, following FDA approval;</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implementation of operational, financial and management systems;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geopolitical and macroeconomic events, including tariffs, future bank failures, increased geopolitical tensions between the United States and China, various global conflicts and global pandemics on U.S. and global economic conditions including changes in monetary and fiscal policy, tax laws, U.S. political developments and other sources of instability that may impact our ability to access capital on acceptable terms, if at all.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unable 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 Because of the numerous risks and uncertainties associated with product development, we cannot predict the timing or amount of increased expenses or when or if we will be able to achieve or maintain profitability.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Summary Statements of 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following table sets forth the primary sources and uses of cash for the periods presented below (in thousands):</w:t>
      </w:r>
    </w:p>
    <w:tbl>
      <w:tblPr>
        <w:tblW w:w="7208" w:type="dxa"/>
        <w:jc w:val="left"/>
        <w:tblInd w:w="0" w:type="dxa"/>
        <w:tblLayout w:type="fixed"/>
        <w:tblCellMar>
          <w:top w:w="0" w:type="dxa"/>
          <w:left w:w="0" w:type="dxa"/>
          <w:bottom w:w="0" w:type="dxa"/>
          <w:right w:w="0" w:type="dxa"/>
        </w:tblCellMar>
      </w:tblPr>
      <w:tblGrid>
        <w:gridCol w:w="3871"/>
        <w:gridCol w:w="346"/>
        <w:gridCol w:w="211"/>
        <w:gridCol w:w="916"/>
        <w:gridCol w:w="346"/>
        <w:gridCol w:w="211"/>
        <w:gridCol w:w="916"/>
        <w:gridCol w:w="39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458085" cy="175260"/>
                      <wp:effectExtent l="0" t="0" r="0" b="0"/>
                      <wp:wrapNone/>
                      <wp:docPr id="219" name="Frame218"/>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0"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1"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81660" cy="175260"/>
                      <wp:effectExtent l="0" t="0" r="0" b="0"/>
                      <wp:wrapNone/>
                      <wp:docPr id="222" name="Frame2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4"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81660" cy="175260"/>
                      <wp:effectExtent l="0" t="0" r="0" b="0"/>
                      <wp:wrapNone/>
                      <wp:docPr id="225" name="Frame2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48285" cy="175260"/>
                      <wp:effectExtent l="0" t="0" r="0" b="0"/>
                      <wp:wrapNone/>
                      <wp:docPr id="226" name="Frame2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916"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39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0" w:type="dxa"/>
            <w:gridSpan w:val="5"/>
            <w:tcBorders/>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2026</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Arial;Helvetica;sans-serif" w:hAnsi="Arial;Helvetica;sans-serif"/>
                <w:b/>
                <w:sz w:val="16"/>
              </w:rPr>
            </w:pPr>
            <w:r>
              <w:rPr>
                <w:rFonts w:ascii="Arial;Helvetica;sans-serif" w:hAnsi="Arial;Helvetica;sans-serif"/>
                <w:b/>
                <w:sz w:val="16"/>
              </w:rPr>
              <w:t>2025</w:t>
            </w:r>
          </w:p>
        </w:tc>
        <w:tc>
          <w:tcPr>
            <w:tcW w:w="39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cash (used in) provided by:</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 ​ ​</w:t>
            </w:r>
          </w:p>
        </w:tc>
      </w:tr>
      <w:tr>
        <w:trPr/>
        <w:tc>
          <w:tcPr>
            <w:tcW w:w="38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Operating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(104,881)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(106,787)</w:t>
            </w:r>
          </w:p>
        </w:tc>
        <w:tc>
          <w:tcPr>
            <w:tcW w:w="39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(422,447)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82,975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343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1,326</w:t>
            </w:r>
          </w:p>
        </w:tc>
        <w:tc>
          <w:tcPr>
            <w:tcW w:w="39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Net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(526,985)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Arial;Helvetica;sans-serif" w:hAnsi="Arial;Helvetica;sans-serif"/>
                <w:sz w:val="20"/>
              </w:rPr>
            </w:pPr>
            <w:r>
              <w:rPr>
                <w:rFonts w:ascii="Arial;Helvetica;sans-serif" w:hAnsi="Arial;Helvetica;sans-serif"/>
                <w:sz w:val="20"/>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Arial;Helvetica;sans-serif" w:hAnsi="Arial;Helvetica;sans-serif"/>
                <w:sz w:val="20"/>
              </w:rPr>
            </w:pPr>
            <w:r>
              <w:rPr>
                <w:rFonts w:ascii="Arial;Helvetica;sans-serif" w:hAnsi="Arial;Helvetica;sans-serif"/>
                <w:sz w:val="20"/>
              </w:rPr>
              <w:t>(22,486)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Cash Flows Used in Operating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six months ended June 30, 2026, net cash used in operating activities was $104.9 million, consisting of a net loss of $182.1 million, partially offset by a decrease in net operating assets of $57.1 million and non-cash charges of $20.2 million. The decrease in net operating assets was primarily due to a decrease in other receivable, partially offset by an increase in other non-current assets. Non-cash charges consisted primarily of share-based compensation, partially offset by net gain from accretion of net investment discounts. The increase in net loss was primarily due to the increase in operating expenses as we invest in our research and development efforts.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six months ended June 30, 2025, net cash used in operating activities was $106.8 million, consisting of a net loss of $108.5 million and an increase in net operating assets of $3.7 million, partially offset by non-cash charges of $5.4 million. The increase in net loss was primarily due to the increase in operating expenses as we invest in our research and development efforts and operate as a publicly-traded company. Non-cash charges consisted primarily of share-based compensation and non-cash lease expense, partially offset by net gain from accretion of net investment discounts. The increase in net operating assets was primarily due to an increase in prepaid expenses and other current assets, an increase in other non-current assets and a decrease in operating lease liabilities, partially offset by an increase in accrued expenses and other current liabilities and an increase in accounts payable.</w:t>
      </w:r>
    </w:p>
    <w:p>
      <w:pPr>
        <w:pStyle w:val="TextBody"/>
        <w:bidi w:val="0"/>
        <w:spacing w:before="0" w:after="160"/>
        <w:ind w:left="0" w:right="0" w:hanging="0"/>
        <w:jc w:val="left"/>
        <w:rPr>
          <w:rFonts w:ascii="Arial;Helvetica;sans-serif" w:hAnsi="Arial;Helvetica;sans-serif"/>
          <w:i/>
          <w:sz w:val="20"/>
        </w:rPr>
      </w:pPr>
      <w:r>
        <w:rPr>
          <w:rFonts w:ascii="Arial;Helvetica;sans-serif" w:hAnsi="Arial;Helvetica;sans-serif"/>
          <w:i/>
          <w:sz w:val="20"/>
        </w:rPr>
        <w:t>Cash Flows (Used in) Provided by Investing Activities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2026, net cash used in investing activities was $422.4 million, consisting primarily of net purchases of short-term investments.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2025, net cash provided by investing activities was $83.0 million, consisting primarily of net maturities of short-term investments.</w:t>
      </w:r>
    </w:p>
    <w:p>
      <w:pPr>
        <w:pStyle w:val="TextBody"/>
        <w:bidi w:val="0"/>
        <w:spacing w:before="0" w:after="160"/>
        <w:ind w:left="0" w:right="0" w:hanging="0"/>
        <w:jc w:val="left"/>
        <w:rPr>
          <w:rFonts w:ascii="Arial;Helvetica;sans-serif" w:hAnsi="Arial;Helvetica;sans-serif"/>
          <w:i/>
          <w:sz w:val="20"/>
        </w:rPr>
      </w:pPr>
      <w:r>
        <w:rPr>
          <w:rFonts w:ascii="Arial;Helvetica;sans-serif" w:hAnsi="Arial;Helvetica;sans-serif"/>
          <w:i/>
          <w:sz w:val="20"/>
        </w:rPr>
        <w:t>Cash Flows Provided by Financing Activities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2026, net cash provided by financing activities was $0.3 million, consisting primarily of proceeds from issuance of ordinary shares under employee share plans of $3.0 million, partially offset by payment of taxes on restricted share units withheld for taxes of $2.6 million.</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During the six months ended June 30, 2025, net cash provided by financing activities was $1.3 million, consisting primarily of proceeds from issuance of ordinary shares under employee share plans of $1.5 million, partially offset by payment of taxes on restricted share units withheld for taxes of $0.2 million.</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Contractual Obligations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As of June 30, 2026, our contractual obligations consist of facilities lease payments totaling $6.9 million, with $3.0 million expected to be paid within the next 12 months. See “Operating Leases” in Note 5 to our unaudited interim condensed consolidated financial statements in Part I. Item 1 “Financial Statements” in this Quarterly Report for additional information.</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Critical Accounting Policies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Our condensed consolidated financial statements have been prepared in accordance with U.S. Generally Accepted Accounting Principles (“GAAP”). The preparation of our condensed consolidated financial statements requires us to make estimates and assumptions that affect the reported amounts of assets and liabilities, the disclosure of contingent assets and liabilities as of the date of the condensed consolidated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Our critical accounting policies and estimates are described in Part II. Item 7. “Management’s Discussion and Analysis of Financial Condition and Results of Operations - Critical Accounting Policies” in our Annual Report. There were no material changes to these accounting policies during the six months ended June 30, 2026.</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Recent Accounting Pronouncements</w:t>
      </w:r>
    </w:p>
    <w:p>
      <w:pPr>
        <w:pStyle w:val="TextBody"/>
        <w:bidi w:val="0"/>
        <w:spacing w:before="0" w:after="160"/>
        <w:ind w:left="0" w:right="0" w:hanging="0"/>
        <w:jc w:val="left"/>
        <w:rPr>
          <w:rFonts w:ascii="Arial;Helvetica;sans-serif" w:hAnsi="Arial;Helvetica;sans-serif"/>
          <w:b w:val="false"/>
          <w:sz w:val="20"/>
        </w:rPr>
      </w:pPr>
      <w:r>
        <w:rPr>
          <w:rFonts w:ascii="Arial;Helvetica;sans-serif" w:hAnsi="Arial;Helvetica;sans-serif"/>
          <w:b w:val="false"/>
          <w:sz w:val="20"/>
        </w:rPr>
        <w:t>See “Recent Accounting Pronouncements” in Note 2 to our unaudited interim condensed consolidated financial statements included in Part I. Item 1 “Financial Statements” in this Quarterly Report for additional information.</w:t>
      </w:r>
    </w:p>
    <w:p>
      <w:pPr>
        <w:pStyle w:val="TextBody"/>
        <w:bidi w:val="0"/>
        <w:spacing w:before="0" w:after="160"/>
        <w:ind w:left="0" w:right="0" w:hanging="0"/>
        <w:jc w:val="left"/>
        <w:rPr>
          <w:rFonts w:ascii="Arial;Helvetica;sans-serif" w:hAnsi="Arial;Helvetica;sans-serif"/>
          <w:b/>
          <w:sz w:val="20"/>
        </w:rPr>
      </w:pPr>
      <w:bookmarkStart w:id="900" w:name="Item3QuantitativeandQualitativeDisclosur"/>
      <w:bookmarkStart w:id="901" w:name="_4d95b942_86a5_4bda_8a0f_cd5ac7db488d"/>
      <w:bookmarkEnd w:id="900"/>
      <w:bookmarkEnd w:id="901"/>
      <w:r>
        <w:rPr>
          <w:rFonts w:ascii="Arial;Helvetica;sans-serif" w:hAnsi="Arial;Helvetica;sans-serif"/>
          <w:b/>
          <w:sz w:val="20"/>
        </w:rPr>
        <w:t>Item 3. Quantitative and Qualitative Disclosures About Market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quantitative and qualitative disclosures about market risk are described in Part II. Item 7A. “Quantitative and Qualitative Disclosures About Market Risk” in our Annual Report. There were no material changes to these quantitative and qualitative disclosures about market risk during the six months ended June 30, 2026.</w:t>
      </w:r>
    </w:p>
    <w:p>
      <w:pPr>
        <w:pStyle w:val="TextBody"/>
        <w:bidi w:val="0"/>
        <w:spacing w:before="0" w:after="240"/>
        <w:ind w:left="0" w:right="0" w:hanging="0"/>
        <w:jc w:val="left"/>
        <w:rPr>
          <w:rFonts w:ascii="Arial;Helvetica;sans-serif" w:hAnsi="Arial;Helvetica;sans-serif"/>
          <w:b/>
          <w:sz w:val="20"/>
        </w:rPr>
      </w:pPr>
      <w:bookmarkStart w:id="902" w:name="Item4ControlsandProcedures_589282"/>
      <w:bookmarkStart w:id="903" w:name="_a9f7d86c_8ecc_462a_bcfe_2cd190d47558"/>
      <w:bookmarkEnd w:id="902"/>
      <w:bookmarkEnd w:id="903"/>
      <w:r>
        <w:rPr>
          <w:rFonts w:ascii="Arial;Helvetica;sans-serif" w:hAnsi="Arial;Helvetica;sans-serif"/>
          <w:b/>
          <w:sz w:val="20"/>
        </w:rPr>
        <w:t>Item 4. Controls and Procedures.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bidi w:val="0"/>
        <w:spacing w:before="0" w:after="240"/>
        <w:ind w:left="0" w:right="0" w:hanging="0"/>
        <w:jc w:val="left"/>
        <w:rPr>
          <w:rFonts w:ascii="Arial;Helvetica;sans-serif" w:hAnsi="Arial;Helvetica;sans-serif"/>
          <w:sz w:val="20"/>
          <w:shd w:fill="FFFFFF" w:val="clear"/>
        </w:rPr>
      </w:pPr>
      <w:r>
        <w:rPr>
          <w:rFonts w:ascii="Arial;Helvetica;sans-serif" w:hAnsi="Arial;Helvetica;sans-serif"/>
          <w:sz w:val="20"/>
          <w:shd w:fill="FFFFFF" w:val="clear"/>
        </w:rPr>
        <w:t>Our management, with the participation of our Chief Executive Officer and our Chief Financial Officer, has evaluated the effectiveness of the design and operation of our disclosure controls and procedures (as defined in Rules 13a-15(e) and 15d-15(e) under the Exchange Act) as of June 30, 2026, which is the end of the period covered by this Quarterly Report.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to allow timely decisions regarding required disclosure.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shd w:fill="FFFFFF" w:val="clear"/>
        </w:rPr>
        <w:t xml:space="preserve">Based on that evaluation, our Chief Executive Officer and our Chief Financial Officer have concluded that, as of </w:t>
      </w:r>
      <w:r>
        <w:rPr>
          <w:rFonts w:ascii="Arial;Helvetica;sans-serif" w:hAnsi="Arial;Helvetica;sans-serif"/>
          <w:sz w:val="20"/>
        </w:rPr>
        <w:t>June 30, 2026</w:t>
      </w:r>
      <w:r>
        <w:rPr>
          <w:rFonts w:ascii="Arial;Helvetica;sans-serif" w:hAnsi="Arial;Helvetica;sans-serif"/>
          <w:sz w:val="20"/>
          <w:shd w:fill="FFFFFF" w:val="clear"/>
        </w:rPr>
        <w:t>, our disclosure controls and procedures were effective at the reasonable assurance level.</w:t>
      </w:r>
    </w:p>
    <w:p>
      <w:pPr>
        <w:pStyle w:val="TextBody"/>
        <w:bidi w:val="0"/>
        <w:spacing w:before="0" w:after="160"/>
        <w:ind w:left="0" w:right="0" w:hanging="0"/>
        <w:jc w:val="left"/>
        <w:rPr>
          <w:rFonts w:ascii="Arial;Helvetica;sans-serif" w:hAnsi="Arial;Helvetica;sans-serif"/>
          <w:b/>
          <w:sz w:val="20"/>
        </w:rPr>
      </w:pPr>
      <w:r>
        <w:rPr>
          <w:rFonts w:ascii="Arial;Helvetica;sans-serif" w:hAnsi="Arial;Helvetica;sans-serif"/>
          <w:b/>
          <w:sz w:val="20"/>
        </w:rPr>
        <w:t>Changes in Internal Control Over Financial Reporting</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There were no changes in our internal control over financial reporting identified in management’s evaluation pursuant to Rules 13a-15(f) or 15d-15(f) of the Exchange Act during the quarter ended June 30, 2026 that materially affected, or are reasonably likely to materially affect, our internal control over financial reporting.</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Limitations on Effectiveness of Disclosure Controls and Procedures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904" w:name="PARTIIOTHERINFORMATION_878281"/>
      <w:bookmarkStart w:id="905" w:name="_757ea135_01b2_43fd_8d3b_4608e7e1defb"/>
      <w:bookmarkEnd w:id="904"/>
      <w:bookmarkEnd w:id="905"/>
      <w:r>
        <w:rPr>
          <w:rFonts w:ascii="Arial;Helvetica;sans-serif" w:hAnsi="Arial;Helvetica;sans-serif"/>
          <w:b/>
          <w:sz w:val="20"/>
        </w:rPr>
        <w:t>PART II. OTHER INFORMATION</w:t>
      </w:r>
    </w:p>
    <w:p>
      <w:pPr>
        <w:pStyle w:val="TextBody"/>
        <w:bidi w:val="0"/>
        <w:spacing w:before="0" w:after="240"/>
        <w:ind w:left="0" w:right="0" w:hanging="0"/>
        <w:jc w:val="left"/>
        <w:rPr>
          <w:rFonts w:ascii="Arial;Helvetica;sans-serif" w:hAnsi="Arial;Helvetica;sans-serif"/>
          <w:b/>
          <w:sz w:val="20"/>
        </w:rPr>
      </w:pPr>
      <w:bookmarkStart w:id="906" w:name="Item1LegalProceedings_318368"/>
      <w:bookmarkStart w:id="907" w:name="_d1cf68da_1ad6_4c8b_bec0_633994c083e2"/>
      <w:bookmarkEnd w:id="906"/>
      <w:bookmarkEnd w:id="907"/>
      <w:r>
        <w:rPr>
          <w:rFonts w:ascii="Arial;Helvetica;sans-serif" w:hAnsi="Arial;Helvetica;sans-serif"/>
          <w:b/>
          <w:sz w:val="20"/>
        </w:rPr>
        <w:t>Item 1. Legal Proceedings.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To the best of our knowledge, we are not currently the subject of any material governmental investigation, private lawsuit or other legal proceeding. From time to time, we are and may in the future be involved in legal and regulatory proceedings or investigations concerning matters that arise in the ordinary course of our business and that could result in significant fines or penalties, have an adverse impact on our reputation, business and financial condition or results of operations and divert the attention of our management from the operation of our business.</w:t>
      </w:r>
    </w:p>
    <w:p>
      <w:pPr>
        <w:pStyle w:val="TextBody"/>
        <w:bidi w:val="0"/>
        <w:spacing w:before="0" w:after="240"/>
        <w:ind w:left="0" w:right="0" w:hanging="0"/>
        <w:jc w:val="left"/>
        <w:rPr>
          <w:rFonts w:ascii="Arial;Helvetica;sans-serif" w:hAnsi="Arial;Helvetica;sans-serif"/>
          <w:b/>
          <w:sz w:val="20"/>
        </w:rPr>
      </w:pPr>
      <w:bookmarkStart w:id="908" w:name="Item1ARiskFactors_175993"/>
      <w:bookmarkStart w:id="909" w:name="_666c604c_649c_4bb4_afe8_a8e25a8f2fb2"/>
      <w:bookmarkEnd w:id="908"/>
      <w:bookmarkEnd w:id="909"/>
      <w:r>
        <w:rPr>
          <w:rFonts w:ascii="Arial;Helvetica;sans-serif" w:hAnsi="Arial;Helvetica;sans-serif"/>
          <w:b/>
          <w:sz w:val="20"/>
        </w:rPr>
        <w:t>Item 1A. Risk Factors.</w:t>
      </w:r>
    </w:p>
    <w:p>
      <w:pPr>
        <w:pStyle w:val="TextBody"/>
        <w:bidi w:val="0"/>
        <w:spacing w:before="0" w:after="240"/>
        <w:ind w:left="0" w:right="0" w:hanging="0"/>
        <w:jc w:val="left"/>
        <w:rPr>
          <w:rFonts w:ascii="Arial;Helvetica;sans-serif" w:hAnsi="Arial;Helvetica;sans-serif"/>
          <w:i/>
          <w:sz w:val="20"/>
        </w:rPr>
      </w:pPr>
      <w:r>
        <w:rPr>
          <w:rFonts w:ascii="Arial;Helvetica;sans-serif" w:hAnsi="Arial;Helvetica;sans-serif"/>
          <w:i/>
          <w:sz w:val="20"/>
        </w:rPr>
        <w:t>Investing in our securities involves a high degree of risk. You should carefully consider the risks and uncertainties described below, together with all of the other information contained in this Quarterly Report, including our consolidated financial statements and their related notes included in Part I. Item 1 “Financial Statements” of this Quarterly Report and Part I. Item 2.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Limited Operating History, Financial Position and Capital Requirements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a limited operating history, have incurred significant operating losses since our inception and expect to incur significant losses for the foreseeable future.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Biopharmaceutical product development is a highly speculative undertaking and involves a substantial degree of risk. We are a clinical stage biopharmaceutical company with a limited operating history,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trials,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if approved, commercially. Further, aleniglipron, our product candidate for obesity, overweight and related conditions, ACCG-2671 and ACCG-3535, our oral small molecule amylin receptor agonist development candidates for the treatment of obesity, LTSE-2578, our product candidate for IPF,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Our net losses were $182.1 million and $141.2 million for the six months ended June 30, 2026 and year ended December 31, 2025, respectively. As of June 30, 2026, we had an accumulated deficit of $652.4 million. Substantially all of our losses have resulted from expenses incurred in connection with our research and development programs and from general and administrative costs associated with our operations. All of our product candidates will require substantial additional development time and resources, including additional funding to conduct Phase 3 clinical trials of aleniglipron,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(“R&amp;D”) and other expenditures to develop and market additional product candidates. Our failure to become and remain profitable could decrease the value of our ADSs and impair our ability to raise capital, maintain our research and development efforts, expand our business or continue our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aleniglipron, ACCG-2671, ACCG-3535, LTSE-2578 and any future product candidates we may develop. Our expenses will increase substantially as product candidates successfully complete clinical and other trials, and also could increase beyond expectations if the FDA or foreign authorities require us to perform clinical and other trials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have and expect to continue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Based on our current operating plan, we believe that our cash, cash equivalents and short-term investments, as of June 30, 2026, will be sufficient to fund our projected operations and key clinical milestones through the end of 2028. This includes costs related to the ongoing aleniglipron ACCESS OLE, ACCESS II extension trial, the supplementary trials, and Phase 3 registrational program in chronic weight management, but excludes additional costs related to pre-commercialization activities including commercial manufacturing.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arrangements. Even if we believe we have sufficient capital for our current or future operating plans, we may seek additional capital if market conditions are favorable or if we have specific strategic considerations.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actual or anticipated changes in interest rates, economic inflation and tariffs, changes in monetary and fiscal policy, U.S. political developments and other sources of instability, the impact of various global conflicts, the global credit and financial markets have experienced extreme volatility and disruptions, including severely diminished liquidity and credit availability, declines in consumer confidence, declines in economic growth, inflation, bank failures, trade wars, increases in unemployment rates, and uncertainty about economic stability. If the equity and credit markets deteriorate, it may make any necessary debt or equity financing more difficult to obtain in a timely manner or on favorable terms, more costly or more dilutive.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funding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progress, costs, design, results of and timing of our planned and ongoing preclinical studies and clinical trials, including Phase 3 clinical trials of aleniglipron;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the FDA or applicable foreign authorities to accept our clinical trials, as well as data from our planned and ongoing preclinical studies and clinical trials and other work, as the basis for review and approval of our product candidates;</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outcome, costs and timing of seeking and obtaining FDA and applicable foreign regulatory approvals;</w:t>
            </w:r>
          </w:p>
        </w:tc>
      </w:tr>
    </w:tbl>
    <w:tbl>
      <w:tblPr>
        <w:tblW w:w="6546" w:type="dxa"/>
        <w:jc w:val="left"/>
        <w:tblInd w:w="0" w:type="dxa"/>
        <w:tblLayout w:type="fixed"/>
        <w:tblCellMar>
          <w:top w:w="28" w:type="dxa"/>
          <w:left w:w="28" w:type="dxa"/>
          <w:bottom w:w="28" w:type="dxa"/>
          <w:right w:w="28" w:type="dxa"/>
        </w:tblCellMar>
      </w:tblPr>
      <w:tblGrid>
        <w:gridCol w:w="124"/>
        <w:gridCol w:w="25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characteristics of product candidates that we pursue;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to expand our research and development capabilities, including further development of our structure-based drug discovery platform or in-licensing of complementary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associated with manufacturing our product candidates, and establishing commercial supplies and sales, marketing, and distribution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tc>
      </w:tr>
    </w:tbl>
    <w:tbl>
      <w:tblPr>
        <w:tblW w:w="10071" w:type="dxa"/>
        <w:jc w:val="left"/>
        <w:tblInd w:w="0" w:type="dxa"/>
        <w:tblLayout w:type="fixed"/>
        <w:tblCellMar>
          <w:top w:w="28" w:type="dxa"/>
          <w:left w:w="28" w:type="dxa"/>
          <w:bottom w:w="28" w:type="dxa"/>
          <w:right w:w="28" w:type="dxa"/>
        </w:tblCellMar>
      </w:tblPr>
      <w:tblGrid>
        <w:gridCol w:w="124"/>
        <w:gridCol w:w="256"/>
        <w:gridCol w:w="9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and ability to retain key management and hire scientific, technical, business, and medical personnel;</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to implement additional internal systems and infrastructure, including financial and reporting systems;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associated with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economic and other terms, timing of and success of our current and any future collaboration, licensing or other arrangements which we may enter in the future; and</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receipt, and amount of sales from our potential products, if approved.</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Raising additional capital may cause dilution to our shareholders, restrict our operations or require us to relinquish rights to our technologies or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Until such time, if ever, as we can generate substantial product revenue, we expect to finance our operations through equity offerings, debt financings or other capital sources, including potentially grants, collaborations, licenses or other similar arrangements. For example, (i) in October 2023, we issued and sold an aggregate of 21,617,295 ordinary shares and 2,401,920 newly designated non-voting ordinary shares; (ii) in June 2024, we issued and sold an aggregate of 10,427,017 ADSs; (iii) in August 2025, we entered into a sales agreement (the “ATM Sales Agreement”) with Leerink Partners LLC and Cantor Fitzgerald &amp; Co., pursuant to which we may offer and sell our ADSs in at-the-market offerings, initially up to an aggregate offering price of $250.0 million, and in September 2025, we sold 3,040,000 ADSs under the ATM Sales Agreement; and in May 2026, we amended and restated the ATM Sales Agreement (the "Amended and Restated Sales Agreement") to remove the aggregate offering cap and filed a prospectus supplement registering an additional $150.0 million in ADSs available to be sold thereunder, for an aggregate offering price of up to $400.0 million (as of the date of this Quarterly Report, approximately $341.5 million remained available for sale); and (iv) in December 2025, we issued and sold an aggregate of 9,961,538 ADSs and, in lieu of ADSs, pre-funded warrants to purchase ordinary shares represented by 1,538,462 ADSs. To the extent that we raise additional capital through the sale of equity or convertible debt securities, the ownership interest of our shareholders will be diluted, and the terms of these securities may include liquidation or other preferences that adversely affect the rights of our ADS holders. Debt financing, if available, may involve agreements that include covenants limiting or restricting our ability to take specific actions, such as limitations on our ability to incur additional debt, make capital 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the Discovery, Development and Regulatory Approval of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approach to the discovery of product candidates based on our technology platform is unproven, and we do not know whether we will be able to develop any products of commercial value.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success of our business depends primarily upon our ability to identify novel product candidates based on our structure-based drug discovery platform and to successfully develop and commercialize those product candidates. While we have had favorable preclinical study and topline clinical trial results for certain of our development programs, we have not yet succeeded and may not succeed in demonstrating efficacy and safety for any product candidates in clinical trials or in obtaining marketing approvals or in commercializing such product candidates. We also may be unsuccessful in identifying additional product candidates using our 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any of these events occur, our ability to successfully discover, develop and commercialize any product candidates may be impaired and the value of our company could decline significantly.</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early in our development efforts and only have four product candidates in early clinical development — aleniglipron, ACCG-2671, ACCG-3535 and LTSE-2578.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in the early stages of our development efforts and have four product candidates, aleniglipron, ACCG-2671, ACCG-3535 and LTSE-2578, in early clinical development.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other product candidates are still in the preclinical or discovery stages. We will need to progress our product candidates through ongoing and planned clinical trials and progress our other current and future development programs through preclinical studies and submit INDs to the FDA or appropriate regulatory documents to applicable foreign authorities prior to initiating their clinical development. 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completion of preclinical studies with favorable results;</w:t>
            </w:r>
          </w:p>
        </w:tc>
      </w:tr>
    </w:tbl>
    <w:tbl>
      <w:tblPr>
        <w:tblW w:w="5571" w:type="dxa"/>
        <w:jc w:val="left"/>
        <w:tblInd w:w="0" w:type="dxa"/>
        <w:tblLayout w:type="fixed"/>
        <w:tblCellMar>
          <w:top w:w="28" w:type="dxa"/>
          <w:left w:w="28" w:type="dxa"/>
          <w:bottom w:w="28" w:type="dxa"/>
          <w:right w:w="28" w:type="dxa"/>
        </w:tblCellMar>
      </w:tblPr>
      <w:tblGrid>
        <w:gridCol w:w="124"/>
        <w:gridCol w:w="256"/>
        <w:gridCol w:w="5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 enrollment in, and completion of, clinical trials;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sufficiency of our financial and other resources to complete the necessary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allowance to proceed with clinical trials under INDs by the FDA or under similar regulatory submissions by applicable foreign authorities for the conduct of clinical trials of our product candidates and our proposed design of future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demonstrating the safety and efficacy of our product candidates to the satisfaction of applicable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receipt of regulatory approvals from applicable regulatory authorities, including NDAs from the FDA and maintaining such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arrangements with third-party manufacturers, or establishing clinical and commercial manufacturing capabilities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sales, marketing and distribution capabilities and launching commercial sales of our products, if and when approved, whether alone or in collaboration with others;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and maintaining patent and trade secret protection or regulatory exclusivity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acceptance of any products we develop and their benefits and uses, if and when approved, by patients, the medical community and third-party payors;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effectively competing with other therapies;</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healthcare coverage and adequate reimbursement from third-party payors;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maintaining an acceptable safety profile of our products following approval; and</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building and maintaining an organization of people who can successfully develop our product candidates.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not yet succeeded and may not succeed in demonstrating efficacy and safety for any product candidates in clinical trials or in obtaining marketing approval thereafter. Given our early stage of development, it will take several years before we can demonstrate the safety and efficacy of a product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For example, we depend on the availability of non-human primates (“NHPs”) to conduct certain preclinical studies that we are required to complete prior to submitting an IND and initiating clinical development. There is currently a global shortage of NHPs available for drug development.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trials or preclinical studies of a product candidate may not predict the results of later clinical trials of the product candidate, and interim results of a clinical trial are not necessarily indicative of final results. For example, the preliminary topline nature of aleniglipron results, the length of the trial and sample size may render these results not necessarily indicative of the results for our future clinical trials for aleniglipron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trial and had similar baseline characteristics (implicit imputation). Product candidates in later stages of clinical trials may fail to show the desired safety and efficacy characteristics despite having progressed through preclinical studies and initial clinical trials. In particular, while we have conducted, or are conducting certain preclinical studies of our product candidates, the predictive value of these trials with respect to future testing in humans is limited, particularly in indications where animal models are less developed.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our clinical trials are completed, the results may not be sufficient to obtain marketing approval for our product candidates. In clinical trials that are based on preclinical studies and early clinical trials,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trials. In addition, in some cases, external experts or regulatory authorities disagreed with such companies’ views and interpretations of the data and results from earlier preclinical studies or clinical trials. As we investigate aleniglipron for obesity, overweight and related conditions, ACCG-2671 and ACCG-3535 for obesity and overweight, LTSE-2578, our product candidate for IPF, we may encounter new and unforeseen difficulties. Similarly, any future product candidates we may develop may not be able to progress from preclinical to Phase 1 clinical development. For the foregoing reasons, we cannot be certain that our ongoing and planned clinical trials and preclinical studies will be successful. Any of the foregoing occurrences may harm our business, financial condition and prospects significantly.</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Any difficulties or delays in the commencement or completion, or termination or suspension, of our ongoing and planned clinical trials could result in increased costs to us, delay or limit our ability to generate revenue and adversely affect our commercial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order to obtain FDA approval to market our product candidates, we must demonstrate the safety and efficacy of our product candidates in humans to the satisfaction of the FDA. To meet these requirements, we will have to conduct adequate and well-controlled clinical trials. In addition, before we can initiate clinical trials for any product candidate,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and we are also required to submit comparable applications to foreign regulatory authorities for clinical trials outside of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testing is expensive, time-consuming and subject to uncertainty. Conducting preclinical studies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Clinical trials may not be conducted as planned or completed on schedule, if at all.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Events that may prevent successful or timely completion of clinical development include:</w:t>
      </w:r>
    </w:p>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reaching a consensus with applicable regulatory authorities on trial design or implementation;</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obtaining regulatory authorization to commence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reaching agreement on acceptable terms with prospective contract research organizations (“CROs”), other vendors, or clinical trial sites, the terms of which can be subject to extensive negotiation and may vary significantly among different vendors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obtaining approval from one or more institutional review boards (“IRB”) refusing to approve, suspending or terminating the trial at an investigational site, precluding enrollment of additional participants, or withdrawing their approval of the trial;</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recruiting suitable patients to participate in our ongoing and planned clinical trials;</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to the clinical trial protocol;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sites deviating from trial protocol such as the data collection omission we experienced at a clinical site as discussed above or dropping out of a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manufacturing sufficient quantities of our product candidates for use in clinical trials, or delays in sufficiently developing, characterizing or controlling a manufacturing process suitable for clinical trials;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having patients complete participation in a trial or return for post-treatment follow-up;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participants choosing an alternative treatment for the indication for which we are developing our product candidates, or participating in competing clinical trials;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adequate funding to continue a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occurrence of adverse events (“AEs”) or serious adverse events (“SAEs”) associated with the product candidate that are viewed to outweigh its potential benefits;</w:t>
            </w:r>
          </w:p>
        </w:tc>
      </w:tr>
    </w:tbl>
    <w:tbl>
      <w:tblPr>
        <w:tblW w:w="8916" w:type="dxa"/>
        <w:jc w:val="left"/>
        <w:tblInd w:w="0" w:type="dxa"/>
        <w:tblLayout w:type="fixed"/>
        <w:tblCellMar>
          <w:top w:w="28" w:type="dxa"/>
          <w:left w:w="28" w:type="dxa"/>
          <w:bottom w:w="28" w:type="dxa"/>
          <w:right w:w="28" w:type="dxa"/>
        </w:tblCellMar>
      </w:tblPr>
      <w:tblGrid>
        <w:gridCol w:w="124"/>
        <w:gridCol w:w="256"/>
        <w:gridCol w:w="8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occurrence of SAEs in clinical trials of the same class of agents conducted by other companies;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imposition of a temporary or permanent clinical hold by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selection of clinical trial end points that require prolonged periods of clinical observation or analysis of the resulting data;</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trials producing negative or inconclusive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facility manufacturing our product candidates or any of their components being ordered by the FDA or applicable foreign authorities to temporarily or permanently shut down due to violations of current good manufacturing practice (“cGMP”) regulations or other applicable requirements, or contamination or cross-contaminations of product candidates in the manufacturing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regulatory requirements, guidance, or feedback from regulatory agencies that require amending or submitting new clinical protocols or otherwise modifying the design of our clinical trials.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could also encounter delays if a clinical trial is suspended or terminated by us, by the IRBs of the institutions in which such trials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 impede patient movement or interrupt healthcare services. Similarly, our ability to recruit and retain patients and principal investigators and site staff may be reduced,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public health concerns. We have faced and may continue to face delays in meeting our anticipated timelines for our ongoing and planned clinical trials. We experienced delays in our patient enrollment and our supply chain as a direct result of COVID-19 on our suppliers’ ability to timely manufacture and ship certain supplies such as reagents and other lab consumables and due to the data collection omission at a clinical site as discussed above. These delays have previously impacted and could in the future adversely affect our business, financial condition, results of operations and growth prospects.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trials to tablet formulations, including the addition of excipients, in later stage clinical trials. While these formulation transitions are common for small molecule drug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candidates, we cannot guarantee that we will not encounter delays or unexpected results in bridging trials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planned clinical trials and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development and approval of our product candidates. Even once enrolled we may be unable to retain a sufficient number of patients to complete any of our trials.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timely completion of clinical trials in accordance with their protocols depends, among other things, on our ability to enroll a sufficient number of patients who remain in the trial until its conclusion. We may experience difficulties in patient enrollment or retention in our clinical trials for a variety of reasons. Patient enrollment and retention in clinical trials depends on many factors, including:</w:t>
      </w:r>
    </w:p>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size and nature of the patient population;</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severity of the disease under investigation;</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design of the trial protocol;</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existing body of safety and efficacy data for the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nature of competing treatments and ongoing clinical trials of competing therapies for the same indication;</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proximity of patients to clinical sites;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eligibility criteria for the trial;</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recruit clinical trial investigators with the appropriate competencies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adequately monitor patients during a trial, clinicians’ and patients’ perceptions as to the potential advantages of the product candidate being studied;</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risk that patients will drop out of a trial before completing all site visits; and</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clinicians’ and patients’ perceptions as to the potential advantages of the drug being studied in relation to other available therapies.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our efforts to build relationships with patient communities may not succeed, which could result in delays in patient enrollment in our clinical trials. If we encounter any delays in enrolling such additional participants, this may further delay our clinical trial. In addition,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the integrity of data from our clinical trials may be compromised or not accepted by the FDA or applicable foreign authorities, which would represent a significant setback for the applicable program. In addition, we may rely on CROs and clinical trial sites to ensure proper and timely conduct of our current and future clinical trials and, while we have entered and intend to enter into agreements governing their services, we will be limited in our ability to compel their actual performance. Such delays or failures could adversely affect our business, operating results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3 trials or, in some cases, after they are made available to patients on a commercial scale after approval. If additional clinical experience indicates that any of our current product candidates and any future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Moreover, if any of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limit the commercial value for the product candidate if approved. We may also be required to modify our trial plans based on findings in our ongoing clinical trials. In our completed Phase 1 SAD and Phase 1b MAD trial of aleniglipron, the following adverse events occurred and were considered probably or possibly related to the trial drug: nausea, headache, vomiting, dehydration, decreased appetite, dizziness, and diarrhea. In our completed Phase 2a trial of aleniglipron, the following adverse events occurred and were considered probably or possibly related to the trial drug: nausea, headache, vomiting, decreased appetite, dyspepsia, and diarrhea. In our aleniglipron ACCESS II trial, the following adverse events occurred and were considered probably or possibly related to the trial drug: nausea, vomiting, diarrhea, headache, constipation and abdominal distention. However, further analysis may reveal AEs inconsistent with the safety results observed. Many compounds that initially showed promise in early-stage testing have later been found to cause side effects that prevented further development of the compound.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regulatory authorities may draw different conclusions or require additional testing to confirm these determinations. In addition, if any of our product candidates receive marketing approval, the FDA could require us to include a black box warning in our label or adopt a risk evaluation and mitigation strategy (“REMS”), to ensure that the 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trials. While we have not yet conducted carcinogenicity trials for aleniglipron, because it also targets GLP-1R, it is possible that absent compelling data to the contrary, the FDA and applicable foreign authorities will similarly require a black box warning for aleniglipron if it is approved for marketing. Furthermore, if we or others later identify undesirable side effects caused by our product candidates, several other potentially significant negative consequences could result, including: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authorities may suspend or withdraw approvals of such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required to change the way a product candidate is administered or conduct additional clinical trials;</w:t>
            </w:r>
          </w:p>
        </w:tc>
      </w:tr>
    </w:tbl>
    <w:tbl>
      <w:tblPr>
        <w:tblW w:w="5856" w:type="dxa"/>
        <w:jc w:val="left"/>
        <w:tblInd w:w="0" w:type="dxa"/>
        <w:tblLayout w:type="fixed"/>
        <w:tblCellMar>
          <w:top w:w="28" w:type="dxa"/>
          <w:left w:w="28" w:type="dxa"/>
          <w:bottom w:w="28" w:type="dxa"/>
          <w:right w:w="28" w:type="dxa"/>
        </w:tblCellMar>
      </w:tblPr>
      <w:tblGrid>
        <w:gridCol w:w="124"/>
        <w:gridCol w:w="256"/>
        <w:gridCol w:w="5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could be sued and held liable for harm caused to patients;</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could be subject to fines, injunctions, or the imposition of criminal or civil penalties;</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need to conduct a recall;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forced to suspend marketing of that product, or decide to remove the product from the marketplace;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product may become less competitive, and our reputation may suffer.</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Any of these events could prevent us from achieving or maintaining market acceptance of our product candidates and could significantly harm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As an organization, we have never conducted later-stage clinical trials or submitted an NDA and may be unable to do so for any of our product candidates.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early in our development efforts for our product candidates, and we will need to successfully complete pivotal clinical trials in order to seek FDA or applicable foreign authority approval to market aleniglipron, ACCG-2671, ACCG-3535, LTSE-2578 and any future product candidates we may develop. Carrying out clinical trials and the submission of NDAs is complicated. We have not conducted any later stage or pivotal clinical trials, have limited experience as a company in preparing, submitting and prosecuting regulatory filings and have not previously submitted an NDA or other applicable foreign regulatory submission for any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product candidate. We also plan to conduct a number of clinical trials for multiple product candidates in parallel over the next several years. This may be a difficult process to manage with our limited resources and may divert the attention of management. In addition, we are currently planning for later stage interactions with FDA, and other foreign regulatory agencies; however, we cannot guarantee timely feedback or alignment on our clinical trial designs, Phase 3 dose rationale and overall size of the data base needed for any future marketing applications.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time required to reach approval by the FDA and applicable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Prior to obtaining approval to commercialize a product candidate in the United States or abroad, we or our collaborators must demonstrate with substantial evidence from well-controlled clinical trials, and to the satisfaction of the FDA or applicable foreign authorities, that such product candidates are safe and effective for their intended uses. The number of nonclinical trials and clinical trials that will be required for FDA approval varies depending on the product candidate, the disease or condition that the product candidate is designed to address, and the regulations applicable to any particular product candidate. Results from nonclinical trials and clinical trials can be interpreted in different ways. Even if we believe the nonclinical or clinical data for our product candidates are promising, such data may not be sufficient to support approval by the FDA and other regulatory authorities. The FDA and applicable foreign authorities may also require us to conduct additional preclinical studies or clinical trials for our product candidates either prior to or post-approval, or could object to elements of our clinical development program.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FDA or applicable foreign authorities can delay, limit or deny approval of our product candidates or require us to conduct additional nonclinical or clinical testing or abandon a program for various reasons, including the following:</w:t>
      </w:r>
    </w:p>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disagree with the design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demonstrate to the satisfaction of the FDA or applicable foreign authorities that a product candidate is safe and effective for its proposed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clinical trials may not meet the level of statistical significance required by the FDA or applicable foreign authorities for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serious and unexpected drug-related side effects experienced by participants in our clinical trials or by individuals using drugs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demonstrate that a product candidate’s clinical and other benefits outweigh its safety risks;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data collected from clinical trials of our product candidates may not be acceptable or sufficient to support the submission of an NDA or other submission or to obtain marketing approval in the United States or elsewhere, and we may be required to conduct additional clinical trials;</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FDA’s or the applicable foreign authority’s requirement for additional nonclinical trials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the applicable foreign authority may disagree regarding the formulation, labeling and/or the specifications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fail to approve the manufacturing processes or facilities of third-party manufacturers with which we contract for clinical and commercial supplies;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approval policies or regulations of the FDA or applicable foreign authorities may significantly change in a manner rendering our clinical data insufficient for approval.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expend our limited resources to pursue a particular product candidate and fail to capitalize on product candidates or indications that may be more profitable or for which there is a greater likelihood of success.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In addition, in recent years, a number of companies have entered the drug discovery industry utilizing different artificial intelligence (“AI”) approaches. The success of other such AI approaches to drug discovery could create more competition for us. We believe that we must continue to invest a significant amount of time and resources in our platform technologies to maintain and improve our competitive position.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not be able to obtain or maintain orphan drug designations or exclusivity for our product candidates, which could limit the potential profitability of our product candidates.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seven-year period of marketing exclusivity that precludes the applicable regulatory authority from approving another marketing application for the same chemical entity for the same indication for the 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conducted, or plan to conduct, our initial clinical trials for aleniglipron, ACCG-2671, ACCG-3535, LTSE-2578 and our other product candidates outside of the United States. However, the FDA and other foreign equivalents may not accept data from such trials, in which case our development plans will be delayed, which could materially harm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conducted our initial clinical trials for aleniglipron in Australia, and may conduct our Phase 1 trials for other drug candidates in Australia, China or other foreign countries. The acceptance of trial data from clinical trials conducted outside the United States or another jurisdiction by the FDA or applicable foreign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 If the FDA or any applicable foreign authority does not accept such data, it would result in the need for additional trials, which could be costly and time-consuming, and which may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result in current or future product candidates that we may develop not receiving approval for commercialization in the applicable jurisdiction.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clinical data generated in Australia and China or other foreign countries will be accepted by the FDA and its foreign equivalents; however, there can be no assurance the FDA or applicable foreign authorities will accept data from any other clinical trials that we may conduct in Australia, China or other foreign countries. If the FDA or applicable foreign authorities do not accept any such data, we would likely be required to conduct additional Phase 1 clinical trials, which would be costly and time consuming, and delay aspects of our development plan, which could harm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Conducting clinical trials outside the United States exposes us to additional risks, including risks associated with:</w:t>
      </w:r>
    </w:p>
    <w:tbl>
      <w:tblPr>
        <w:tblW w:w="4161" w:type="dxa"/>
        <w:jc w:val="left"/>
        <w:tblInd w:w="0" w:type="dxa"/>
        <w:tblLayout w:type="fixed"/>
        <w:tblCellMar>
          <w:top w:w="28" w:type="dxa"/>
          <w:left w:w="28" w:type="dxa"/>
          <w:bottom w:w="28" w:type="dxa"/>
          <w:right w:w="28" w:type="dxa"/>
        </w:tblCellMar>
      </w:tblPr>
      <w:tblGrid>
        <w:gridCol w:w="124"/>
        <w:gridCol w:w="25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foreign regulatory requirements;</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exchange fluctuations;</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foreign manufacturing, customs, shipment and storage requirements;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cultural differences in medical practice and clinical research; and</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diminished protection of intellectual property in some countries.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From time to time, we may publicly disclose interim,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 For example, topline results and the length of the study and sample size may render the results of our prior aleniglipron trials not necessarily indicative of the results for our future clinical trials for aleniglipron and may not be comparable to other weight loss products or product candidates, including other oral selective GLP-1RAs. In addition, given the size of the Phase 2a obesity cohort, the primary efficacy endpoint of weight loss was calculated using LSM and analyzed based on the primary efficacy estimand using a mixed model for repeated measures. This means that we drew on all available data, including data from patients that did not follow-up at 12 weeks. The model estimates how patients with missing data would have responded based on patients who continued the trial and had similar baseline characteristics (implicit imputation). Due to the preliminary nature of these results and the length of the trial and sample size, these results are not necessarily indicative of the final results for our clinical trials for aleniglipron. If the final data is materially different from the preliminary topline data reported, this could significantly harm our business prospects.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Obtaining and maintaining marketing approval of our product candidates in one jurisdiction does not mean that we will be successful in obtaining marketing approval of our product candidates in other jurisdictions.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International trade policies, including tariffs, sanctions and trade barriers may adversely affect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including related legal challenges.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do not own or operate, and currently have no plans to establish, any manufacturing facilities. We currently rely, and expect to continue to rely, on third parties for the manufacture of our product candidates for clinical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testing, as well as for manufacture of any products that we may commercialize, if approved. Currently, the active pharmaceutical ingredients (“APIs”) and drug product are manufactured in China.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Current or future tariffs will result in increased research and development expenses, including with respect to increased costs associated with APIs and drug product.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Trade disputes, tariffs, restrictions and resulting legal challenges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and resulting legal challenges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trade developments have and may continue to heighten the risks related to the other risk factors described elsewhere in this Quarterly Report.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Disruptions to the operations of the FDA, the SEC, other U.S. governmental agencies or comparable foreign regulatory authorities caused by funding shortages, leadership changes, staffing cuts or other staffing shortages, along with uncertainty regarding the potential for new initiatives, laws, regulations, policies and guidance affecting our product candidates or other aspects of our business, could materially and adversely affect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ability of the FDA or other comparable foreign regulatory authorities to review and approve new products or take action with respect to other regulatory matters can be affected by a variety of factors, including government budget and funding levels, leadership changes, the ability to hire and retain key personnel and accept payment of user fees, the availability of personnel and other resources, changes in statutes, regulations and policies that affect the FDA’s or comparable foreign regulatory authorities’ ability to perform routine functions, and other business disruptions. Average review times at the FDA and comparable foreign regulatory authorities have fluctuated in recent years as a result. In addition, government funding of the SEC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and other government agencies on which our operations may rely, including those that fund research and development activities, is subject to the political process, which is inherently fluid and unpredictable.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Over the last several years, the U.S. government has shut down several times and certain regulatory agencies, such as the FDA and the SEC, have had to furlough critical FDA, SEC and other government employees and stop critical activities. In addition, there have been terminations of large numbers of federal employees at various federal agencies, including the FDA. Changes and cuts in FDA staffing could result in delays in the FDA’s responsiveness or in its ability to review IND submissions or applications, issue regulations or guidance, or implement or enforce regulatory requirements in a timely fashion, or at all. A prolonged government shutdown and/or employee terminations or resignations could significantly impact the ability of the FDA or other federal agencies to timely review and process our regulatory submissions, which could have a material adverse effect on our business. Further, future government shutdowns and/or employee terminations or resignations at the SEC could impact our ability to access the public markets and obtain necessary capital in order to properly capitalize and continue our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is uncertainty as to whether we will be materially and negatively impacted by governmental orders, regulations, policies or guidance, or disruptions to the normal operations of government agencies.</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Reliance on Third Parties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APIs and drug product for our product candidates are currently provided by a supplier, WuXi STA, a subsidiary of WuXi AppTec, and we expect to rely on this supplier for the foreseeable future. Contract manufacturing organizations may become subject to legislation, trade restrictions, sanctions, and other regulatory requirements by the U.S. government, which could restrict or even prohibit our ability to work with such entities, thereby potentially disrupting the supply of material to us. For example, on December 18, 2025, the National Defense Authorization Act for Fiscal Year 2026 (the “NDAA”) was signed into law, which includes the BIOSECURE Act that prohibits the U.S. government from procuring biotechnology equipment or services from “biotechnology companies of concern,” and would prohibit U.S. government contracts, loans and grants to any entity that uses biotechnology equipment or services from a designated “biotechnology company of concern.” The Office of Management and Budget will issue a list of “biotechnology companies of concern” no later than mid-December 2026. “Biotechnology company of concern” is defined under the BIOSECURE Act to include (i) certain companies identified on the U.S. Department of Defense’s “Chinese military companies operating in the United States” list (the “1260H List”), (ii) companies that the Office of Management and Budget designates as a “biotechnology company of concern” based on certain criteria including whether the entity is subject to the administrative governance structure, direction, control, or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operates on behalf of a foreign adversary, is involved in the manufacture, distribution, provision, or procurement of a biotechnology equipment or service, and poses a risk to U.S. national security based on engagement with, being supported by, or being affiliated with a foreign adversary’s military, internal security forces, or intelligence agencies and its multiomic data (genomic information) collection and provision practices, and (iii) certain subsidiaries or parent or successor entities of the foregoing. On June 8, 2026, an update to the 1260H List was issued and Wuxi AppTec was added to such list.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There is a “safe harbor” provision in the BIOSECURE Act providing that the restrictions do not apply to equipment or services that were formerly but are no longer provided by a “biotechnology company of concern,” as well as a “grandfathering” provision providing that the prohibitions shall not apply for a five-year period to biotechnology equipment or services produced or provided under a contract or agreement entered into before the applicable effective date. With the BIOSECURE Act, we may be restricted in our ability to work with certain Chinese biotechnology manufacturing companies to the extent we would contract with, or otherwise receive funding from, the U.S. government. In addition, if we, our suppliers, or our customers were to be designated as a “biotechnology company of concern,” this could potentially cause harm to our business and financial condition. In addition, any U.S. executive action, legislative action or potential sanctions with China could materially impact entities that work with Chinese biotechnology companies.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 We have contracted with, or are in the process of pursuing contracts with, alternative suppliers or manufacturers outside of China for our APIs and drug product for our product candidates. While we believe that our current manufacturing plan will provide us with alternative sources for such supplies, there is a risk that, if supplies are interrupted, or the quality of ingredients provided by such alternative sources is not to our specification, it would cause delays in our supply chain and increase the cost of manufacturing our drugs, which could materially harm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future global pandemics, we may be forced to manufacture the materials ourselves, for which we currently do not have the capabilities or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or a third party’s failure to execute on our manufacturing requirements on commercially reasonable terms and timelines, if at all, and comply with cGMP requirements could adversely affect our business in a number of ways, including:</w:t>
      </w:r>
    </w:p>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meet our drug specifications and quality requirements consistently;</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 or inability to procure or expand sufficient manufacturing capacity;</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issues related to scale-up of manufacturing;</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and validation of new equipment and facilities required for scale-up;</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comply with cGMP or similar foreign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negotiate manufacturing agreements with third parties under commercially reasonable terms, if at all;</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reliance on single source manufacturers for drug substances and drug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qualified backup suppliers for those components that are currently purchased from a sole or single source supplier;</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misappropriation of proprietary information, including our trade secrets and know-how;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mislabeling of clinical supplies, potentially resulting in the wrong dose amounts being supplied or trial drug or placebo not being properly identified;</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supplies not being delivered to clinical sites on time, leading to clinical trial interruptions;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operations of our third-party manufacturers or suppliers could be disrupted by conditions unrelated to our business or operations, including the bankruptcy of the manufacturer or supplier; and</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carrier disruptions or increased costs that are beyond our control.</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rely on third parties to conduct, supervise and monitor our discovery research, preclinical studies and clinical trials. We have experienced delays due to actions of third parties in the past and if in the future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do not currently have the ability to independently conduct certain discovery research, preclinical studies and clinical trials for our product candidates.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trials. We expect to control only certain aspects of our CROs’ activities. Nevertheless, we will be responsible for ensuring that each of our preclinical studies or clinical trials are conducted in accordance with the applicable protocol, legal, regulatory and scientific standards and our reliance on the CROs does not relieve us of our regulatory responsibilities.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and our CROs will be required to comply with the good laboratory practices,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good laboratory practices-compliant preclinical studies and GCP-compliant clinical trials, we remain responsible for ensuring that each of our good laboratory practices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applicable foreign authorities may require us to perform additional clinical trials before approving our marketing applications. For example, in September 2023, we announced that topline data from the obesity cohort of our Phase 2a trial of aleniglipron would be delayed because of a data collection omission by a clinical site, where weight was not collected at the final (week 12) visit for 24 of the 40 enrolled participants. Accordingly, if our CROs fail to comply with these regulations or fail to recruit a sufficient number of participants or ensure the collection of requisite data by clinical sites, we may be required to enroll additional participants or repeat clinical trials, which would delay the marketing approval process.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Research and development collaborations are subject to numerous risks, which may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have significant discretion in determining the efforts and resources that they will apply to a collaboration, and may not commit sufficient efforts and resources, or may misapply those efforts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delay, provide insufficient resources to, or modify or stop clinical trials for our structure-based drug discovery platform or collaboration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could develop or acquire products outside of the collaboration that compete directly or indirectly with our products or product candidates;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collaborations may be terminated and, if terminated, may result in a need for additional capital and personnel to pursue further development or commercialization of our structure-based drug discovery platform or the applicable product candidates;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own or co-own intellectual property covering our products that results from our collaborating with them, and in such cases, we may not have the exclusive right to commercialize such intellectual property.</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In addition, we may face regulatory obstacles in completing such transactions.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intellectual property rights we have, we may have to abandon development of such program and our business and financial condition could suffer.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existing discovery collaborations with Schrödinger, LLC (together with its affiliates, “Schrödinger”) are important to our business. If we are unable to maintain these collaborations, or if these collaborations are not successful, our business could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October 2020, Lhotse Bio, Inc. (“Lhotse”), our wholly-owned subsidiary, entered into a collaboration agreement (the “Lhotse-Schrödinger Agreement”) with Schrödinger LLC. In November 2023, Aconcagua Bio, Inc. (“Aconcagua”), our wholly-owned subsidiary, entered into a collaboration agreement (the “Aconcagua-Schrödinger Agreement”) with Schrödinger. Under both agreements,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both agreements. See “Collaboration Agreements” in Note 9 to our unaudited interim condensed consolidated financial statements in Part I. Item 1 “Financial Statements” in this Quarterly Report for additional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we currently rely on Schrödinger for a substantial portion of our discovery capabilities, if Schrödinger delays or fails to perform its obligations under the Lhotse-Schrödinger Agreement or Aconcagua-Schrödinger Agreement, disagrees with our interpretation of the terms of the collaborations or our discovery plan or terminates the Lhotse-Schrödinger Agreement or Aconcagua-Schrödinger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time-consuming and expensive. Additionally, either party has the right to terminate the collaboration pursuant to the terms of the Lhotse-Schrödinger Agreement or Aconcagua-Schrödinger Agreement, as applicable. If either of our collaborations with Schrödinger is terminated, especially during our discovery phase, the development of our product candidates would be materially delayed or harmed.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Confidentiality agreements with employees and third parties may not prevent unauthorized disclosure of trade secrets and other proprietary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adoption and deployment of AI in our, and any third-party collaborators’ operations, and in particular our and any third-party collaborators’ R&amp;D efforts to explore new targets and develop effective products, may not be effective and may expose us to risk.</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industry in which we compete is characterized by rapid technological advancements, frequent introductions of new products and heavy competition. The discovery of new products and targets remain vital to our success and the implementation by us and by any third-party collaborators of AI technologies and processes, including advanced predictive analytics, computational approaches for drug discovery and so-called “generative” AI, has the potential to provide significant benefits in these areas. Use of AI in our efforts may be difficult to deploy successfully due to operational issues inherent in such methods. In particular, the AI algorithms utilize machine learning and predictive analytics which may lead to flawed, biased, and inaccurate results, which could lead to ineffective product or target candidates and exposure to competitive and reputational harm. We face increased competition from other companies that are using AI and related methods for drug discovery, some of which have more resources than we do and may have developed more effective methods than we and any third-party collaborators have, which may reduce our and any third-party collaborator’s effectiveness in identifying potential targets and attracting additional collaborators to work with us. Even with the successful implementation of AI, we may fail to correctly identify indications and allocate resources efficiently, which could adversely impact our pipeline and ability to compete effectively.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 AI presents additional risks and challenges, especially as the use of these technologies becomes more important to our operations over time. Generative AI may be used improperly or inappropriately which could lead to the tainting of our proprietary information and render us unable to qualify for patent protection. Their use by people, including our vendors, employees, suppliers and contractors, with access to our proprietary and confidential information, including trade secrets, may continue to increase and may lead to the release of such information, which may impact our ability to realize the benefit of our intellectual property. Our use of generative AI platforms may lead to novel and urgent cybersecurity risks, which may adversely affect our operations and reputation, as well as the operations of any third-party collaborators. Emerging ethical issues surround the use of AI, and we may be subject to reputational and legal risk if our deployment or use of AI becomes controversial. Regulators could limit our, or any third-party collaborator’s ability to develop or implement AI-based technologies as part of measures taken against us or any third-party collaborators in particular or as a consequence of broader legislation, which could have an adverse effect on our or any third-party collaborators’ business, results of operations and financial conditions. Several jurisdictions around the globe, including Europe and certain U.S. states, have proposed, enacted, or are considering laws governing the development and use of AI/Machine Learning, such as the EU’s AI Act and the Colorado Artificial Intelligence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Uncertainty in the legal regulatory regime may require significant resources to modify and maintain business practices to comply with U.S. and non-U.S. laws, the nature of which cannot be determined at this time.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Commercialization of Our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 requirements include submissions of safety and other post-marketing information and reports, registration, as well as on-going compliance with cGMPs and GCPs, for any clinical trials that we may conduct post-approval.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fail to comply with applicable regulatory requirements following approval of our current or future product candidates, a regulatory authority may, among other things:</w:t>
      </w:r>
    </w:p>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 an untitled letter or warning letter asserting that we are in violation of the law;</w:t>
            </w:r>
          </w:p>
        </w:tc>
      </w:tr>
    </w:tbl>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an injunction or impose administrative, civil or criminal penalties or monetary fines;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suspend or withdraw marketing approval;</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suspend any ongoing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approve a pending NDA or NDA supplement, or comparable foreign marketing application (or any supplements thereto) submitted by us or our strategic partners;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 or suspend the marketing or manufacturing of the drug;</w:t>
            </w:r>
          </w:p>
        </w:tc>
      </w:tr>
    </w:tbl>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seize or detain the drug or otherwise require the withdrawal of the drug from the market;</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permit the import or export of product candidates; or</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allow us to enter into supply contracts, including government contracts.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The FDA’s policies, and those of equivalent foreign regulatory agencies, may change and additional government regulations may be enacted that could cause changes to or delays in the drug review process, or suspend or restrict marketing approval of our product candidates. For example, the U.S. Supreme Court’s June 2024 decision in </w:t>
      </w:r>
      <w:r>
        <w:rPr>
          <w:rFonts w:ascii="Arial;Helvetica;sans-serif" w:hAnsi="Arial;Helvetica;sans-serif"/>
          <w:i/>
          <w:sz w:val="20"/>
        </w:rPr>
        <w:t>Loper Bright Enterprises v. Raimondo</w:t>
      </w:r>
      <w:r>
        <w:rPr>
          <w:rFonts w:ascii="Arial;Helvetica;sans-serif" w:hAnsi="Arial;Helvetica;sans-serif"/>
          <w:sz w:val="20"/>
        </w:rPr>
        <w:t xml:space="preserve"> overturned the longstanding Chevron doctrine, under which courts were required to give deference to regulatory agencies’ reasonable interpretations of ambiguous federal statutes (the “</w:t>
      </w:r>
      <w:r>
        <w:rPr>
          <w:rFonts w:ascii="Arial;Helvetica;sans-serif" w:hAnsi="Arial;Helvetica;sans-serif"/>
          <w:i/>
          <w:sz w:val="20"/>
        </w:rPr>
        <w:t>Loper</w:t>
      </w:r>
      <w:r>
        <w:rPr>
          <w:rFonts w:ascii="Arial;Helvetica;sans-serif" w:hAnsi="Arial;Helvetica;sans-serif"/>
          <w:sz w:val="20"/>
        </w:rPr>
        <w:t xml:space="preserve"> decision”). The </w:t>
      </w:r>
      <w:r>
        <w:rPr>
          <w:rFonts w:ascii="Arial;Helvetica;sans-serif" w:hAnsi="Arial;Helvetica;sans-serif"/>
          <w:i/>
          <w:sz w:val="20"/>
        </w:rPr>
        <w:t>Loper</w:t>
      </w:r>
      <w:r>
        <w:rPr>
          <w:rFonts w:ascii="Arial;Helvetica;sans-serif" w:hAnsi="Arial;Helvetica;sans-serif"/>
          <w:sz w:val="20"/>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Arial;Helvetica;sans-serif" w:hAnsi="Arial;Helvetica;sans-serif"/>
          <w:i/>
          <w:sz w:val="20"/>
        </w:rPr>
        <w:t>Loper</w:t>
      </w:r>
      <w:r>
        <w:rPr>
          <w:rFonts w:ascii="Arial;Helvetica;sans-serif" w:hAnsi="Arial;Helvetica;sans-serif"/>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Even if our current or future product candidates receive marketing approval, they may fail to achieve market acceptance by physicians, patients, third-party payors or others in the medical community necessary for commercial success.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clinical indications for which the product candidate is approved;</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efficacy and potential advantages compared to alternative treatments and therapies;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market introduction of the product as well as competitive products;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effectiveness of sales and marketing efforts;</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strength of our relationships with patient communities;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treatment in relation to alternative treatments and therapies, including any similar generic treatments;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offer such product for sale at competitive prices;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convenience and ease of administration compared to alternative treatments and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the target patient population to try new therapies and of physicians to prescribe these therapies;</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third-party coverage and adequate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patients to pay out-of-pocket in the absence of coverage and adequate reimbursement by third-party payors and government authorities;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strength of marketing and distribution support;</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prevalence and severity of any side effects; and</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restrictions on the use of the product together with other medications.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Coverage and adequate reimbursement may not be available for our current or any future product candidates, which could make it difficult for us to sell profitably, if approved.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primary trend in the U.S. healthcare industry and elsewhere is cost containment. For example, the U.S. Department of Health and Human Services (“HHS”) imposes rebates on many Medicare Part B and Medicare Part D products to penalize price increases that outpace inflation.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Third-party payors have also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more products for which we receive marketing approval, less favorable coverage policies and reimbursement rates may be implemented in the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We face substantial competition, which may result in others discovering, developing or commercializing products before or more successfully than us.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aware of GLP-1R small molecules in development by Eli Lilly, Qilu Regor Therapeutics, AstraZeneca/Eccogene, Jiangsu Hengrui Medicine, Huadong, Sciwind Biosciences, Ascletis, Gilead, Kallyope, MindRank, vTv Therapeutics, Corxel, Carmot Therapeutics (acquired by Roche Group in January 2024) and Kailera Therapeutics, formerly Hercules CM Newco (licensed HRS-7535, an oral small molecule GLP-1; HRS-9531 a GLP-1/GIP; and preclinical asset HRS-4729 from Jiangsu Hengrui Medicine). We have granted Genentech, Inc. and F. Hoffmann-La Roche Ltd (collectively “GNE”) a non-exclusive license to and covenant that we will not assert certain of our patents with respect to the exploitation of CT-996, a GLP-1R small molecule being developed by GNE following its acquisition of Carmot Therapeutics. We will not be able to utilize these patent rights to prevent the commercialization of this competitive molecule if it is successfully developed but we will be eligible for royalties on its sale in patented countries. There are currently approved GLP-1R agonists for the treatment of diabetes and obesity marketed by Novo Nordisk, Eli Lilly, AstraZeneca and Sanofi. We are also aware of other GLP-1R plus dual/tri incretin targeting peptides in development by Eli Lilly, Jiangsu Hansoh Pharmaceutical Group, Boehringer Ingelheim, Altimmune, Carmot Therapeutics, Sciwind Biosciences, Novo Nordisk, Viking Therapeutics, Amgen, Merck, Zealand Pharma, D&amp;D Pharmatech, GMAX Biopharma, Jiangsu Hengrui Medicine, BrightGene, Innovent Biologics, PegBio, MetaVia Therapeutics, Hanmi Pharmaceuticals, ProGen Co., Pep2Tango, Metsera (acquired by Pfizer in November 2025), QL Biopharma, Lexaria Bioscience, Sun Pharmaceutical, Gan &amp; Lee, Innogen, Biomed Industries, Verdiva Bio and Ascletis. Despite significant biopharmaceutical industry investment, no oral small molecule therapy targeting amylin has been approved for the treatment of diabetes or obesity. We are aware of amylin small molecules in preclinical development by: Eli Lilly, Eccogene, Nxera, Iktos/Cube Biotech strategic collaboration, Alveus Therapeutics, Ascletis, Laekna, Corxel and Ambrosia Biosciences. Additionally, we are aware of APJ receptor targeted product candidates in development for COVID 19 acute respiratory distress syndrome by CohBar, Inc.; IPF, systemic sclerosis interstitial lung disease, and kidney nephrotic syndrome by Apie Therapeutics; obesity by Laekna, Prospect Therapeutics, BioAge Labs; and muscle atrophy by BioAge Labs, Inc. Both Amgen and Bristol Myers Squibb (“BMS”) have APJ receptor targeted product candidates for heart failure. Furthermore, we are aware of LPA1R targeted product candidates in development for IPF by BMS, Horizon Therapeutics (acquired by Amgen in October 2023) and DJS Antibodies; and myelin restoration and neuroinflammation by Contineum Therapeutics.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and any third-party collaborators are facing increasing competition from companies utilizing AI and other computational approaches for drug discovery. Some of these competitors are involved in drug discovery themselves and/or with partners, and others develop software as well as other tools utilizing AI which can be used, directly or indirectly, in drug discovery. To the extent these other AI approaches to drug discovery prove to be successful, or more successful, than our and any third-party collaborators’ approach, our business, financial condition and operating results could be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the market opportunities for any of our product candidates are smaller than we estimate, even assuming approval of a product candidate, our revenue may be adversely affected, and our business may suffer.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future growth may depend, in part, on our ability to commercialize products in foreign markets, where we would be subject to additional regulatory burdens and other risks and uncertainties.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different regulatory requirements for approval of drugs in foreign countries;</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reduced protection for intellectual property rights;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existence of additional third-party patent rights of potential relevance to our business;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changes in tariffs, trade barriers and regulatory requirements;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economic weakness, including inflation, or political instability in particular foreign economies and markets;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tax, employment, immigration and labor laws for employees living or traveling abroad;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currency fluctuations, which could result in increased operating expenses and reduced revenues, and other obligations incident to doing business in another country;</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reimbursement, pricing and insurance regimes;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uncertainty in countries where labor unrest is common;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shortages resulting from any events affecting raw material supply or manufacturing capabilities abroad;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Business Operations and Industry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operating results may fluctuate significantly, which makes our future operating results difficult to predict and could cause our operating results to fall below expectations or any guidance we may provide.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degree of success and cost of, and level of investment in, research, development, regulatory approval and commercialization activities relating to our product candidates, which may change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coverage and reimbursement policies with respect to our product candidates, if approved, and potential future drugs that compete with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manufacturing our product candidates, which may vary depending on the quantity of production and the terms of our agreements with third-party manufacturers;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expenditures that we may incur to acquire, develop or commercialize additional product candidates and technologies;</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level of demand for any approved products, which may vary significantly;</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future accounting pronouncements or changes in our accounting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success or failure of preclinical studies or clinical trials for our product candidates or any competing product candidates, or any other change in the competitive landscape of our industry, including consolidation among our competitors or partners.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highly dependent on the services of our senior management team and if we are not able to retain these members of our management team and recruit and retain additional management, clinical and scientific personnel, our business will be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will need to expand our organization, and we may experience difficulties in managing this growth, which could disrupt our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we had 281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 candidates receives marketing approval, sales, marketing and distribution. To manage any future growth, we must:</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recruit, integrate, maintain and motivate additional qualified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 our development efforts effectively, including the initiation and conduct of clinical trials for our product candidates; and</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improve our operational, financial and management controls, reporting systems and procedures.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relationships with customers, physicians and other healthcare providers,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we may be subject to health information privacy and security laws by the federal government, the states and other jurisdictions in which we may conduct our business. The laws that may affect our operations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Health Insurance Portability and Accountability Act of 1996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Helvetica;sans-serif" w:hAnsi="Arial;Helvetica;sans-serif"/>
                <w:b w:val="false"/>
                <w:i/>
                <w:sz w:val="20"/>
              </w:rPr>
              <w:t>e.g.</w:t>
            </w:r>
            <w:r>
              <w:rPr>
                <w:rFonts w:ascii="Arial;Helvetica;sans-serif" w:hAnsi="Arial;Helvetica;sans-serif"/>
                <w:b w:val="false"/>
                <w:i w:val="false"/>
                <w:caps w:val="false"/>
                <w:smallCaps w:val="false"/>
                <w:sz w:val="20"/>
              </w:rPr>
              <w:t>, public or private). Similar to the federal Anti-Kickback Statute, a person or entity does not need to have actual knowledge of this statute or specific intent to violate it in order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HIPAA, as amended by the Health Information Technology for Economic and Clinical Health Act of 2009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state and foreign law equivalents of each of the above federal laws, state and/or local laws that require certain regulatory licenses to manufacture or distribute products commercially and/or the registration of pharmaceutical sales representatives in the jurisdiction,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otherwise restrict payments that may be made to healthcare providers, and state laws and regulations that require drug manufacturers to file reports relating to drug pricing and marketing information;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our operations are found to be in violation of any of these laws or any other governmental regulations that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Healthcare legislative reform measures may have a negative impact on our business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the government and private insurers, and significantly impacts the U.S. pharmaceutical industry.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Since its enactment, there have been judicial, congressional and executive branch challenges and amendments to certain aspects of the ACA. For example, on July 4, 2025, the annual reconciliation bill, the One Big Beautiful Bill Act (“OBBBA”) was signed into law which narrows access to ACA marketplace exchange enrollment and declines to extend the ACA enhanced advanced premium tax credits that expired at the end of 2025, which, among other provisions in the law, are anticipated to reduce the number of Americans with health insurance. The OBBBA is also expected to reduce Medicaid spending and enrollment by implementing work requirements for some beneficiaries, capping state-directed payments, reducing federal funding, and limiting provider taxes used to fund the program. In addition, regional healthcare authorities and individual hospitals are increasingly using bidding procedures to determine what pharmaceutical products and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which suppliers will be included in their prescription drug and other healthcare programs. We expect that additional state and federal healthcare reform measures will be adopted in the future.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current Trump administration is pursuing policies to reduce regulations and expenditures across government including at HHS, the FDA, CMS and related agencies. For example, the current administration has announced agreements with certain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include, for example, (1) directing agencies to reduce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Loper decision greatly reduced judicial deference to regulatory agencies, which could increase successful legal challenges to federal regulations affecting our operations. Additionally, Congress may introduce and ultimately pass health care related legislation that could impact the drug approval process and make changes to the Medicare Drug Price Negotiation Program.</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or our third-party manufacturers use hazardous and biological materials in a manner that causes injury or violates applicable law, we may be liable for damages.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Product liability lawsuits against us could cause us to incur substantial liabilities and could limit commercialization of any product candidate that we may develop.</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face an inherent risk of product liability exposure related to the testing of our current and any future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decreased demand for any product candidate that we may develop;</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recalls, withdrawals or labeling, marketing or promotional restrictions;</w:t>
            </w:r>
          </w:p>
        </w:tc>
      </w:tr>
    </w:tbl>
    <w:tbl>
      <w:tblPr>
        <w:tblW w:w="1926" w:type="dxa"/>
        <w:jc w:val="left"/>
        <w:tblInd w:w="0" w:type="dxa"/>
        <w:tblLayout w:type="fixed"/>
        <w:tblCellMar>
          <w:top w:w="28" w:type="dxa"/>
          <w:left w:w="28" w:type="dxa"/>
          <w:bottom w:w="28" w:type="dxa"/>
          <w:right w:w="28" w:type="dxa"/>
        </w:tblCellMar>
      </w:tblPr>
      <w:tblGrid>
        <w:gridCol w:w="124"/>
        <w:gridCol w:w="256"/>
        <w:gridCol w:w="1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of revenue;</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substantial monetary awards to trial participants or patients;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time and costs to defend the related litigation;</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diversion of management’s time and our resources;</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withdrawal of clinical trial participants;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initiation of investigations by regulators;</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inability to commercialize any product candidate that we may develop;</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injury to our reputation and significant negative media attention; and</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decline in our ADS price.</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currently hold approximately $15.0 million in product liability insurance coverage in the aggregate. We may need to increase our insurance coverage as we expand our clinical trials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our information technology systems or data, or those of third 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 disruptions of our business operations; loss of revenue or profits; loss of customers or sales; or other adverse consequences.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increasingly dependent on information technology systems and infrastructure, including mobile and third-party, cloud-based technologies, to operate our business. In the ordinary course of our business, we collect, store, process and transmit large amounts of sensitive information, including intellectual property,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proprietary business information, personal information and other confidential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including by organized groups and individuals with a wide range of motives (including, but not limited to, industrial espionage) and expertise, including organized criminal groups, “hacktivists,” nation states and others. Further, many of our employees work remotely, which increases our vulnerability to cyberattacks. Cyberattacks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Threat actors also direct significant disruptions of, or cyber incidents at, our or our third-party vendors’ and/or business partners’ information technology systems that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would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for which we are responsible may require us,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and certain of our service providers have in the past and may in the future be subject to cyberattacks and security incidents. For example, in September 2025 we became aware of a security incident that involved unauthorized access to a SharePoint folder, which contained a single file. Available evidence indicates that the file was not accessed or downloaded.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While we have implemented security measures intended to protect our information technology systems and infrastructure, such measures may not successfully prevent service interruptions or security incidents.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and may experience delays in developing and deploying remedial measures and patches designed to address identified vulnerabilities.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conduct certain research and development operations through our Australian wholly-owned subsidiaries. We have voluntarily refunded a research and development tax credit previously received under Australian regulations.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2021, we formed two wholly-owned Australian subsidiaries, Annapurna Bio Pty Limited (“Annapurna AU”) and Gasherbrum Bio Pty Limited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applicable foreign authorities.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current Australian tax regulations provide for a refundable research and development tax credit equal to 43.5% of qualified expenditures. Although we have previously claimed a refundable research and development tax credit there is a possibility that we may not be able to claim such credit or we might qualify for a lesser credit. If we lose our ability to operate Annapurna AU or Gasherbrum AU in Australia, or if in the future we are ineligible or unable to receive the research and development tax credit or are required to refund any research and development tax credit previously received or have to reserve for such credit in our financial statements, or if the Australian government significantly reduces or eliminates the tax credit, our business and results of operation may be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impact on our business, financial condition, results of operations and prospects, including the imposition of significant fines or other sanctions.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Governments outside the United States tend to impose strict price controls, which may adversely affect our revenues, if any.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b/>
          <w:i/>
          <w:sz w:val="20"/>
        </w:rPr>
        <w:t>We</w:t>
      </w:r>
      <w:r>
        <w:rPr>
          <w:rFonts w:ascii="Arial;Helvetica;sans-serif" w:hAnsi="Arial;Helvetica;sans-serif"/>
          <w:sz w:val="20"/>
        </w:rPr>
        <w:t xml:space="preserve"> </w:t>
      </w:r>
      <w:r>
        <w:rPr>
          <w:rFonts w:ascii="Arial;Helvetica;sans-serif" w:hAnsi="Arial;Helvetica;sans-serif"/>
          <w:b/>
          <w:i/>
          <w:sz w:val="20"/>
        </w:rPr>
        <w:t>and the third parties with whom we work are subject to stringent and evolving U.S. and foreign laws, regulations, rules, industry standards, contractual obligations, policies and other requirements related to data security and privacy. Our or the third parties with whom we work (including our suppliers) actual or perceived failure to comply with such obligations could lead to government enforcement actions, which could include civil, criminal or administrative penalties, litigation (including class claims) and arbitration demands, fines and penalties, disruptions of our business operations, reputational harm, adverse publicity, and other adverse business consequences, any of which could negatively affect our operating results and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ordinary course of business, we collect, receive, store, process, generate, use, transfer, disclose, make accessible, protect, secure, dispose of, transmit, and share (collectively, processing) personal data and other sensitive information, including proprietary and confidential business data, trade secrets, intellectual property, data we may collect about trial participants in connection with clinical trials, sensitive third-party data, business plans, transactions, and financial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Outside the United States, an increasing number of laws, regulations, and industry standards govern data privacy and security. For example, the European Union (“EU”) General Data Protection Regulation (“GDPR”), the United Kingdom’s (“UK”) GDPR, and the Personal Information Protection Act in South Korea, impose strict requirements for processing personal data. Under the EU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Other jurisdictions may adopt similarly stringent interpretations of their data localization and cross-border data transfer laws. Although there are currently various mechanisms that may be used to transfer personal data from the European Economic Area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Additionally, the U.S. Department of Justice issued a rule entitled the Preventing Access to U.S. Sensitive Personal Data and Government-Related Data by Countries of Concern or Covered Persons, which places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Cayman Islands Data Protection Act imposes obligations on data controllers in relation to the processing of personal data, and also introduced rights for data subjects (which may be subject to various exemptions), including, among others: (a) personal data must be processed fairly and on the basis of one of the grounds for processing as set out in the Data Protection Act; (b) personal data must be obtained for a specified lawful purpose; (c) personal data must be adequate, relevant and not excessive in relation to the purpose for which it was processed; (d) 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 prevent unauthorized or unlawful processing, accidental loss or destruction of personal data; and (h) the personal data may not be transferred to a country unless that country ensures an adequate level of protection for the rights and freedoms of data subjects.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(“PIPL”) which became effective from November 1, 2021. The PIPL imposes a set of specific obligations on covered businesses in connection with their processing and transfer of personal data and imposes fines of up to RMB 50 million or 5% of the prior year’s total annual revenue of the violator. Under the PIPL,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employees and personnel use generative AI and/or automated decision-making technologies to perform their work, and the disclosure and use of personal data in generative AI technologies is subject to various privacy laws and other privacy obligations. Governments have passed and are likely to pass additional laws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to data privacy and security laws, we contractually are subject to industry standards adopted by industry groups and may become subject to such obligations in the future. We are also bound by contractual obligations related to data privacy and security, and our efforts to comply with such obligations may not be successful. In particular, 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threatened or actual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or our third-party service providers have violated individuals’ privacy rights,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failed to comply with data protection laws, or breached our contractual obligations, even if we are not found liable, could be expensive and time consuming to defend and could result in adverse publicity that could harm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There is tax risk associated with the reporting of cross-border arrangements and activities between us and our subsidiaries.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Tax authorities may disagree with our positions and conclusions regarding certain tax positions, resulting in unanticipated costs, taxes or non-realization of expected benefits.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assessment. Contesting such an assessment may be lengthy and costly, and if we were unsuccessful in disputing the assessment, the implications could increase our anticipated effective tax rate, where applicable.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Changes in tax laws or regulations that are applied adversely to us or our customers may have a material adverse effect on our business, cash flow, financial condition, or results of operations. </w:t>
      </w:r>
    </w:p>
    <w:p>
      <w:pPr>
        <w:pStyle w:val="TextBody"/>
        <w:bidi w:val="0"/>
        <w:spacing w:before="0" w:after="240"/>
        <w:ind w:left="0" w:right="0" w:hanging="0"/>
        <w:jc w:val="left"/>
        <w:rPr>
          <w:rFonts w:ascii="Arial;Helvetica;sans-serif" w:hAnsi="Arial;Helvetica;sans-serif"/>
          <w:b w:val="false"/>
          <w:sz w:val="20"/>
        </w:rPr>
      </w:pPr>
      <w:r>
        <w:rPr>
          <w:rFonts w:ascii="Arial;Helvetica;sans-serif" w:hAnsi="Arial;Helvetica;sans-serif"/>
          <w:b w:val="false"/>
          <w:sz w:val="20"/>
        </w:rPr>
        <w:t xml:space="preserve">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In the United States, The One Big Beautiful Bill Act enacted in 2025, the Inflation Reduction Act enacted in 2022, the Coronavirus Aid, Relief, and Economic Security Act enacted in 2020, and the Tax Cuts and Jobs Act enacted in 2017 made many significant changes to the U.S. tax laws. Outside the U.S., various governments and organizations are increasingly focused on tax reform and other legislative or regulatory action to increase tax revenue, including the Organisation for Economic Co-operation and Development’s Base Erosion and Profit Shifting Project (“BEPS 2.0”). These laws or any future tax reform legislation could have a material impact on the value of our deferred tax assets, result in significant one-time charges, and increase our future tax expenses. </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 xml:space="preserve">Risks Related to Doing Business in China and Our International Operations </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Changes in the political and economic policies or in relations between China and the United States may affect our business, financial condition, results of operations and the market price of 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 Chinese government may intervene in or influence our operations, which could result in a change in our operations and impact the value of our ADSs. Any economic downturn, whether actual or perceived, further decrease in economic growth rates or an otherwise uncertain economic outlook could affect our business, financial condition and results of operations, as well as the market price of our ADSs. In addition, the global macroeconomic environment is facing challenges. It is unclear whether these challenges and uncertainties will be contained or resolved, and what effects they may have on the global political and economic conditions, and our business operations in the long term. There is significant uncertainty about the future relationship between the United States and China with respect to trade policies, treaties, government regulations and tariffs. The Chinese government has implemented various measures to encourage economic development and guide the allocation of resources. Some of these measures may benefit the overall Chinese economy, but may have a negative effect on us.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and geopolitical tensions between China and the United States increase, our business in China and United States, as well as the market price of our ADSs, may also be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Changes in U.S. and Chinese regulations may impact our business, our operating results, our ability to raise capital and the market price of our ADSs.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who was then Chairman of the SEC, issued a Statement on Investor Protection Related to Recent Developments in China, pursuant to which Chairman Gensler stated that he has asked the SEC staff to engage in targeted additional reviews of filings for companies with certain operations based in China. The statement also addressed risks inherent in companies with variable interest entity (“VIE”) structures. We do not have a VIE structure and are not in an industry that is subject to foreign ownership limitations by China. However, it is possible that our periodic reports and other filings with the SEC may be subject to enhanced review by the SEC and this additional scrutiny could affect our ability to effectively raise capital in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response to the SEC’s July 30, 2021 statement, the China Securities Regulatory Commission (“CSRC”) announced on August 1, 2021, that “[i]t is our belief that Chinese and U.S. regulators shall continue to enhance communication with the principle of mutual respect and cooperation, and properly address the 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Compliance with China’s current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China has implemented or will implement rules and is considering a number of additional proposals relating to data protection. China’s current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Additionally, China’s Cyber Security Law, promulgated by the Standing Committee of the National People’s Congress (“SCNPC”) in November 2016 which came into effect in June 2017 and was amended in October 2025,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 stored on their networks. Specifically, the Cyber Security Law and the Administrative Measures for the Hierarchical Protection of Information Security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July 10, 2021, the Cyberspace Administration of China (“CAC”) published a draft revision to the existing Cybersecurity Review Measures for public comment (the “Revised Draft CAC Measures”). On January 4, 2022, together with 12 other Chinese regulatory authorities, the CAC released the final version of the Revised Draft CAC Measures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(the “Draft Management Regulations”) for public comment. On September 24, 2024, the State Council released the final version of the Draft Management Regulations (the “Management Regulations”), which came into effect on January 1, 2025. Under the Management Regulations, online data processors refer to individuals and organizations who determine the data processing activities in terms of the purpose and methods at their discretion. The Management Regulations reiterate that online data processors shall be subject to national security review pursuant to relevant provisions if they carry out data processing activities which affect or may affect national security.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the date of this Quarterly Report, we have not received any notice from any Chinese regulatory authority identifying us as a “critical information infrastructure operator,” “online platform operator”, “online platform service provider” or “online data processor,” or requiring us to go through the cybersecurity review procedures pursuant to the Revised CAC Measures and the Management Regulations. Based on our understanding of the Revised CAC Measures and the Management Regulations,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 persons. However, there remains uncertainty as to how the Revised CAC Measures and the Management Regulations will be interpreted or implemented; for example, neither the Revised CAC Measures nor the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Management Regulations or other laws and regulations related to privacy, data protection and information security.</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certain industry-specific laws and regulations affect the collection and transfer of data in the PRC. The Regulations on the Administration of Human Genetic Resources of the PRC (the “HGR Regulation”) was promulgated by the State Council in May 2019 and came into effect in July 2019, and was further revised in May 2024.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October 2020, the SCNPC promulgated the Biosecurity Law of the PRC, which came into effect in April 2021 and was further revised in April 2024. The Biosecurity Law of the PRC reaffirms the regulatory requirements stipulated by the HGR Regulation while potentially increasing the administrative sanctions where China’s human genetic resources are collected, preserved, exported or used in international cooperation in violation of applicable laws. In May 2023, the Ministry of Science and Technology published the Implementing Rules for the Regulations on the Administration of Human Genetic Resources (the “HGR Implementing Rules”) which came into effect in July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Interpretation, application and enforcement of these laws, rules and regulations evolve from time to time and their scope may continually change, through new legislation, amendments to existing legislation or changes in enforcement. Compliance with China’s current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Regulations on Mergers and Acquisitions of Domestic Enterprises by Foreign Investors purport to require offshore special purpose vehicles that are controlled by Chinese companies or individuals and that have been formed for the purpose of seeking a public listing on an overseas stock exchange through acquisitions of Chinese domestic companies or assets in exchange for the shares of the offshore special purpose vehicles shall obtain CSRC approval prior to publicly listing their securities on an overseas stock exchange.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Furthermore, on February 17, 2023, the CSRC promulgated a new set of regulations that consists of the Trial Administrative Measures of Overseas Securities Offering and Listing by Domestic Companies (the “Trial Measures”) and five supporting guidelines which came into effect on March 31, 2023 to regulate overseas securities offering and listing activities by domestic companies either in direct or indirect form. According to the Trial Measures, we may be required to submit filings to the CSRC in connection with future issuances of our equity securities to foreign investors. For more details, see Part I. Item 1. “Business—Regulation—Other Significant Chinese Regulation Affecting Our Business Activities in China” of our Annual Report for the year ended December 31, 2025.</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the date of this Quarterly Report, we have not received any inquiry, notice, warning or sanction regarding obtaining approval, completing filings or other procedures in connection with our previous issuances of securities to foreign investors from the CSRC or any other Chinese regulatory authorities that have jurisdiction over our operations. Based on the above and our understanding of the newly issued Trial Measures and the supporting guidelines, after they came into effect on March 31, 2023, we would not at once be required to submit an application to the CSRC for our previous issuances of securities to foreign investors, but if we intend to make any subsequent securities offering in the same overseas market which are determined as indirect overseas offering and listing by a domestic company under the Trial Measures, we may be required to submit filing with the CSRC within three working days after such subsequent securities offering is completed. However,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it is determined in the future that the approval of, filing or other procedure is required with the CSRC or any other regulatory authority for our previous issuances of securities to foreign investors, or if we are required to complete relevant procedures for our subsequent securities offering in the same overseas market, it is uncertain whether we will be able and how long it will take for us to obtain the approval or complete the filing or other procedure or obtain a waiver for such procedures, despite our best efforts.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securities offerings into China or take other actions that could have an adverse effect on our business, financial condition, results of operations and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prospects, as well as the trading price of the ADSs. Any uncertainties and/or negative publicity regarding the aforementioned approval(s), filing or other procedure(s), the interpretation and implementation of existing laws and regulations, or any further laws, regulations or interpretations that may be released and enacted in the future could have a material adverse effect on the trading price of the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As a company with operations and business relationships outside of the United States, our business is subject to economic, political, regulatory and other risks associated with international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economic weakness, including inflation, or political instability in particular non-U.S. economies and markets;</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and changing regulatory requirements for product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jurisdictions could present different issues for securing, maintaining or obtaining freedom to operate in such jurisdictions;</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potentially reduced protection for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in compliance with different, complex and changing laws, regulations and court systems of multiple jurisdictions and compliance with a wide variety of foreign laws, treaties and regulations;</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non-U.S. regulations and customs, tariffs and trade barriers;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non-U.S. currency exchange rates of the RMB;</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increasing geopolitical tensions between the U.S. and China and changes in a specific country’s or region’s political or economic environment especially with respect to a particular country’s treatment of or stance towards other countries;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trade protection measures, import or export licensing requirements or other restrictive actions by governments;</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reimbursement regimes and price controls in certain non-U.S. markets;</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negative consequences from changes in tax laws;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tax, employment, immigration and labor laws for employees living or traveling abroad;</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variable tax treatment in different jurisdictions of options granted under our equity incentive plans;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uncertainty in countries where labor unrest is more common than in the United States;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interruptions resulting from geopolitical actions, including war and terrorism, health epidemics, or natural disasters including earthquakes, typhoons, floods and fires.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fail to comply with Chinese environmental, health and safety laws and regulations, we could become subject to fines or penalties or incur costs that could have a material adverse effect on the success of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 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we maintain workers’ compensation insurance to cover costs and expenses incurred due to on-the-job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 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could be materially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Development in the Chinese legal system could materially and adversely affect us.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Chinese laws and regulations govern our operations in China and the PRC legal system is a civil law system based on written statutes. Unlike the common law system, prior court decisions under the civil law system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may be cited for reference but have limited precedential value. As the laws and regulations are relatively new and the PRC legal system continues to evolve, there may be room for discretion in the implementation of these laws and regulations. And as these laws and regulations are evolving in response to changing economic and other conditions, factors related to the application and implementation of these laws and regulations may affect our business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be exposed to liabilities under the U.S. Foreign Corrupt Practices Act (the “FCPA”), U.S. domestic bribery laws, and similar anti-corruption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operations are subject to the FCPA, U.S. domestic bribery laws,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U.S. and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Regulatory Requirements on currency exchange may limit our ability to receive and use effectively financing in foreign currencies.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Chinese subsidiaries’ ability to obtain currency exchange is subject to certain foreign exchange regulations and, in the case of transactions under the capital account, requires the approval of and/or registration with Chinese government authorities, including the State Administration of Foreign Exchange (“SAFE”). In particular, if we finance our Chinese subsidiaries by means of foreign debt from us or other foreign lenders, the amount is not allowed to, among other things, exceed the statutory limits and such loans must be registered with the local branch of SAFE. If we finance our Chinese subsidiaries by means of additional capital contributions, these capital contributions are subject to registration with the State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Administration for Market Regulation or its local branch, reporting of foreign investment information with the Ministry of Commerce of the People’s Republic of China, or its local branch or registration with other governmental authorities in China.</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capitalize or otherwise fund our Chinese operations, including our technology development and early discovery activities through Basecamp Bio, may be negatively affected, which could materially and adversely affect our ability to fund and expand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Chinese regulations relating to the establishment of offshore special purpose companies by residents in China may subject our China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2014, SAFE promulgated the SAFE Circular 37, which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 requests to make or obtain any applicable registrations or comply with other requirements under SAFE Circular 37 or other related rules. The failure or inability of our China resident shareholders to 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make distributions to you could be materially and adversely affected.</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are classified as a China resident enterprise for China income tax purposes, such classification could result in unfavorable tax consequences to us and our non-Chinese shareholders or ADS 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as amended in April 2019 and January 2025,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 enterprise income tax (“EIT”), rate on its global income. The Notice Regarding the Determination of Chinese-Controlled Offshore-Incorporated Enterprises as Chinese Tax Resident Enterprises on the Basis of De Facto Management Bodies (“SAT Circular 82”), issued by the State Taxation Administration of the People’s Republic of China (“SAT”) on April 22,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 (i) 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 liability may vary under applicable tax treaties. However, it is unclear whether our non-China shareholders would be able to claim the benefits of any tax treaties between their country of tax residence and China in the event that we are treated as a China resident enterprise.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and our shareholders face uncertainties in China with respect to indirect transfers of equity interests in China resident enterprises.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indirect transfer of equity interests in China resident enterprises by a non-China resident enterprise (“Indirect Transfer”), is potentially subject to income tax in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China, or 90% or more of its income is derived directly or 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face uncertainties regarding the reporting required for and impact on future private equity financing transactions, share exchanges or other transactions involving the transfer of shares in our company by investors that are non-Chinese resident enterprises, or the sale or purchase of shares in other non-Chinese resident companies or other taxable assets by us. For example, the Chinese tax authorities may consider that a future securities offering involves an indirect change of shareholding in our Chinese subsidiaries and therefore it may be regarded as an Indirect Transfer under SAT Circular 7. Even if we believe no SAT Circular 7 reporting is required on the basis that such an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such an offering or other transactions, which may have an adverse effect on our and their financial condition and day-to-day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February 2012, the SAFE promulgated the Notices on Issues Concerning the Foreign Exchange Administration for Domestic Individuals Participating in Stock Incentive Plans of Overseas Publicly Listed Companies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Chinese subsidiary of such overseas listed company, and complete certain procedures. We and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directors and employees under Chinese law.</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Intellectual Property</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global pandemics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patent position of biopharmaceutical companies generally is highly uncertain, involves complex legal and factual questions for which many legal principles continue to change. In recent years, patent rights have been the subject of much litigation. As a result, the issuance, scope, validity, enforceability and commercial value of our patent rights are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or vice versa.</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cannot ensure that patent rights relating to inventions described and claimed in our pending patent applications will issue or that patents based on our patent applications will not be challenged and rendered invalid and/or unenforceable.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and when patents may issue based on our patent applications;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protection of any patent issuing based on our patent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claims of any patent issuing based on our patent applications will provide protection against competitors;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third parties will find ways to invalidate or circumvent our patent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others will obtain patents claiming aspects similar to those covered by our patents and patent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will need to initiate litigation or administrative proceedings to enforce and/or defend our patent rights which will be costly whether we win or lose;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patent applications that we own or in-license will result in issued patents with claims that cover our product candidates or uses thereof in the United States or in other foreign countries; and/or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may experience patent office interruption or delays to our ability to timely secure patent coverage to our product candidates.</w:t>
            </w:r>
          </w:p>
        </w:tc>
      </w:tr>
    </w:tbl>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(“PGR”) proceedings, oppositions, derivations, reexaminations, or </w:t>
      </w:r>
      <w:r>
        <w:rPr>
          <w:rFonts w:ascii="Arial;Helvetica;sans-serif" w:hAnsi="Arial;Helvetica;sans-serif"/>
          <w:i/>
          <w:sz w:val="20"/>
        </w:rPr>
        <w:t>inter partes</w:t>
      </w:r>
      <w:r>
        <w:rPr>
          <w:rFonts w:ascii="Arial;Helvetica;sans-serif" w:hAnsi="Arial;Helvetica;sans-serif"/>
          <w:sz w:val="20"/>
        </w:rPr>
        <w:t xml:space="preserve"> review (“IPR”) proceedings, in the United States or elsewhere, challenging our patent rights or the patent rights of others. For example, in July 2026, Kailera Therapeutics, Inc. initiated a proceeding before the European Patent Office challenging the validity of a European patent held by our wholly owned subsidiary, Gasherbrum Bio Inc., and filed an application in the U.S. District Court for the Northern District of California seeking discovery from us in support of that European proceeding. The timing and outcome of these proceedings are unpredictable. Although the European patent covers a class of oral GLP-1 receptor agonists that is different from aleniglipron and any other compound in clinical development by us, an adverse determination in any such proceedings may result in our patent claims being narrowed, invalidated, or held unenforceable, in whole or in part, which could limit our ability to stop others from using or commercializing similar technologies and products, or limit the duration of the patent protection of our technologies.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rely on trade secret and proprietary know-how which can be difficult to trace and enforce and, if we are unable to protect the confidentiality of our trade secrets, our business and competitive position would be harmed.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third-party consultants and vendors or CROs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Moreover, disputes may arise with respect to our licensing or other upstream agreements, including:</w:t>
      </w:r>
    </w:p>
    <w:tbl>
      <w:tblPr>
        <w:tblW w:w="8196" w:type="dxa"/>
        <w:jc w:val="left"/>
        <w:tblInd w:w="0" w:type="dxa"/>
        <w:tblLayout w:type="fixed"/>
        <w:tblCellMar>
          <w:top w:w="28" w:type="dxa"/>
          <w:left w:w="28" w:type="dxa"/>
          <w:bottom w:w="28" w:type="dxa"/>
          <w:right w:w="28" w:type="dxa"/>
        </w:tblCellMar>
      </w:tblPr>
      <w:tblGrid>
        <w:gridCol w:w="124"/>
        <w:gridCol w:w="256"/>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rights granted under the agreements and other interpretation-related issues;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and the extent to which our systems and consumables, technologies and processes infringe on intellectual property of the licensor that is not subject to the licensing agreement;</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sublicensing of patent and other rights under our collaborative development relationships;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diligence obligations under the license agreements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inventorship and ownership of inventions and know-how resulting from the joint creation or use of intellectual property by our licensors and us and our partners; and</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priority of invention of patented technology.</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intellectual property licensed from third parties may be subject to retained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abandoned or otherwise materially impaired.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USPTO and various non-U.S. government patent agencies require compliance with several procedural, documentary, and other similar provisions during the patent application process. For example, many 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Patent terms may be inadequate to protect our competitive position on our product candidates for an adequate amount of time.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Given the amount of time required for the development, testing and regulatory review of our new product candidates such as aleniglipron, ACCG-2671, LTSE-2578, ACCG-3535 and any of our future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trials by referencing our clinical and preclinical data and launch their product candidates earlier than might otherwise be the case.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Intellectual property rights do not necessarily address all potential threats to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degree of future protection afforded by our intellectual property rights is uncertain because intellectual property rights have limitations, and may not adequately protect our business. The following examples are illustrative: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others may be able to make compounds or formulations that are similar to our product candidates but that are not covered by the claims of any patents that we own or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or any strategic partners might not have been the first to make the inventions covered by the issued patents or pending patent applications that we own or control;</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might not have been the first to file patent applications covering certain of the inventions we own or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others may independently develop similar or alternative technologies or duplicate any of our technologies without infringing our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tc>
      </w:tr>
    </w:tbl>
    <w:tbl>
      <w:tblPr>
        <w:tblW w:w="7671" w:type="dxa"/>
        <w:jc w:val="left"/>
        <w:tblInd w:w="0" w:type="dxa"/>
        <w:tblLayout w:type="fixed"/>
        <w:tblCellMar>
          <w:top w:w="28" w:type="dxa"/>
          <w:left w:w="28" w:type="dxa"/>
          <w:bottom w:w="28" w:type="dxa"/>
          <w:right w:w="28" w:type="dxa"/>
        </w:tblCellMar>
      </w:tblPr>
      <w:tblGrid>
        <w:gridCol w:w="124"/>
        <w:gridCol w:w="256"/>
        <w:gridCol w:w="7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pending patent applications that we own or control may not lead to issued patents;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issued patents that we own or control may be held invalid or unenforceable as a result of legal challenges;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tc>
      </w:tr>
    </w:tbl>
    <w:tbl>
      <w:tblPr>
        <w:tblW w:w="7026" w:type="dxa"/>
        <w:jc w:val="left"/>
        <w:tblInd w:w="0" w:type="dxa"/>
        <w:tblLayout w:type="fixed"/>
        <w:tblCellMar>
          <w:top w:w="28" w:type="dxa"/>
          <w:left w:w="28" w:type="dxa"/>
          <w:bottom w:w="28" w:type="dxa"/>
          <w:right w:w="28" w:type="dxa"/>
        </w:tblCellMar>
      </w:tblPr>
      <w:tblGrid>
        <w:gridCol w:w="124"/>
        <w:gridCol w:w="256"/>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develop additional proprietary technologies that are patentable;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countries other than the United States may have patent laws that are less favorable to patentees than those upheld by U.S. courts, allowing foreign competitors a better opportunity to create, develop and market competing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claims of any patent issuing based on our patent applications may not provide protection against competitors or any competitive advantages, or may be challenged by third parties;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enforced, a court may not hold that our patents are valid, enforceable and infringed;</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develop additional proprietary technologies that are patentable;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patents of others may have an adverse effect on our business, including if others obtain patents claiming subject matter similar to or improving that covered by our patents and patent applications.</w:t>
            </w:r>
          </w:p>
        </w:tc>
      </w:tr>
    </w:tbl>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if any of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become involved in lawsuits to protect or enforce our patents or other intellectual property, which could be expensive, time consuming and unsuccessful.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ex parte reexaminations, IPR, or PGR, or oppositions or similar proceedings outside the United States, in parallel with litigation or even outside the context of litigation. For example, in July 2026, Kailera Therapeutics, Inc. initiated a proceeding before the European Patent Office challenging the validity of a European patent held by our wholly owned subsidiary, Gasherbrum Bio Inc., and filed an application in the U.S. District Court for the Northern District of California seeking discovery from us in support of that European proceeding. The timing and outcome of these proceedings are unpredictable. Although the European patent covers a class of oral GLP-1 receptor agonists that is different from aleniglipron and any other compound in clinical development by us, an adverse determination in any such proceedings may result in our patent claims being narrowed, invalidated, or held unenforceable, in whole or in part, which could limit our ability to stop others from using or commercializing similar technologies and products, or limit the duration of the patent protection of our technologies.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 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Because of the expense and uncertainty of litigation, we may not be in a position to enforce our intellectual property rights against third parties.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(the “Leahy-Smith Act”) was signed into law. When implemented, the Leahy-Smith Act included 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USPTO developed new regulations and procedures governing the administration of the Leahy-Smith Act, and many of the substantive changes to patent law associated with the Leahy-Smith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not be able to protect our intellectual property rights throughout the world, which could negatively impact our business.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Filing, prosecuting and defending patents covering our current and any future product candidates throughout the world would be prohibitively expensive, and our intellectual property rights in some countries outside the 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 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the claims of our patent applications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result, the issuance, scope, validity, enforceability and commercial value of our patent rights are highly uncertain. Furthermore, for U.S. applications in which all claims are entitled to a priority date before March 16,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our trademarks and trade names are not adequately protected, we may not be able to build name recognition in our markets of interest and our business may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Risks Related to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The price of our ADSs may be volatile, and you could lose all or part of your investment.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trading price of our ADSs is likely to be highly volatile and could be subject to wide fluctuations in response to various factors, some of which are beyond our control, including limited trading volume. In addition to the factors discussed in this “Risk Factors” section and elsewhere in this Quarterly Report, these factors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commencement, enrollment or results of our ongoing and planned preclinical studies and clinical trials, or any future preclinical studies or clinical trials, we may conduct of our current and any future product candidates, or changes in the development status of our current and any future product candidates;</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results or delays in our preclinical studies and clinical trials;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decision to initiate a clinical trial, not to initiate a clinical trial, or to terminate an existing clinical trial;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regulatory decisions, including failure to receive marketing approval for our current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laws or regulations applicable to our current and any future product candidates, including but not limited to clinical trial requirements for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failure to obtain coverage and adequate reimbursement of our current and any future product candidates, if approved;</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structure of healthcare payment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changes to our relationship with any manufacturers, suppliers, licensors, future collaborators or other strategic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obtain adequate product supply for any approved drug product or inability to do so at acceptable prices;</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8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establish collaborations if needed;</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commercialize our current and any future product candidates;</w:t>
            </w:r>
          </w:p>
        </w:tc>
      </w:tr>
    </w:tbl>
    <w:tbl>
      <w:tblPr>
        <w:tblW w:w="6321" w:type="dxa"/>
        <w:jc w:val="left"/>
        <w:tblInd w:w="0" w:type="dxa"/>
        <w:tblLayout w:type="fixed"/>
        <w:tblCellMar>
          <w:top w:w="28" w:type="dxa"/>
          <w:left w:w="28" w:type="dxa"/>
          <w:bottom w:w="28" w:type="dxa"/>
          <w:right w:w="28" w:type="dxa"/>
        </w:tblCellMar>
      </w:tblPr>
      <w:tblGrid>
        <w:gridCol w:w="124"/>
        <w:gridCol w:w="256"/>
        <w:gridCol w:w="5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or departures of key scientific or management personnel;</w:t>
            </w:r>
          </w:p>
        </w:tc>
      </w:tr>
    </w:tbl>
    <w:tbl>
      <w:tblPr>
        <w:tblW w:w="9696" w:type="dxa"/>
        <w:jc w:val="left"/>
        <w:tblInd w:w="0" w:type="dxa"/>
        <w:tblLayout w:type="fixed"/>
        <w:tblCellMar>
          <w:top w:w="28" w:type="dxa"/>
          <w:left w:w="28" w:type="dxa"/>
          <w:bottom w:w="28" w:type="dxa"/>
          <w:right w:w="28" w:type="dxa"/>
        </w:tblCellMar>
      </w:tblPr>
      <w:tblGrid>
        <w:gridCol w:w="124"/>
        <w:gridCol w:w="256"/>
        <w:gridCol w:w="9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unanticipated serious safety concerns related to the use of our current and any future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introduction of new products or services offered by us or our competitors, or the release or publication of clinical trial results from competing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announcements of significant acquisitions, strategic partnerships, joint ventures, or capital commitments by us or our competitors;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effectively manage our growth;</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actual or anticipated variations in quarterly operating results;</w:t>
            </w:r>
          </w:p>
        </w:tc>
      </w:tr>
    </w:tbl>
    <w:tbl>
      <w:tblPr>
        <w:tblW w:w="2076" w:type="dxa"/>
        <w:jc w:val="left"/>
        <w:tblInd w:w="0" w:type="dxa"/>
        <w:tblLayout w:type="fixed"/>
        <w:tblCellMar>
          <w:top w:w="28" w:type="dxa"/>
          <w:left w:w="28" w:type="dxa"/>
          <w:bottom w:w="28" w:type="dxa"/>
          <w:right w:w="28" w:type="dxa"/>
        </w:tblCellMar>
      </w:tblPr>
      <w:tblGrid>
        <w:gridCol w:w="124"/>
        <w:gridCol w:w="256"/>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cash position;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meet the estimates and projections of the investment community or that we may otherwise provide to the public;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publication of research reports about us or our industry or positive or negative recommendations or withdrawal of research coverage by securities analysts;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market valuations of similar companies;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overall performance of the equity markets;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issuances of debt or equity securities;</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of our ADSs by us or our shareholders in the future, or the perception that such sales may occur;</w:t>
            </w:r>
          </w:p>
        </w:tc>
      </w:tr>
    </w:tbl>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volume of our ADSs;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accounting practices;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ineffectiveness of our internal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or other developments relating to proprietary rights, including patents, litigation matters, and our ability to obtain and maintain patent protection for our product candidates and technologies;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lawsuits, including patent or shareholder litigation;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geopolitical and macroeconomic conditions, including as a result of bank failures, actual or threatened tariffs, global pandemics, and various global conflicts;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events or factors, many of which are beyond our control; and</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of belief and any statement of assumptions underlying any of the foregoing.</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 xml:space="preserve">Although our annual financial statements were audited and reported upon by auditors who are currently subject to inspection by the Public Company Accounting Oversight Board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(“HFCA Act”) or the Accelerating Holding Foreign Companies Accountable Act (“AHFCA Act”) if the SEC subsequently identifies that our audit work is performed by an auditor that the PCAOB is unable to inspect or investigate completely, and as a result, U.S. national securities exchanges, such as the Nasdaq, may delist our securities. </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part of a continued regulatory focus in the United States on access to audit and other information, the United States passed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HFCA Act also provides that if an auditor of a U.S. listed company’s financial statements is not subject for three consecutive “non-inspection years” after the HFCA Act becomes effective, the SEC must prohibit the securities of such issuer from being traded on a U.S. national securities exchange. However, in June 2021, the U.S. Senate passed the AHFCA Act which amends the HFCA Act and requires the SEC to prohibit an issuer’s securities from trading on any U.S. stock exchanges if its auditor is subject to two “non-inspection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 accounting firms headquartered in Mainland China and in Hong Kong. Also, in December 2021, the SEC adopted final amendments to its rules implementing the HFCA Act and established procedures to identify issuers and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prohibit the trading of the securities of certain registrants as required by the HFCA Act. This rule stated that only the principal accountant, as defined by Rule 2-05 of Regulation S-X and PCAOB AS 1205, is “deemed ‘retained’ for purposes of Section 104(i) of the Sarbanes-Oxley Act and the SEC’s determination of whether the registrant should be a Commission Identified Issuer.” In December 2022, the PCAOB vacated its determination that it was unable to inspect and investigate PCAOB-registered public accounting firms in Mainland China and Hong Kong. As a result, until such time as the PCAOB issues a new determination, the SEC has determined that there are no issuers currently at risk of having their securities subject to a trading prohibition under the HFCA Act. However, while vacating those determinations, the PCAOB noted that, should it encounter any impediment to conducting an inspection or investigation of auditors in Mainland China or Hong Kong as a result of a position taken by any authority there, the PCAOB would act to immediately issue a new determination.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Ernst &amp; Young LLP, our independent registered public accounting firm is headquartered in the United States, is registered with the PCAOB and is an auditor of companies that are both registered with the SEC and publicly traded in the United States. The HFCA Act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the audit such as in our current situation. There are currently no such proposals.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Further, while we understand that there has been dialogue among the CSRC, the SEC and the PCAOB regarding the inspection of PCAOB-registered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principal shareholders and management own a significant percentage of our voting securities and will be able to exert significant control over matters subject to shareholder approval.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June 30, 2026, our executive officers, directors, large shareholders and their affiliates beneficially owned approximately 47% of the voting power of our outstanding share capital (excluding the 37,335,240 ordinary shares issued to our depositary bank for bulk issuances of ADSs reserved for future issuances upon (i) the exercise or vesting of awards granted under our equity incentive plans, and upon (ii) the sale of ADSs pursuant to the Amended and Restated ATM Sales Agreement). Therefore, these shareholders will have the ability to influence us through their ownership positions. These shareholders may be able to exert significant control over all matters requiring shareholder approval. For example, these shareholders, acting together, may be able to exert significant control over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Substantial future sales of our ADSs could cause the market price of our ADSs to drop significantly, even if our business is doing well.</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Sales of a substantial number of our ADSs in the public market could occur at any time. If our shareholders sell, or the market perceives that our shareholders intend to sell, substantial amounts of our ADSs in the public market, the market price of our ADSs could decline significantly.</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future we may issue ADSs or other securities if we need to raise additional capital and, in the event a large number of ADSs are sold in the public market, such sales could reduce the trading price of 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Future issuances under certain employee equity benefit plans could result in a reduction in the market price of our ADSs. We have filed and intend to continue to file registration statements on Form S-8 under the Securities Act registering the issuance of additional ordinary shares (or ADSs), including because the number of shares that may be issued under certain employee equity benefit plans automatically increase as a result of the operation of certain “evergreen” provisions in our equity plans. Shares (or ADSs) registered under these registration statements are available for sale in the public market subject to vesting arrangements and exercise of options and, in the case of our affiliates, the restrictions of Rule 144 under the Securities Act. If these additional shares or ADSs are sold, or if it is perceived that they will be sold, in the public market, the trading price of our ADSs could decline.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on August 6, 2025, we entered into the ATM Sales Agreement with the ATM Sales Agents, pursuant to which we may, from time to time, offer and sell our ADSs in at-the-market offerings, initially up to an aggregate offering price of $250.0 million. In September 2025, we sold 3,040,000 ADSs under the ATM Sales Agreement, for gross proceeds of approximately $58.5 million. In May 2026, we entered into the Amended and Restated Sales Agreement to remove the aggregate offering limit and filed a prospectus supplement registering an additional $150.0 million in ADSs available to be sold thereunder, for an aggregate offering price of up to $400.0 million (as of the date of this Quarterly Report, approximately $341.5 million remained available for sale). For additional information, see the section titled “Risk Factors — Risks Related to Our Limited Operating History, Financial Position and Capital Requirements — Raising additional capital may cause dilution to our shareholders, restrict our operations or require us to relinquish rights to our technologies or product candidates.”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Holders of our ADSs have fewer rights than our shareholders and must act through the depositary to exercise their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ADS holders may not be entitled to a jury trial with respect to claims arising under the deposit agreement, which could result in less favorable outcomes to the plaintiff(s) in any such action.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You may not receive distributions on our ordinary shares represented by the ADSs or any value for them if it is illegal or impractical to make them available to holders of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Although we do not have any present plans to declare or pay any dividends on our ordinary shares,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Your right to participate in any future rights offerings may be limited, which may cause dilution to your holdings.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Because we do not anticipate paying any cash dividends on our ADSs in the foreseeable future, capital appreciation, if any, will be your sole source of gains and you may never receive a return on your investment.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 our inability to pay our debts as they fall due in the ordinary course of business. In addition, our shareholders may, subject to our amended and restated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are subject to tax in the Cayman Islands and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 Cayman Islands corporation as of the date of this Quarterly Report. We are treated as an exempted company for Cayman Islands tax purposes. We are also treated as a U.S. corporation subject to U.S. federal income tax pursuant to Section 7874 of the Code, and are subject to U.S. federal income tax on our worldwide income. As a result, we are subject to tax both in the Cayman Islands and the United States, which could have a material adverse effect on our financial condition and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It is unlikely that we will pay any dividends on our ordinary shares or ADSs in the foreseeable future. However, dividends received by “non-U.S. holders” will be subject to U.S. withholding tax. In addition, because the ordinary shares or ADSs are treated as shares of a U.S. domestic corporation, the U.S. gift, estate and generation-skipping transfer tax rules generally apply to a non-U.S. holder of ordinary shares or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Each holder or prospective holder of our ordinary shares or ADSs should seek tax advice from an independent tax advisor based on such holder’s particular circumstances.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ability to use our net operating loss carryforwards and certain other tax attributes may be limited.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of December 31, 2025, we had $194.5 million and $275.8 million of U.S. federal and state net operating loss (“NOL”) carryforwards, respectively, available to offset future taxable income. Under U.S. federal income tax law, federal NOLs incurred in tax years beginning after December 31, 2017, may be carried forward indefinitely, but the deductibility of such federal NOLs is limited to 80% of taxable income for taxable years beginning after December 31, 2020. Any NOLs incurred in tax years beginning before December 31, 2017, may be used to offset up to 100% of future taxable income, but will begin to expire in varying amounts in 2036, unless previously utilized. Similar rules may apply under state tax laws. As of December 31, 2025, we also had aggregate U.S. federal and state R&amp;D credits of approximately $10.8 million and $2.4 million, respectively. U.S. federal R&amp;D credits carryforwards begin to expire in 2039 unless previously utilized. The state R&amp;D credit carryforwards do not expire. Our NOL carryforwards and R&amp;D credits are subject to review and possible adjustment by the U.S. and state tax authorities.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As a result, if we earn net taxable income, our ability to use our pre-change NOLs to offset U.S. federal taxable income may be subject to limitations, which could potentially result in increased future tax liability to us. At the state level, California has suspended the use of NOLs by certain taxpayers for tax years beginning on or after January 1, 2024, and before January 1, 2027. Other states may also suspend or otherwise place limitations on the use of NOLs, which could accelerate or permanently increase state taxes owed.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incur significantly increased costs as a result of operating as a company whose ADSs are publicly traded in the United States, and our management will be required to devote substantial time to new compliance initiatives.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public company in the United States,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However, these rules and regulations are often subject to varying interpretations, in many cases due to their lack of specificity, and, as a result, their application in practice may evolve over time as new guidance is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provided by regulatory and governing bodies. This could result in continuing uncertainty regarding compliance matters and higher costs necessitated by ongoing revisions to disclosure and governance practices.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Section 404 of the Sarbanes-Oxley Act, we are required to furnish a report by our senior management on our internal control over financial reporting. Additionally, we are required to include an attestation report on internal control over financial reporting issued by our independent registered public accounting firm. In this regard, we have dedicated internal resources, engaged outside consultants and adopted a detailed work plan to assess and document the adequacy of internal control over financial reporting. We will continue to incur increasing costs with regards to compliance with Section 404 in the future.</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Since shareholder rights under Cayman Islands law differ from those under U.S. law, you may have difficulty protecting your shareholder rights.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an exempted company limited by shares incorporated under the laws of the Cayman Islands. Our corporate affairs are governed by our amended and restated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Shareholders of Cayman Islands exempted companies like us have no general rights under Cayman Islands law to inspect corporate records, other than the amended and restated memorandum and articles of association and any special resolutions passed by such companies, and the registers of mortgages and charges of such companies. The Registrar of Companies of the Cayman Islands shall make available the list of the names of our current directors (and where applicable the current alternate directors of the Company) for inspection by any person upon payment of a fee by such person.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There are provisions in our amended and restated memorandum and articles of association that may make it difficult for a third party to acquire, or attempt to acquire, control of our company, even if a change of control was considered favorable by you and other shareholders. For example, as of the date of this Quarterly Report, our board of directors will have the authority to issue up to 100,000,000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charter documents will also contain other provisions that could have an anti-takeover effect, including:</w:t>
      </w:r>
    </w:p>
    <w:tbl>
      <w:tblPr>
        <w:tblW w:w="6351" w:type="dxa"/>
        <w:jc w:val="left"/>
        <w:tblInd w:w="0" w:type="dxa"/>
        <w:tblLayout w:type="fixed"/>
        <w:tblCellMar>
          <w:top w:w="28" w:type="dxa"/>
          <w:left w:w="28" w:type="dxa"/>
          <w:bottom w:w="28" w:type="dxa"/>
          <w:right w:w="28" w:type="dxa"/>
        </w:tblCellMar>
      </w:tblPr>
      <w:tblGrid>
        <w:gridCol w:w="124"/>
        <w:gridCol w:w="256"/>
        <w:gridCol w:w="5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7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one of our three classes of directors will be elected each year;</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will be entitled to remove directors only for cause;</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will not be permitted to take actions by written consent;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must give advance notice to nominate directors or submit proposals for consideration at annual general meetings.</w:t>
            </w:r>
          </w:p>
        </w:tc>
      </w:tr>
    </w:tbl>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You may be subject to limitations on transfers of your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General Risk Factors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Failure to build our finance infrastructure and improve our accounting systems and controls could impair our ability to comply with the financial reporting and internal controls requirements for publicly-traded companies.</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 over financial reporting to allow management to report on the effectiveness of our internal control over financial reporting in our Annual Report, as required by Section 404 of the Sarbanes-Oxley Act. In addition, our independent </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registered public accounting firm is required to attest to the effectiveness of our internal control over financial reporting.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anticipate that the continued process of building our accounting and financial functions and infrastructure will require significant additional professional fees, internal costs and management efforts. We expect that we will need to implement an improved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are unable to maintain effective internal controls, our business, financial position and results of operations could be adversely affected.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As a public company, we are subject to the requirements of Section 404 of the Sarbanes-Oxley Act, which require annual management assessments of the effectiveness of our internal control over financial reporting. In addition, our independent registered public accounting firm is required to attest to the effectiveness of our internal control over financial reporting.</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has in the past and may in the future identify material weaknesses or deficiencies. For example, we have previously identified material weaknesses in our internal control over financial reporting in the past, which we reported to have been fully remediated as of June 30, 2024. These reporting and other obligations place significant demands on our management and administrative and operational resources, including accounting resources.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If we identify any future material weaknesses and are unable to remediate such material weakness and conclude that our internal control over financial reporting is effective, or if in the future our independent registered public accounting firm determines we have a material weakness in our internal control over financial reporting, this could have an adverse effect on our business, financial position and results of operations.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Our disclosure controls and procedures may not prevent or detect all errors or acts of fraud.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are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Future changes in financial accounting standards or practices may cause adverse and unexpected revenue fluctuations and adversely affect our reported results of operations.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equity research analysts do not publish research or reports, or publish unfavorable research or reports, about us, our business or our market, the price and trading volume of our ADSs could decline.</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The trading market for our ADSs will be influenced by the research and reports that equity research analysts publish about us and our business. Equity research analysts may elect not to provide research coverage of our ADSs,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could be subject to securities class action litigation or material legal proceedings which could have a negative impact on our reputation or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 In addition, from time to time, we are and may in the future be involved in legal and regulatory proceedings or investigations concerning matters that arise in the ordinary course of our business. Such proceedings could result in significant fines or penalties, have an adverse impact on our reputation, business and financial condition or results or operations and divert the attention of our management from the operation of our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pStyle w:val="TextBody"/>
        <w:bidi w:val="0"/>
        <w:spacing w:before="0" w:after="240"/>
        <w:ind w:left="0" w:right="0" w:hanging="0"/>
        <w:jc w:val="left"/>
        <w:rPr>
          <w:rFonts w:ascii="Arial;Helvetica;sans-serif" w:hAnsi="Arial;Helvetica;sans-serif"/>
          <w:b/>
          <w:i/>
          <w:sz w:val="20"/>
        </w:rPr>
      </w:pPr>
      <w:r>
        <w:rPr>
          <w:rFonts w:ascii="Arial;Helvetica;sans-serif" w:hAnsi="Arial;Helvetica;san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160"/>
        <w:ind w:left="0" w:right="0" w:hanging="0"/>
        <w:jc w:val="left"/>
        <w:rPr>
          <w:rFonts w:ascii="Arial;Helvetica;sans-serif" w:hAnsi="Arial;Helvetica;sans-serif"/>
          <w:b/>
          <w:i/>
          <w:sz w:val="20"/>
        </w:rPr>
      </w:pPr>
      <w:r>
        <w:rPr>
          <w:rFonts w:ascii="Arial;Helvetica;sans-serif" w:hAnsi="Arial;Helvetica;sans-serif"/>
          <w:b/>
          <w:i/>
          <w:sz w:val="20"/>
        </w:rPr>
        <w:t>Our failure to meet Nasdaq’s continued listing requirements could result in a delisting of our ADSs.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If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pStyle w:val="TextBody"/>
        <w:bidi w:val="0"/>
        <w:spacing w:before="0" w:after="160"/>
        <w:ind w:left="0" w:right="0" w:hanging="0"/>
        <w:jc w:val="left"/>
        <w:rPr>
          <w:rFonts w:ascii="Arial;Helvetica;sans-serif" w:hAnsi="Arial;Helvetica;sans-serif"/>
          <w:b/>
          <w:sz w:val="20"/>
        </w:rPr>
      </w:pPr>
      <w:bookmarkStart w:id="910" w:name="Item2UnregisteredSalesofEquitySecurities"/>
      <w:bookmarkStart w:id="911" w:name="_66ded2ac_0147_496d_95ec_04b1c5b9e480"/>
      <w:bookmarkEnd w:id="910"/>
      <w:bookmarkEnd w:id="911"/>
      <w:r>
        <w:rPr>
          <w:rFonts w:ascii="Arial;Helvetica;sans-serif" w:hAnsi="Arial;Helvetica;sans-serif"/>
          <w:b/>
          <w:sz w:val="20"/>
        </w:rPr>
        <w:t>Item 2. Unregistered Sales of Equity Securities and Use of Proceeds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We did not have any unregistered sales of equity securities during the three months ended June 30, 2026.</w:t>
      </w:r>
    </w:p>
    <w:p>
      <w:pPr>
        <w:pStyle w:val="TextBody"/>
        <w:bidi w:val="0"/>
        <w:spacing w:before="0" w:after="160"/>
        <w:ind w:left="0" w:right="0" w:hanging="0"/>
        <w:jc w:val="left"/>
        <w:rPr>
          <w:rFonts w:ascii="Arial;Helvetica;sans-serif" w:hAnsi="Arial;Helvetica;sans-serif"/>
          <w:b/>
          <w:sz w:val="20"/>
        </w:rPr>
      </w:pPr>
      <w:bookmarkStart w:id="912" w:name="Item3DefaultsUponSeniorSecurities_556237"/>
      <w:bookmarkStart w:id="913" w:name="_39fcbd44_3356_430c_ac98_4b0690665cdc"/>
      <w:bookmarkEnd w:id="912"/>
      <w:bookmarkEnd w:id="913"/>
      <w:r>
        <w:rPr>
          <w:rFonts w:ascii="Arial;Helvetica;sans-serif" w:hAnsi="Arial;Helvetica;sans-serif"/>
          <w:b/>
          <w:sz w:val="20"/>
        </w:rPr>
        <w:t>Item 3. Defaults Upon Senior Securities.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160"/>
        <w:ind w:left="0" w:right="0" w:hanging="0"/>
        <w:jc w:val="left"/>
        <w:rPr>
          <w:rFonts w:ascii="Arial;Helvetica;sans-serif" w:hAnsi="Arial;Helvetica;sans-serif"/>
          <w:b/>
          <w:sz w:val="20"/>
        </w:rPr>
      </w:pPr>
      <w:bookmarkStart w:id="914" w:name="Item4MineSafetyDisclosures_5631"/>
      <w:bookmarkStart w:id="915" w:name="_8e106051_0b7d_4274_a44b_e06d51da34d4"/>
      <w:bookmarkEnd w:id="914"/>
      <w:bookmarkEnd w:id="915"/>
      <w:r>
        <w:rPr>
          <w:rFonts w:ascii="Arial;Helvetica;sans-serif" w:hAnsi="Arial;Helvetica;sans-serif"/>
          <w:b/>
          <w:sz w:val="20"/>
        </w:rPr>
        <w:t>Item 4. Mine Safety Disclosures.</w:t>
      </w:r>
    </w:p>
    <w:p>
      <w:pPr>
        <w:pStyle w:val="TextBody"/>
        <w:bidi w:val="0"/>
        <w:spacing w:before="0" w:after="160"/>
        <w:ind w:left="0" w:right="0" w:hanging="0"/>
        <w:jc w:val="left"/>
        <w:rPr>
          <w:rFonts w:ascii="Arial;Helvetica;sans-serif" w:hAnsi="Arial;Helvetica;sans-serif"/>
          <w:sz w:val="20"/>
        </w:rPr>
      </w:pPr>
      <w:r>
        <w:rPr>
          <w:rFonts w:ascii="Arial;Helvetica;sans-serif" w:hAnsi="Arial;Helvetica;sans-serif"/>
          <w:sz w:val="20"/>
        </w:rPr>
        <w:t>None.</w:t>
      </w:r>
    </w:p>
    <w:p>
      <w:pPr>
        <w:pStyle w:val="TextBody"/>
        <w:bidi w:val="0"/>
        <w:spacing w:before="0" w:after="160"/>
        <w:ind w:left="0" w:right="0" w:hanging="0"/>
        <w:jc w:val="left"/>
        <w:rPr>
          <w:rFonts w:ascii="Arial;Helvetica;sans-serif" w:hAnsi="Arial;Helvetica;sans-serif"/>
          <w:b/>
          <w:sz w:val="18"/>
        </w:rPr>
      </w:pPr>
      <w:bookmarkStart w:id="916" w:name="Item5OtherInformation_958351"/>
      <w:bookmarkStart w:id="917" w:name="_3fb92b0f_e28f_4edc_ba6b_85d595d4fc7d"/>
      <w:bookmarkEnd w:id="916"/>
      <w:bookmarkEnd w:id="917"/>
      <w:r>
        <w:rPr>
          <w:rFonts w:ascii="Arial;Helvetica;sans-serif" w:hAnsi="Arial;Helvetica;sans-serif"/>
          <w:b/>
          <w:sz w:val="18"/>
        </w:rPr>
        <w:t>Item 5. Other Information.</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z w:val="20"/>
        </w:rPr>
      </w:pPr>
      <w:bookmarkStart w:id="918" w:name="Item6Exhibits_663042"/>
      <w:bookmarkStart w:id="919" w:name="_ab73ff03_cf7b_4ddb_aaf2_71142c70854e"/>
      <w:bookmarkEnd w:id="918"/>
      <w:bookmarkEnd w:id="919"/>
      <w:r>
        <w:rPr>
          <w:rFonts w:ascii="Arial;Helvetica;sans-serif" w:hAnsi="Arial;Helvetica;sans-serif"/>
          <w:b/>
          <w:sz w:val="20"/>
        </w:rPr>
        <w:t>Item 6. Exhibits.</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Arial;Helvetica;sans-serif" w:hAnsi="Arial;Helvetica;sans-serif"/>
          <w:b/>
          <w:sz w:val="20"/>
        </w:rPr>
      </w:pPr>
      <w:r>
        <w:rPr>
          <w:rFonts w:ascii="Arial;Helvetica;sans-serif" w:hAnsi="Arial;Helvetica;sans-serif"/>
          <w:b/>
          <w:sz w:val="20"/>
        </w:rPr>
        <w:t>EXHIBIT INDEX</w:t>
      </w:r>
    </w:p>
    <w:tbl>
      <w:tblPr>
        <w:tblW w:w="10205" w:type="dxa"/>
        <w:jc w:val="left"/>
        <w:tblInd w:w="0" w:type="dxa"/>
        <w:tblLayout w:type="fixed"/>
        <w:tblCellMar>
          <w:top w:w="0" w:type="dxa"/>
          <w:left w:w="0" w:type="dxa"/>
          <w:bottom w:w="28" w:type="dxa"/>
          <w:right w:w="0" w:type="dxa"/>
        </w:tblCellMar>
      </w:tblPr>
      <w:tblGrid>
        <w:gridCol w:w="756"/>
        <w:gridCol w:w="226"/>
        <w:gridCol w:w="4451"/>
        <w:gridCol w:w="226"/>
        <w:gridCol w:w="526"/>
        <w:gridCol w:w="226"/>
        <w:gridCol w:w="706"/>
        <w:gridCol w:w="226"/>
        <w:gridCol w:w="661"/>
        <w:gridCol w:w="226"/>
        <w:gridCol w:w="891"/>
        <w:gridCol w:w="226"/>
        <w:gridCol w:w="858"/>
      </w:tblGrid>
      <w:tr>
        <w:trPr/>
        <w:tc>
          <w:tcPr>
            <w:tcW w:w="75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 xml:space="preserve">Exhibit </w:t>
              <w:br/>
              <w:t>Number</w:t>
            </w:r>
          </w:p>
        </w:tc>
        <w:tc>
          <w:tcPr>
            <w:tcW w:w="226" w:type="dxa"/>
            <w:tcBorders>
              <w:bottom w:val="single" w:sz="2" w:space="0" w:color="000000"/>
            </w:tcBorders>
            <w:vAlign w:val="center"/>
          </w:tcPr>
          <w:p>
            <w:pPr>
              <w:pStyle w:val="TableContents"/>
              <w:bidi w:val="0"/>
              <w:spacing w:before="0" w:after="0"/>
              <w:ind w:left="0" w:right="0" w:hanging="0"/>
              <w:jc w:val="left"/>
              <w:rPr/>
            </w:pPr>
            <w:r>
              <w:rPr/>
              <w:t>  ​</w:t>
            </w:r>
          </w:p>
        </w:tc>
        <w:tc>
          <w:tcPr>
            <w:tcW w:w="4451"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Description of Document</w:t>
            </w:r>
          </w:p>
        </w:tc>
        <w:tc>
          <w:tcPr>
            <w:tcW w:w="226" w:type="dxa"/>
            <w:tcBorders>
              <w:bottom w:val="single" w:sz="2" w:space="0" w:color="000000"/>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7"/>
              </w:rPr>
            </w:pPr>
            <w:r>
              <w:rPr>
                <w:rFonts w:ascii="Arial;Helvetica;sans-serif" w:hAnsi="Arial;Helvetica;sans-serif"/>
                <w:b/>
                <w:sz w:val="17"/>
              </w:rPr>
              <w:t>Form</w:t>
            </w:r>
          </w:p>
        </w:tc>
        <w:tc>
          <w:tcPr>
            <w:tcW w:w="226" w:type="dxa"/>
            <w:tcBorders>
              <w:bottom w:val="single" w:sz="2" w:space="0" w:color="000000"/>
            </w:tcBorders>
            <w:vAlign w:val="center"/>
          </w:tcPr>
          <w:p>
            <w:pPr>
              <w:pStyle w:val="TableContents"/>
              <w:bidi w:val="0"/>
              <w:spacing w:before="0" w:after="0"/>
              <w:ind w:left="0" w:right="0" w:hanging="0"/>
              <w:jc w:val="left"/>
              <w:rPr/>
            </w:pPr>
            <w:r>
              <w:rPr/>
              <w:t>  ​</w:t>
            </w:r>
          </w:p>
        </w:tc>
        <w:tc>
          <w:tcPr>
            <w:tcW w:w="706"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File No.</w:t>
            </w:r>
          </w:p>
        </w:tc>
        <w:tc>
          <w:tcPr>
            <w:tcW w:w="226" w:type="dxa"/>
            <w:tcBorders>
              <w:bottom w:val="single" w:sz="2" w:space="0" w:color="000000"/>
            </w:tcBorders>
            <w:vAlign w:val="center"/>
          </w:tcPr>
          <w:p>
            <w:pPr>
              <w:pStyle w:val="TableContents"/>
              <w:bidi w:val="0"/>
              <w:spacing w:before="0" w:after="0"/>
              <w:ind w:left="0" w:right="0" w:hanging="0"/>
              <w:jc w:val="left"/>
              <w:rPr/>
            </w:pPr>
            <w:r>
              <w:rPr/>
              <w:t>  ​</w:t>
            </w:r>
          </w:p>
        </w:tc>
        <w:tc>
          <w:tcPr>
            <w:tcW w:w="66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Exhibit</w:t>
            </w:r>
          </w:p>
        </w:tc>
        <w:tc>
          <w:tcPr>
            <w:tcW w:w="226" w:type="dxa"/>
            <w:tcBorders>
              <w:bottom w:val="single" w:sz="2" w:space="0" w:color="000000"/>
            </w:tcBorders>
            <w:vAlign w:val="center"/>
          </w:tcPr>
          <w:p>
            <w:pPr>
              <w:pStyle w:val="TableContents"/>
              <w:bidi w:val="0"/>
              <w:spacing w:before="0" w:after="0"/>
              <w:ind w:left="0" w:right="0" w:hanging="0"/>
              <w:jc w:val="left"/>
              <w:rPr/>
            </w:pPr>
            <w:r>
              <w:rPr/>
              <w:t>  ​</w:t>
            </w:r>
          </w:p>
        </w:tc>
        <w:tc>
          <w:tcPr>
            <w:tcW w:w="891"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Filing Date</w:t>
            </w:r>
          </w:p>
        </w:tc>
        <w:tc>
          <w:tcPr>
            <w:tcW w:w="226" w:type="dxa"/>
            <w:tcBorders>
              <w:bottom w:val="single" w:sz="2" w:space="0" w:color="000000"/>
            </w:tcBorders>
            <w:vAlign w:val="center"/>
          </w:tcPr>
          <w:p>
            <w:pPr>
              <w:pStyle w:val="TableContents"/>
              <w:bidi w:val="0"/>
              <w:spacing w:before="0" w:after="0"/>
              <w:ind w:left="0" w:right="0" w:hanging="0"/>
              <w:jc w:val="left"/>
              <w:rPr/>
            </w:pPr>
            <w:r>
              <w:rPr/>
              <w:t>  ​</w:t>
            </w:r>
          </w:p>
        </w:tc>
        <w:tc>
          <w:tcPr>
            <w:tcW w:w="858"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7"/>
              </w:rPr>
            </w:pPr>
            <w:r>
              <w:rPr>
                <w:rFonts w:ascii="Arial;Helvetica;sans-serif" w:hAnsi="Arial;Helvetica;sans-serif"/>
                <w:b/>
                <w:sz w:val="17"/>
              </w:rPr>
              <w:t xml:space="preserve">Filed </w:t>
              <w:br/>
              <w:t>Herewith</w:t>
            </w:r>
          </w:p>
        </w:tc>
      </w:tr>
      <w:tr>
        <w:trPr/>
        <w:tc>
          <w:tcPr>
            <w:tcW w:w="75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3.1</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r:id="rId3">
              <w:r>
                <w:rPr>
                  <w:rStyle w:val="InternetLink"/>
                  <w:rFonts w:ascii="Arial;Helvetica;sans-serif" w:hAnsi="Arial;Helvetica;sans-serif"/>
                  <w:b w:val="false"/>
                  <w:i w:val="false"/>
                  <w:caps w:val="false"/>
                  <w:smallCaps w:val="false"/>
                  <w:color w:val="0000FF"/>
                  <w:sz w:val="17"/>
                </w:rPr>
                <w:t>Amended and Restated Memorandum and Articles of Association of the Registrant.</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8-K</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001-41608</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3.1</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February 7, 2023</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color w:val="0000FF"/>
              </w:rPr>
            </w:pPr>
            <w:r>
              <w:rPr>
                <w:color w:val="0000FF"/>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4.1</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r:id="rId4">
              <w:r>
                <w:rPr>
                  <w:rStyle w:val="InternetLink"/>
                  <w:rFonts w:ascii="Arial;Helvetica;sans-serif" w:hAnsi="Arial;Helvetica;sans-serif"/>
                  <w:b w:val="false"/>
                  <w:i w:val="false"/>
                  <w:caps w:val="false"/>
                  <w:smallCaps w:val="false"/>
                  <w:color w:val="0000FF"/>
                  <w:sz w:val="17"/>
                </w:rPr>
                <w:t>Registrant’s Specimen Certificate for Ordinary Shares.</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S-1/A</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70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333-269200</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66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4.1</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89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January 30, 2023</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color w:val="0000FF"/>
              </w:rPr>
            </w:pPr>
            <w:r>
              <w:rPr>
                <w:color w:val="0000FF"/>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4.2</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r:id="rId5">
              <w:r>
                <w:rPr>
                  <w:rStyle w:val="InternetLink"/>
                  <w:rFonts w:ascii="Arial;Helvetica;sans-serif" w:hAnsi="Arial;Helvetica;sans-serif"/>
                  <w:b w:val="false"/>
                  <w:i w:val="false"/>
                  <w:caps w:val="false"/>
                  <w:smallCaps w:val="false"/>
                  <w:color w:val="0000FF"/>
                  <w:sz w:val="17"/>
                </w:rPr>
                <w:t>Form of Deposit Agreement.</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S-1/A</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70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333-269200</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66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4.2</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89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January 30, 2023</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color w:val="0000FF"/>
              </w:rPr>
            </w:pPr>
            <w:r>
              <w:rPr>
                <w:color w:val="0000FF"/>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4.3</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r:id="rId6">
              <w:r>
                <w:rPr>
                  <w:rStyle w:val="InternetLink"/>
                  <w:rFonts w:ascii="Arial;Helvetica;sans-serif" w:hAnsi="Arial;Helvetica;sans-serif"/>
                  <w:b w:val="false"/>
                  <w:i w:val="false"/>
                  <w:caps w:val="false"/>
                  <w:smallCaps w:val="false"/>
                  <w:color w:val="0000FF"/>
                  <w:sz w:val="17"/>
                </w:rPr>
                <w:t>Form of American Depositary Receipt evidencing American Depositary Shares (included in Exhibit 4.2).</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S-1/A</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706"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333-269200</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66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4.3</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891"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January 30, 2023</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color w:val="0000FF"/>
              </w:rPr>
            </w:pPr>
            <w:r>
              <w:rPr>
                <w:color w:val="0000FF"/>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70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66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89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w:anchor="gpcr-20260630xex10d1.htm">
              <w:r>
                <w:rPr>
                  <w:rStyle w:val="InternetLink"/>
                  <w:rFonts w:ascii="Arial;Helvetica;sans-serif" w:hAnsi="Arial;Helvetica;sans-serif"/>
                  <w:b w:val="false"/>
                  <w:i w:val="false"/>
                  <w:caps w:val="false"/>
                  <w:smallCaps w:val="false"/>
                  <w:sz w:val="20"/>
                </w:rPr>
                <w:t>Offer Letter, by and between Structure Therapeutics USA Inc. and Matt Lang, dated March 17, 2026.</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70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66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89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color w:val="0000FF"/>
              </w:rPr>
            </w:pPr>
            <w:r>
              <w:rPr>
                <w:color w:val="0000FF"/>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706"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66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center"/>
              <w:rPr/>
            </w:pPr>
            <w:r>
              <w:rPr/>
              <w:t>​</w:t>
            </w:r>
          </w:p>
        </w:tc>
        <w:tc>
          <w:tcPr>
            <w:tcW w:w="891" w:type="dxa"/>
            <w:tcBorders/>
            <w:tcMar>
              <w:bottom w:w="0" w:type="dxa"/>
            </w:tcMar>
            <w:vAlign w:val="center"/>
          </w:tcPr>
          <w:p>
            <w:pPr>
              <w:pStyle w:val="TableContents"/>
              <w:bidi w:val="0"/>
              <w:spacing w:before="0" w:after="0"/>
              <w:ind w:left="0" w:right="0" w:hanging="0"/>
              <w:jc w:val="center"/>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31.1</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w:anchor="gpcr-20260630xex31d1.htm">
              <w:r>
                <w:rPr>
                  <w:rStyle w:val="InternetLink"/>
                  <w:rFonts w:ascii="Arial;Helvetica;sans-serif" w:hAnsi="Arial;Helvetica;san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31.2</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w:anchor="gpcr-20260630xex31d2.htm">
              <w:r>
                <w:rPr>
                  <w:rStyle w:val="InternetLink"/>
                  <w:rFonts w:ascii="Arial;Helvetica;sans-serif" w:hAnsi="Arial;Helvetica;san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32.1˄</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w:anchor="gpcr-20260630xex32d1.htm">
              <w:r>
                <w:rPr>
                  <w:rStyle w:val="InternetLink"/>
                  <w:rFonts w:ascii="Arial;Helvetica;sans-serif" w:hAnsi="Arial;Helvetica;sans-serif"/>
                  <w:b w:val="false"/>
                  <w:i w:val="false"/>
                  <w:caps w:val="false"/>
                  <w:smallCaps w:val="false"/>
                  <w:sz w:val="20"/>
                </w:rPr>
                <w:t>Certification of Principal Executive Officer pursuant to 18 U.S.C. Section 1350, as adopted pursuant to Section 906 of the Sarbanes-Oxley Act of 2002.</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color w:val="0000FF"/>
              </w:rPr>
            </w:pPr>
            <w:r>
              <w:rPr>
                <w:color w:val="0000FF"/>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left"/>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32.2˄</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hyperlink w:anchor="gpcr-20260630xex32d2.htm">
              <w:r>
                <w:rPr>
                  <w:rStyle w:val="InternetLink"/>
                  <w:rFonts w:ascii="Arial;Helvetica;sans-serif" w:hAnsi="Arial;Helvetica;sans-serif"/>
                  <w:b w:val="false"/>
                  <w:i w:val="false"/>
                  <w:caps w:val="false"/>
                  <w:smallCaps w:val="false"/>
                  <w:sz w:val="20"/>
                </w:rPr>
                <w:t>Certification of Principal Financial Officer pursuant to 18 U.S.C. Section 1350, as adopted pursuant to Section 906 of the Sarbanes-Oxley Act of 2002.</w:t>
              </w:r>
            </w:hyperlink>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101.INS</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Inline XBRL Instance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101.SCH</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Inline XBRL Taxonomy Extension Schema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101.CAL</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Inline XBRL Taxonomy Extension Calculation Linkbase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101.DEF</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Inline XBRL Taxonomy Extension Definition Linkbase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101.LAB</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Inline XBRL Taxonomy Extension Labels Linkbase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101.PRE</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Inline XBRL Taxonomy Extension Presentation Linkbase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r>
        <w:trPr/>
        <w:tc>
          <w:tcPr>
            <w:tcW w:w="75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pPr>
            <w:r>
              <w:rPr/>
              <w:t>​</w:t>
            </w:r>
          </w:p>
        </w:tc>
      </w:tr>
      <w:tr>
        <w:trPr/>
        <w:tc>
          <w:tcPr>
            <w:tcW w:w="756"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104</w:t>
            </w:r>
          </w:p>
        </w:tc>
        <w:tc>
          <w:tcPr>
            <w:tcW w:w="226" w:type="dxa"/>
            <w:tcBorders/>
            <w:tcMar>
              <w:bottom w:w="0" w:type="dxa"/>
            </w:tcMar>
            <w:vAlign w:val="center"/>
          </w:tcPr>
          <w:p>
            <w:pPr>
              <w:pStyle w:val="TableContents"/>
              <w:bidi w:val="0"/>
              <w:spacing w:before="0" w:after="0"/>
              <w:ind w:left="0" w:right="0" w:hanging="0"/>
              <w:jc w:val="left"/>
              <w:rPr/>
            </w:pPr>
            <w:r>
              <w:rPr/>
              <w:t>​</w:t>
            </w:r>
          </w:p>
        </w:tc>
        <w:tc>
          <w:tcPr>
            <w:tcW w:w="4451" w:type="dxa"/>
            <w:tcBorders/>
            <w:tcMar>
              <w:bottom w:w="0" w:type="dxa"/>
            </w:tcMar>
            <w:vAlign w:val="center"/>
          </w:tcPr>
          <w:p>
            <w:pPr>
              <w:pStyle w:val="TableContents"/>
              <w:bidi w:val="0"/>
              <w:spacing w:before="0" w:after="0"/>
              <w:ind w:left="0" w:right="0" w:hanging="0"/>
              <w:jc w:val="left"/>
              <w:rPr>
                <w:rFonts w:ascii="Arial;Helvetica;sans-serif" w:hAnsi="Arial;Helvetica;sans-serif"/>
                <w:sz w:val="17"/>
              </w:rPr>
            </w:pPr>
            <w:r>
              <w:rPr>
                <w:rFonts w:ascii="Arial;Helvetica;sans-serif" w:hAnsi="Arial;Helvetica;sans-serif"/>
                <w:sz w:val="17"/>
              </w:rPr>
              <w:t>Cover Page Interactive Data File (embedded within the Inline XBRL document)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706"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66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91" w:type="dxa"/>
            <w:tcBorders/>
            <w:tcMar>
              <w:bottom w:w="0" w:type="dxa"/>
            </w:tcMar>
            <w:vAlign w:val="center"/>
          </w:tcPr>
          <w:p>
            <w:pPr>
              <w:pStyle w:val="TableContents"/>
              <w:bidi w:val="0"/>
              <w:spacing w:before="0" w:after="0"/>
              <w:ind w:left="0" w:right="0" w:hanging="0"/>
              <w:jc w:val="left"/>
              <w:rPr/>
            </w:pPr>
            <w:r>
              <w:rPr/>
              <w:t>​</w:t>
            </w:r>
          </w:p>
        </w:tc>
        <w:tc>
          <w:tcPr>
            <w:tcW w:w="226" w:type="dxa"/>
            <w:tcBorders/>
            <w:tcMar>
              <w:bottom w:w="0" w:type="dxa"/>
            </w:tcMar>
            <w:vAlign w:val="center"/>
          </w:tcPr>
          <w:p>
            <w:pPr>
              <w:pStyle w:val="TableContents"/>
              <w:bidi w:val="0"/>
              <w:spacing w:before="0" w:after="0"/>
              <w:ind w:left="0" w:right="0" w:hanging="0"/>
              <w:jc w:val="left"/>
              <w:rPr/>
            </w:pPr>
            <w:r>
              <w:rPr/>
              <w:t>​</w:t>
            </w:r>
          </w:p>
        </w:tc>
        <w:tc>
          <w:tcPr>
            <w:tcW w:w="858"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7"/>
              </w:rPr>
            </w:pPr>
            <w:r>
              <w:rPr>
                <w:rFonts w:ascii="Arial;Helvetica;sans-serif" w:hAnsi="Arial;Helvetica;sans-serif"/>
                <w:sz w:val="17"/>
              </w:rPr>
              <w:t>X</w:t>
            </w:r>
          </w:p>
        </w:tc>
      </w:tr>
    </w:tbl>
    <w:p>
      <w:pPr>
        <w:pStyle w:val="TextBody"/>
        <w:bidi w:val="0"/>
        <w:spacing w:before="0" w:after="60"/>
        <w:ind w:left="0" w:right="0" w:hanging="0"/>
        <w:jc w:val="left"/>
        <w:rPr>
          <w:rFonts w:ascii="Arial;Helvetica;sans-serif" w:hAnsi="Arial;Helvetica;sans-serif"/>
          <w:sz w:val="16"/>
          <w:shd w:fill="FFFFFF" w:val="clear"/>
        </w:rPr>
      </w:pPr>
      <w:r>
        <w:rPr>
          <w:rFonts w:ascii="Arial;Helvetica;sans-serif" w:hAnsi="Arial;Helvetica;sans-serif"/>
          <w:sz w:val="16"/>
          <w:shd w:fill="FFFFFF" w:val="clear"/>
        </w:rPr>
        <w:t>+   Indicates management contract or compensatory plan</w:t>
      </w:r>
    </w:p>
    <w:p>
      <w:pPr>
        <w:pStyle w:val="TextBody"/>
        <w:bidi w:val="0"/>
        <w:spacing w:before="0" w:after="0"/>
        <w:ind w:left="0" w:right="0" w:hanging="0"/>
        <w:jc w:val="left"/>
        <w:rPr>
          <w:rFonts w:ascii="Arial;Helvetica;sans-serif" w:hAnsi="Arial;Helvetica;sans-serif"/>
          <w:sz w:val="16"/>
        </w:rPr>
      </w:pPr>
      <w:r>
        <w:rPr>
          <w:rFonts w:ascii="Arial;Helvetica;sans-serif" w:hAnsi="Arial;Helvetica;sans-serif"/>
          <w:sz w:val="16"/>
        </w:rPr>
        <w:t>˄ The certifications attached as Exhibits 32.1 and 32.2 accompanying this Quarterly Report on Form 10-Q are not deemed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Arial;Helvetica;sans-serif" w:hAnsi="Arial;Helvetica;sans-serif"/>
          <w:b/>
          <w:sz w:val="20"/>
        </w:rPr>
      </w:pPr>
      <w:bookmarkStart w:id="920" w:name="Signatures"/>
      <w:bookmarkStart w:id="921" w:name="_7ea3e89f_51e3_4455_9c79_381526635252"/>
      <w:bookmarkEnd w:id="920"/>
      <w:bookmarkEnd w:id="921"/>
      <w:r>
        <w:rPr>
          <w:rFonts w:ascii="Arial;Helvetica;sans-serif" w:hAnsi="Arial;Helvetica;sans-serif"/>
          <w:b/>
          <w:sz w:val="20"/>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Date: August 6, 2026</w:t>
      </w:r>
    </w:p>
    <w:tbl>
      <w:tblPr>
        <w:tblW w:w="4337" w:type="dxa"/>
        <w:jc w:val="left"/>
        <w:tblInd w:w="0" w:type="dxa"/>
        <w:tblLayout w:type="fixed"/>
        <w:tblCellMar>
          <w:top w:w="0" w:type="dxa"/>
          <w:left w:w="0" w:type="dxa"/>
          <w:bottom w:w="0" w:type="dxa"/>
          <w:right w:w="0" w:type="dxa"/>
        </w:tblCellMar>
      </w:tblPr>
      <w:tblGrid>
        <w:gridCol w:w="421"/>
        <w:gridCol w:w="3916"/>
      </w:tblGrid>
      <w:tr>
        <w:trPr/>
        <w:tc>
          <w:tcPr>
            <w:tcW w:w="421"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4337" w:type="dxa"/>
            <w:gridSpan w:val="2"/>
            <w:tcBorders/>
            <w:vAlign w:val="center"/>
          </w:tcPr>
          <w:p>
            <w:pPr>
              <w:pStyle w:val="TableContents"/>
              <w:bidi w:val="0"/>
              <w:spacing w:before="0" w:after="120"/>
              <w:ind w:left="0" w:right="0" w:hanging="0"/>
              <w:jc w:val="left"/>
              <w:rPr>
                <w:rFonts w:ascii="Arial;Helvetica;sans-serif" w:hAnsi="Arial;Helvetica;sans-serif"/>
                <w:b/>
                <w:sz w:val="20"/>
              </w:rPr>
            </w:pPr>
            <w:r>
              <w:rPr>
                <w:rFonts w:ascii="Arial;Helvetica;sans-serif" w:hAnsi="Arial;Helvetica;sans-serif"/>
                <w:b/>
                <w:sz w:val="20"/>
              </w:rPr>
              <w:t>STRUCTURE THERAPEUTICS INC.</w:t>
            </w:r>
          </w:p>
        </w:tc>
      </w:tr>
      <w:tr>
        <w:trPr/>
        <w:tc>
          <w:tcPr>
            <w:tcW w:w="421" w:type="dxa"/>
            <w:tcBorders/>
            <w:vAlign w:val="center"/>
          </w:tcPr>
          <w:p>
            <w:pPr>
              <w:pStyle w:val="TableContents"/>
              <w:bidi w:val="0"/>
              <w:spacing w:before="0" w:after="120"/>
              <w:ind w:left="0" w:right="0" w:hanging="0"/>
              <w:jc w:val="center"/>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/s/ Raymond Stevens</w:t>
            </w:r>
          </w:p>
        </w:tc>
      </w:tr>
      <w:tr>
        <w:trPr/>
        <w:tc>
          <w:tcPr>
            <w:tcW w:w="421" w:type="dxa"/>
            <w:tcBorders/>
            <w:vAlign w:val="center"/>
          </w:tcPr>
          <w:p>
            <w:pPr>
              <w:pStyle w:val="TableContents"/>
              <w:bidi w:val="0"/>
              <w:spacing w:before="0" w:after="120"/>
              <w:ind w:left="0" w:right="0" w:hanging="0"/>
              <w:jc w:val="center"/>
              <w:rPr/>
            </w:pPr>
            <w:r>
              <w:rPr/>
              <w:t>​</w:t>
            </w:r>
          </w:p>
        </w:tc>
        <w:tc>
          <w:tcPr>
            <w:tcW w:w="39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Raymond Stevens, Ph.D.</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Chief Executive Officer</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Executive Officer)</w:t>
            </w:r>
          </w:p>
        </w:tc>
      </w:tr>
      <w:tr>
        <w:trPr/>
        <w:tc>
          <w:tcPr>
            <w:tcW w:w="421" w:type="dxa"/>
            <w:tcBorders/>
            <w:vAlign w:val="center"/>
          </w:tcPr>
          <w:p>
            <w:pPr>
              <w:pStyle w:val="TableContents"/>
              <w:bidi w:val="0"/>
              <w:spacing w:before="0" w:after="0"/>
              <w:ind w:left="0" w:right="0" w:hanging="0"/>
              <w:jc w:val="center"/>
              <w:rPr/>
            </w:pPr>
            <w:r>
              <w:rPr/>
              <w:t>​</w:t>
            </w:r>
          </w:p>
        </w:tc>
        <w:tc>
          <w:tcPr>
            <w:tcW w:w="3916"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120"/>
              <w:ind w:left="0" w:right="0" w:hanging="0"/>
              <w:jc w:val="center"/>
              <w:rPr>
                <w:rFonts w:ascii="Arial;Helvetica;sans-serif" w:hAnsi="Arial;Helvetica;sans-serif"/>
                <w:sz w:val="20"/>
              </w:rPr>
            </w:pPr>
            <w:r>
              <w:rPr>
                <w:rFonts w:ascii="Arial;Helvetica;sans-serif" w:hAnsi="Arial;Helvetica;sans-serif"/>
                <w:sz w:val="20"/>
              </w:rPr>
              <w:t>By:</w:t>
            </w:r>
          </w:p>
        </w:tc>
        <w:tc>
          <w:tcPr>
            <w:tcW w:w="3916" w:type="dxa"/>
            <w:tcBorders>
              <w:bottom w:val="single" w:sz="2" w:space="0" w:color="000000"/>
            </w:tcBorders>
            <w:tcMar>
              <w:bottom w:w="28" w:type="dxa"/>
            </w:tcMar>
            <w:vAlign w:val="center"/>
          </w:tcPr>
          <w:p>
            <w:pPr>
              <w:pStyle w:val="TableContents"/>
              <w:bidi w:val="0"/>
              <w:spacing w:before="0" w:after="120"/>
              <w:ind w:left="0" w:right="0" w:hanging="0"/>
              <w:jc w:val="left"/>
              <w:rPr>
                <w:rFonts w:ascii="Arial;Helvetica;sans-serif" w:hAnsi="Arial;Helvetica;sans-serif"/>
                <w:sz w:val="20"/>
              </w:rPr>
            </w:pPr>
            <w:r>
              <w:rPr>
                <w:rFonts w:ascii="Arial;Helvetica;sans-serif" w:hAnsi="Arial;Helvetica;sans-serif"/>
                <w:sz w:val="20"/>
              </w:rPr>
              <w:t>/s/ Jun Yoon</w:t>
            </w:r>
          </w:p>
        </w:tc>
      </w:tr>
      <w:tr>
        <w:trPr/>
        <w:tc>
          <w:tcPr>
            <w:tcW w:w="421" w:type="dxa"/>
            <w:tcBorders/>
            <w:vAlign w:val="center"/>
          </w:tcPr>
          <w:p>
            <w:pPr>
              <w:pStyle w:val="TableContents"/>
              <w:bidi w:val="0"/>
              <w:spacing w:before="0" w:after="120"/>
              <w:ind w:left="0" w:right="0" w:hanging="0"/>
              <w:jc w:val="center"/>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Jun Yoon</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Chief Financial Officer</w:t>
            </w:r>
          </w:p>
          <w:p>
            <w:pPr>
              <w:pStyle w:val="TableContents"/>
              <w:bidi w:val="0"/>
              <w:spacing w:before="0" w:after="0"/>
              <w:ind w:left="0" w:right="0" w:hanging="0"/>
              <w:jc w:val="left"/>
              <w:rPr>
                <w:rFonts w:ascii="Arial;Helvetica;sans-serif" w:hAnsi="Arial;Helvetica;sans-serif"/>
                <w:i/>
                <w:sz w:val="20"/>
              </w:rPr>
            </w:pPr>
            <w:r>
              <w:rPr>
                <w:rFonts w:ascii="Arial;Helvetica;sans-serif" w:hAnsi="Arial;Helvetica;sans-serif"/>
                <w:i/>
                <w:sz w:val="20"/>
              </w:rPr>
              <w:t>(Principal Financial and Accounting Officer)</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Helvetica;sans-serif" w:hAnsi="Arial;Helvetica;sans-serif"/>
          <w:caps/>
          <w:sz w:val="20"/>
        </w:rPr>
      </w:pPr>
      <w:r>
        <w:rPr>
          <w:rFonts w:ascii="Arial;Helvetica;sans-serif" w:hAnsi="Arial;Helvetica;sans-serif"/>
          <w:caps/>
          <w:sz w:val="20"/>
        </w:rPr>
        <w:t>121</w:t>
      </w:r>
    </w:p>
    <w:p>
      <w:pPr>
        <w:pStyle w:val="TextBody"/>
        <w:bidi w:val="0"/>
        <w:spacing w:before="0" w:after="240"/>
        <w:ind w:left="0" w:right="0" w:hanging="0"/>
        <w:jc w:val="right"/>
        <w:rPr>
          <w:rFonts w:ascii="Times New Roman;Times;serif" w:hAnsi="Times New Roman;Times;serif"/>
          <w:b/>
          <w:sz w:val="20"/>
        </w:rPr>
      </w:pPr>
      <w:bookmarkStart w:id="922" w:name="gpcr-20260630xex10d1.htm"/>
      <w:bookmarkStart w:id="923" w:name="ksgpcr20260630xex10d1"/>
      <w:bookmarkEnd w:id="922"/>
      <w:bookmarkEnd w:id="923"/>
      <w:r>
        <w:rPr>
          <w:rFonts w:ascii="Times New Roman;Times;serif" w:hAnsi="Times New Roman;Times;serif"/>
          <w:b/>
          <w:sz w:val="20"/>
        </w:rPr>
        <w:t>Exhibit 10.1</w:t>
      </w:r>
      <w:r>
        <w:br w:type="page"/>
      </w:r>
    </w:p>
    <w:p>
      <w:pPr>
        <w:pStyle w:val="TextBody"/>
        <w:bidi w:val="0"/>
        <w:spacing w:before="0" w:after="100"/>
        <w:ind w:left="0" w:right="0" w:hanging="0"/>
        <w:jc w:val="center"/>
        <w:rPr>
          <w:color w:val="222222"/>
        </w:rPr>
      </w:pPr>
      <w:r>
        <w:rPr>
          <w:color w:val="222222"/>
        </w:rPr>
        <w:drawing>
          <wp:inline distT="0" distB="0" distL="0" distR="0">
            <wp:extent cx="2339340" cy="648335"/>
            <wp:effectExtent l="0" t="0" r="0" b="0"/>
            <wp:docPr id="2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 descr=""/>
                    <pic:cNvPicPr>
                      <a:picLocks noChangeAspect="1" noChangeArrowheads="1"/>
                    </pic:cNvPicPr>
                  </pic:nvPicPr>
                  <pic:blipFill>
                    <a:blip r:embed="rId7"/>
                    <a:stretch>
                      <a:fillRect/>
                    </a:stretch>
                  </pic:blipFill>
                  <pic:spPr bwMode="auto">
                    <a:xfrm>
                      <a:off x="0" y="0"/>
                      <a:ext cx="2339340" cy="64833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color w:val="777270"/>
          <w:sz w:val="20"/>
        </w:rPr>
      </w:pPr>
      <w:r>
        <w:rPr>
          <w:rFonts w:ascii="Times New Roman;Times;serif" w:hAnsi="Times New Roman;Times;serif"/>
          <w:color w:val="777270"/>
          <w:sz w:val="20"/>
        </w:rPr>
        <w:t>TUESDAY, MARCH 17, 2026</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pPr>
      <w:r>
        <w:rPr/>
        <w:t>​</w:t>
      </w:r>
    </w:p>
    <w:p>
      <w:pPr>
        <w:pStyle w:val="TextBody"/>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Re:Employment Terms</w:t>
      </w:r>
    </w:p>
    <w:p>
      <w:pPr>
        <w:pStyle w:val="TextBody"/>
        <w:bidi w:val="0"/>
        <w:spacing w:before="0" w:after="240"/>
        <w:ind w:left="0" w:right="0" w:hanging="10"/>
        <w:jc w:val="left"/>
        <w:rPr>
          <w:rFonts w:ascii="Times New Roman;Times;serif" w:hAnsi="Times New Roman;Times;serif"/>
          <w:color w:val="222222"/>
          <w:sz w:val="20"/>
        </w:rPr>
      </w:pPr>
      <w:r>
        <w:rPr>
          <w:rFonts w:ascii="Times New Roman;Times;serif" w:hAnsi="Times New Roman;Times;serif"/>
          <w:color w:val="222222"/>
          <w:sz w:val="20"/>
        </w:rPr>
        <w:t>Dear Matt: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22222"/>
          <w:sz w:val="20"/>
        </w:rPr>
        <w:t>Structure Therapeutics USA Inc. (the “</w:t>
      </w:r>
      <w:r>
        <w:rPr>
          <w:rFonts w:ascii="Times New Roman;Times;serif" w:hAnsi="Times New Roman;Times;serif"/>
          <w:b/>
          <w:i/>
          <w:color w:val="222222"/>
          <w:sz w:val="20"/>
        </w:rPr>
        <w:t>Company</w:t>
      </w:r>
      <w:r>
        <w:rPr>
          <w:rFonts w:ascii="Times New Roman;Times;serif" w:hAnsi="Times New Roman;Times;serif"/>
          <w:i/>
          <w:color w:val="222222"/>
          <w:sz w:val="20"/>
        </w:rPr>
        <w:t>ˮ</w:t>
      </w:r>
      <w:r>
        <w:rPr>
          <w:rFonts w:ascii="Times New Roman;Times;serif" w:hAnsi="Times New Roman;Times;serif"/>
          <w:color w:val="222222"/>
          <w:sz w:val="20"/>
        </w:rPr>
        <w:t>) is pleased to offer you employment under the terms set forth in this offer letter agreement (the “</w:t>
      </w:r>
      <w:r>
        <w:rPr>
          <w:rFonts w:ascii="Times New Roman;Times;serif" w:hAnsi="Times New Roman;Times;serif"/>
          <w:b/>
          <w:i/>
          <w:color w:val="222222"/>
          <w:sz w:val="20"/>
        </w:rPr>
        <w:t>Agreement</w:t>
      </w:r>
      <w:r>
        <w:rPr>
          <w:rFonts w:ascii="Times New Roman;Times;serif" w:hAnsi="Times New Roman;Times;serif"/>
          <w:i/>
          <w:color w:val="222222"/>
          <w:sz w:val="20"/>
        </w:rPr>
        <w:t>ˮ</w:t>
      </w:r>
      <w:r>
        <w:rPr>
          <w:rFonts w:ascii="Times New Roman;Times;serif" w:hAnsi="Times New Roman;Times;serif"/>
          <w:color w:val="222222"/>
          <w:sz w:val="20"/>
        </w:rPr>
        <w:t>). If you wish to accept employment at the Company under the terms described in this Agreement, we would like you to start no later than April 15, 2026. Your actual employment start date will be referred to herein as the “</w:t>
      </w:r>
      <w:r>
        <w:rPr>
          <w:rFonts w:ascii="Times New Roman;Times;serif" w:hAnsi="Times New Roman;Times;serif"/>
          <w:b/>
          <w:i/>
          <w:color w:val="222222"/>
          <w:sz w:val="20"/>
        </w:rPr>
        <w:t>Start Date</w:t>
      </w:r>
      <w:r>
        <w:rPr>
          <w:rFonts w:ascii="Times New Roman;Times;serif" w:hAnsi="Times New Roman;Times;serif"/>
          <w:i/>
          <w:color w:val="222222"/>
          <w:sz w:val="20"/>
        </w:rPr>
        <w:t>ˮ</w:t>
      </w:r>
      <w:r>
        <w:rPr>
          <w:rFonts w:ascii="Times New Roman;Times;serif" w:hAnsi="Times New Roman;Times;serif"/>
          <w:color w:val="222222"/>
          <w:sz w:val="20"/>
        </w:rPr>
        <w:t>.</w:t>
      </w:r>
    </w:p>
    <w:p>
      <w:pPr>
        <w:pStyle w:val="TextBody"/>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Position</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Your position will be Chief Operating Officer and General Counsel, responsible for performing such duties as are assigned to you from time to time, reporting to Raymond Stevens, Chief Executive Officer. Your primary office location will be the Companyʼs offices in South San Francisco, California, although the Company reserves the right to reasonably require you to perform your duties at places other than your primary office location from time to time and to require reasonable business travel. Your position will be officer level and you will be entitled to defense, indemnity and D&amp;O insurance coverage to the same extent and at the same levels as other officers in the Company.</w:t>
      </w:r>
    </w:p>
    <w:p>
      <w:pPr>
        <w:pStyle w:val="TextBody"/>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Compensation and Benefits</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Your base salary will be paid at the rate of $560,000.00 per year, less payroll deductions and withholdings, paid on the Companyʼs normal payroll schedule. You will also be eligible to earn an annual discretionary bonus with a target payout percentage of 40% of your annual earned base salary. The amount of this bonus will be determined in the sole discretion of the Company and based, in part, on your performance and the performance of the Company during the calendar year, as well as any other criteria the Company deems relevant. The Company will pay you this bonus, if any, no later than March 15th of the following calendar year. The bonus is not earned until paid and no pro-rated amount will be paid if your employment terminates for any reason prior to the payment date. As part of this offer,</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Company agrees that your annual discretionary bonus for 2026, if any, will not be prorated based on your Start Date.</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During your employment, you will be eligible to participate in the benefits plans offered to similarly situated employees by the Company from time to time, subject to plan terms and generally applicable Company policies. Currently, exempt employees do not accrue vacation and are not subject to any limits in how much vacation they take per year. Supervisors will approve paid vacation requests based on the employeeʼs progress on work goals or milestones, status of projects, fairness to the working team, and productivity and efficiency of the employee. An employeeʼs ability to take vacation is not a form of additional wages for services performed, but rather evidences the Companyʼs commitment to provide exempt employees with a flexible work schedule. Since vacation is not allotted or accrued, there is no “unusedˮ vacation time to be carried over from one year to the next nor paid out upon termination. A full description of current benefits is available for your review. The Company may change compensation and benefits from time to time in its discretion.</w:t>
      </w:r>
    </w:p>
    <w:p>
      <w:pPr>
        <w:pStyle w:val="TextBody"/>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22222"/>
          <w:sz w:val="20"/>
        </w:rPr>
        <w:t>Subject to approval by the Board of Directors (the “</w:t>
      </w:r>
      <w:r>
        <w:rPr>
          <w:rFonts w:ascii="Times New Roman;Times;serif" w:hAnsi="Times New Roman;Times;serif"/>
          <w:b/>
          <w:i/>
          <w:color w:val="222222"/>
          <w:sz w:val="20"/>
        </w:rPr>
        <w:t>Board</w:t>
      </w:r>
      <w:r>
        <w:rPr>
          <w:rFonts w:ascii="Times New Roman;Times;serif" w:hAnsi="Times New Roman;Times;serif"/>
          <w:i/>
          <w:color w:val="222222"/>
          <w:sz w:val="20"/>
        </w:rPr>
        <w:t>ˮ</w:t>
      </w:r>
      <w:r>
        <w:rPr>
          <w:rFonts w:ascii="Times New Roman;Times;serif" w:hAnsi="Times New Roman;Times;serif"/>
          <w:color w:val="222222"/>
          <w:sz w:val="20"/>
        </w:rPr>
        <w:t>) or the Compensation Committee of Structure Therapeutics Inc. (the “</w:t>
      </w:r>
      <w:r>
        <w:rPr>
          <w:rFonts w:ascii="Times New Roman;Times;serif" w:hAnsi="Times New Roman;Times;serif"/>
          <w:b/>
          <w:i/>
          <w:color w:val="222222"/>
          <w:sz w:val="20"/>
        </w:rPr>
        <w:t>Cayman Parent</w:t>
      </w:r>
      <w:r>
        <w:rPr>
          <w:rFonts w:ascii="Times New Roman;Times;serif" w:hAnsi="Times New Roman;Times;serif"/>
          <w:i/>
          <w:color w:val="222222"/>
          <w:sz w:val="20"/>
        </w:rPr>
        <w:t>ˮ</w:t>
      </w:r>
      <w:r>
        <w:rPr>
          <w:rFonts w:ascii="Times New Roman;Times;serif" w:hAnsi="Times New Roman;Times;serif"/>
          <w:color w:val="222222"/>
          <w:sz w:val="20"/>
        </w:rPr>
        <w:t>), following your Start Date, you will be granted the following equity awards (each, an “</w:t>
      </w:r>
      <w:r>
        <w:rPr>
          <w:rFonts w:ascii="Times New Roman;Times;serif" w:hAnsi="Times New Roman;Times;serif"/>
          <w:b/>
          <w:i/>
          <w:color w:val="222222"/>
          <w:sz w:val="20"/>
        </w:rPr>
        <w:t>Equity Award</w:t>
      </w:r>
      <w:r>
        <w:rPr>
          <w:rFonts w:ascii="Times New Roman;Times;serif" w:hAnsi="Times New Roman;Times;serif"/>
          <w:i/>
          <w:color w:val="222222"/>
          <w:sz w:val="20"/>
        </w:rPr>
        <w:t>ˮ</w:t>
      </w:r>
      <w:r>
        <w:rPr>
          <w:rFonts w:ascii="Times New Roman;Times;serif" w:hAnsi="Times New Roman;Times;serif"/>
          <w:color w:val="222222"/>
          <w:sz w:val="20"/>
        </w:rPr>
        <w:t>): (i) an option to purchase 223,776 ordinary shares (74,592 ADSs) of the Cayman Parent (the “</w:t>
      </w:r>
      <w:r>
        <w:rPr>
          <w:rFonts w:ascii="Times New Roman;Times;serif" w:hAnsi="Times New Roman;Times;serif"/>
          <w:b/>
          <w:i/>
          <w:color w:val="222222"/>
          <w:sz w:val="20"/>
        </w:rPr>
        <w:t>Option</w:t>
      </w:r>
      <w:r>
        <w:rPr>
          <w:rFonts w:ascii="Times New Roman;Times;serif" w:hAnsi="Times New Roman;Times;serif"/>
          <w:i/>
          <w:color w:val="222222"/>
          <w:sz w:val="20"/>
        </w:rPr>
        <w:t>ˮ</w:t>
      </w:r>
      <w:r>
        <w:rPr>
          <w:rFonts w:ascii="Times New Roman;Times;serif" w:hAnsi="Times New Roman;Times;serif"/>
          <w:color w:val="222222"/>
          <w:sz w:val="20"/>
        </w:rPr>
        <w:t>), (ii) a time-based restricted share unit award in respect of 184,614 ordinary shares (61,538 ADSs) of the Cayman Parent (the “</w:t>
      </w:r>
      <w:r>
        <w:rPr>
          <w:rFonts w:ascii="Times New Roman;Times;serif" w:hAnsi="Times New Roman;Times;serif"/>
          <w:b/>
          <w:i/>
          <w:color w:val="222222"/>
          <w:sz w:val="20"/>
        </w:rPr>
        <w:t>RSUs</w:t>
      </w:r>
      <w:r>
        <w:rPr>
          <w:rFonts w:ascii="Times New Roman;Times;serif" w:hAnsi="Times New Roman;Times;serif"/>
          <w:i/>
          <w:color w:val="222222"/>
          <w:sz w:val="20"/>
        </w:rPr>
        <w:t>ˮ</w:t>
      </w:r>
      <w:r>
        <w:rPr>
          <w:rFonts w:ascii="Times New Roman;Times;serif" w:hAnsi="Times New Roman;Times;serif"/>
          <w:color w:val="222222"/>
          <w:sz w:val="20"/>
        </w:rPr>
        <w:t>), and (iii) a performance-based restricted share unit award in respect of 46,155 ordinary shares (15,385 ADSs) of the Cayman Parent(the “</w:t>
      </w:r>
      <w:r>
        <w:rPr>
          <w:rFonts w:ascii="Times New Roman;Times;serif" w:hAnsi="Times New Roman;Times;serif"/>
          <w:b/>
          <w:i/>
          <w:color w:val="222222"/>
          <w:sz w:val="20"/>
        </w:rPr>
        <w:t>PSUs</w:t>
      </w:r>
      <w:r>
        <w:rPr>
          <w:rFonts w:ascii="Times New Roman;Times;serif" w:hAnsi="Times New Roman;Times;serif"/>
          <w:i/>
          <w:color w:val="222222"/>
          <w:sz w:val="20"/>
        </w:rPr>
        <w:t>ˮ</w:t>
      </w:r>
      <w:r>
        <w:rPr>
          <w:rFonts w:ascii="Times New Roman;Times;serif" w:hAnsi="Times New Roman;Times;serif"/>
          <w:color w:val="222222"/>
          <w:sz w:val="20"/>
        </w:rPr>
        <w:t>) at target levels. Each Equity Award (including determination of the Optionʼs exercise price) will be governed by the terms and conditions of the Cayman Parentʼs 2023 Equity Incentive Plan (the “</w:t>
      </w:r>
      <w:r>
        <w:rPr>
          <w:rFonts w:ascii="Times New Roman;Times;serif" w:hAnsi="Times New Roman;Times;serif"/>
          <w:b/>
          <w:i/>
          <w:color w:val="222222"/>
          <w:sz w:val="20"/>
        </w:rPr>
        <w:t>Plan</w:t>
      </w:r>
      <w:r>
        <w:rPr>
          <w:rFonts w:ascii="Times New Roman;Times;serif" w:hAnsi="Times New Roman;Times;serif"/>
          <w:i/>
          <w:color w:val="222222"/>
          <w:sz w:val="20"/>
        </w:rPr>
        <w:t>ˮ</w:t>
      </w:r>
      <w:r>
        <w:rPr>
          <w:rFonts w:ascii="Times New Roman;Times;serif" w:hAnsi="Times New Roman;Times;serif"/>
          <w:color w:val="222222"/>
          <w:sz w:val="20"/>
        </w:rPr>
        <w:t>) and the applicable award agreement thereunder.</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Option will vest over four years, with 1/4th of the shares vesting on the one-year anniversary of the vesting commencement date and the remaining shares vesting in 36 equal monthly installments thereafter, subject to your Continuous Service (as defined in the Plan) through each such date. The RSUs will vest over four years, with 1/4th of the shares vesting on each of the first, second, third and fourth anniversaries of the vesting commencement date, subject to your Continuous Service through each such date. The vesting commencement dates applicable to the Option and RSUs will be specified in your award agreements.</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PSUs will be allocated to three separate tranches, each of which will vest based on the achievement of the applicable milestone, as follows: (i) vesting of 25% of the PSUs will be based upon achievement of the first milestone by December 31, 2027, (ii) vesting of 25% of</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the PSUs will be based upon achievement of the second milestone by September 30, 2028, and (iii) vesting of 50% of the PSUs will be based upon achievement of the third milestone by June 30, 2029. For each tranche, depending on when the milestone is achieved during the performance period, the number of PSUs that vest may be between 75% to 125% of the target number of PSUs. If the milestone for a tranche is not achieved during the applicable performance period, none of the PSUs allocated to such tranche will vest. Any PSUs that become eligible to vest based on achievement of the applicable milestone will vest on the date such achievement is certified, subject to your Continuous Service through such date.</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While the above provides the general terms of each Equity Award, the complete terms and conditions of each Equity Award (including how the PSUs will be treated in connection with a change in control of the Company or the termination of your service with the Company) will be set forth in the applicable award agreement. If there is any conflict between the general terms described above and the provisions of such award agreement, the award agreement will govern.</w:t>
      </w:r>
    </w:p>
    <w:p>
      <w:pPr>
        <w:pStyle w:val="TextBody"/>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Severance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22222"/>
          <w:sz w:val="20"/>
        </w:rPr>
        <w:t>You will be eligible to participate in the Structure Therapeutics, Inc. Severance and Change in Control Plan at the Tier II levels, as amended from time to time pursuant to its terms (the “</w:t>
      </w:r>
      <w:r>
        <w:rPr>
          <w:rFonts w:ascii="Times New Roman;Times;serif" w:hAnsi="Times New Roman;Times;serif"/>
          <w:b/>
          <w:i/>
          <w:color w:val="222222"/>
          <w:sz w:val="20"/>
        </w:rPr>
        <w:t>Severance Plan</w:t>
      </w:r>
      <w:r>
        <w:rPr>
          <w:rFonts w:ascii="Times New Roman;Times;serif" w:hAnsi="Times New Roman;Times;serif"/>
          <w:i/>
          <w:color w:val="222222"/>
          <w:sz w:val="20"/>
        </w:rPr>
        <w:t>ˮ</w:t>
      </w:r>
      <w:r>
        <w:rPr>
          <w:rFonts w:ascii="Times New Roman;Times;serif" w:hAnsi="Times New Roman;Times;serif"/>
          <w:color w:val="222222"/>
          <w:sz w:val="20"/>
        </w:rPr>
        <w:t>), pursuant to the terms and conditions set forth therein, and provided that the Company and you execute a Participation Agreement (as defined and set forth in the Severance Plan).</w:t>
      </w:r>
    </w:p>
    <w:p>
      <w:pPr>
        <w:pStyle w:val="TextBody"/>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Confidential Information and Company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222222"/>
          <w:sz w:val="20"/>
        </w:rPr>
        <w:t>As a Company employee, you will be expected to abide by Company rules and policies. As a condition of employment, you agree to sign and abide by the Companyʼs Employee Confidential Information and Invention Assignment Agreement and Arbitration Agreement, both of which are attached to this Agreement</w:t>
      </w:r>
      <w:r>
        <w:rPr>
          <w:rFonts w:ascii="Times New Roman;Times;serif" w:hAnsi="Times New Roman;Times;serif"/>
          <w:b/>
          <w:color w:val="222222"/>
          <w:sz w:val="20"/>
        </w:rPr>
        <w:t>.</w:t>
      </w:r>
      <w:r>
        <w:rPr>
          <w:rFonts w:ascii="Times New Roman;Times;serif" w:hAnsi="Times New Roman;Times;serif"/>
          <w:color w:val="222222"/>
          <w:sz w:val="20"/>
        </w:rPr>
        <w:t xml:space="preserve"> 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or duties to the Company. You specifically warrant that you are not subject to an employment agreement or restrictive covenant preventing full performance of your duties to the Company.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also agree to honor all obligations to former employers during your employment with the Company.</w:t>
      </w:r>
    </w:p>
    <w:p>
      <w:pPr>
        <w:pStyle w:val="TextBody"/>
        <w:pBdr/>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At-Will Employment and Exempt Status</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Your employment with the Company will be “at-will,ˮ except where prohibited by state law. You may terminate your employment with the Company at any time and for any reason whatsoever simply by notifying the Company. Likewise, the Company may terminate your employment at any time, with or without cause or advance notice. While the Company also may change your position, job duties, work location, and reporting structure from time to time in its discretion (subject to the terms of the Severance Plan), your employment at-will status can only be modified in a written agreement signed by you and by a duly authorized officer of the Company.</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As a full-time exempt salaried employee, you will be expected to work the Companyʼs normal business hours as well as additional hours as required by the nature of your work assignments, and you will not be eligible for overtime compensation.</w:t>
      </w:r>
    </w:p>
    <w:p>
      <w:pPr>
        <w:pStyle w:val="TextBody"/>
        <w:pBdr/>
        <w:bidi w:val="0"/>
        <w:spacing w:before="0" w:after="240"/>
        <w:ind w:left="0" w:right="0" w:hanging="10"/>
        <w:jc w:val="left"/>
        <w:rPr>
          <w:rFonts w:ascii="Times New Roman;Times;serif" w:hAnsi="Times New Roman;Times;serif"/>
          <w:b/>
          <w:color w:val="222222"/>
          <w:sz w:val="20"/>
        </w:rPr>
      </w:pPr>
      <w:r>
        <w:rPr>
          <w:rFonts w:ascii="Times New Roman;Times;serif" w:hAnsi="Times New Roman;Times;serif"/>
          <w:b/>
          <w:color w:val="222222"/>
          <w:sz w:val="20"/>
        </w:rPr>
        <w:t>Conditions and Complete Agreement</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This offer is contingent upon a satisfactory reference check and satisfactory proof of your right to work in the United States. If the Company informs you that you are required to complete a background check or drug test, this offer is contingent upon satisfactory clearance of such background check and/or drug test. You agree to assist as needed and to complete any documentation at the Companyʼs request to meet these conditions. This Agreement, together with your Confidentiality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Companyʼs or the Companyʼs Board of Directorsʼ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Please sign and date this letter, and the enclosed Employee Confidential Information and Invention Assignment Agreement and Arbitration Agreement, and return them to me by March 20, 2026, if you wish to accept employment at the Company under the terms described above.</w:t>
      </w:r>
    </w:p>
    <w:p>
      <w:pPr>
        <w:pStyle w:val="TextBody"/>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We look forward to your favorable reply and to a productive and enjoyable work relationship.</w:t>
      </w:r>
    </w:p>
    <w:p>
      <w:pPr>
        <w:pStyle w:val="TextBody"/>
        <w:bidi w:val="0"/>
        <w:spacing w:before="0" w:after="0"/>
        <w:ind w:left="0" w:right="0" w:hanging="0"/>
        <w:jc w:val="left"/>
        <w:rPr/>
      </w:pPr>
      <w:r>
        <w:rPr/>
        <w:t>​</w:t>
      </w:r>
    </w:p>
    <w:p>
      <w:pPr>
        <w:pStyle w:val="TextBody"/>
        <w:pBdr>
          <w:top w:val="single" w:sz="2" w:space="1" w:color="000000"/>
        </w:pBdr>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color w:val="222222"/>
          <w:sz w:val="20"/>
        </w:rPr>
      </w:pPr>
      <w:r>
        <w:rPr>
          <w:rFonts w:ascii="Times New Roman;Times;serif" w:hAnsi="Times New Roman;Times;serif"/>
          <w:b/>
          <w:color w:val="222222"/>
          <w:sz w:val="20"/>
        </w:rPr>
        <w:t>Offer Letter Acceptance</w:t>
      </w:r>
    </w:p>
    <w:p>
      <w:pPr>
        <w:pStyle w:val="TextBody"/>
        <w:bidi w:val="0"/>
        <w:spacing w:before="0" w:after="240"/>
        <w:ind w:left="0" w:right="0" w:hanging="0"/>
        <w:jc w:val="left"/>
        <w:rPr>
          <w:rFonts w:ascii="Times New Roman;Times;serif" w:hAnsi="Times New Roman;Times;serif"/>
          <w:color w:val="222222"/>
          <w:sz w:val="20"/>
        </w:rPr>
      </w:pPr>
      <w:r>
        <w:rPr>
          <w:rFonts w:ascii="Times New Roman;Times;serif" w:hAnsi="Times New Roman;Times;serif"/>
          <w:color w:val="222222"/>
          <w:sz w:val="20"/>
        </w:rPr>
        <w:t>I have read and accept this offer of employment: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988" w:type="dxa"/>
        <w:jc w:val="left"/>
        <w:tblInd w:w="0" w:type="dxa"/>
        <w:tblLayout w:type="fixed"/>
        <w:tblCellMar>
          <w:top w:w="0" w:type="dxa"/>
          <w:left w:w="0" w:type="dxa"/>
          <w:bottom w:w="0" w:type="dxa"/>
          <w:right w:w="0" w:type="dxa"/>
        </w:tblCellMar>
      </w:tblPr>
      <w:tblGrid>
        <w:gridCol w:w="1441"/>
        <w:gridCol w:w="346"/>
        <w:gridCol w:w="1201"/>
      </w:tblGrid>
      <w:tr>
        <w:trPr/>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15035" cy="29210"/>
                      <wp:effectExtent l="0" t="0" r="0" b="0"/>
                      <wp:wrapNone/>
                      <wp:docPr id="228" name="Frame226"/>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62635" cy="29210"/>
                      <wp:effectExtent l="0" t="0" r="0" b="0"/>
                      <wp:wrapNone/>
                      <wp:docPr id="229" name="Frame227"/>
                      <a:graphic xmlns:a="http://schemas.openxmlformats.org/drawingml/2006/main">
                        <a:graphicData uri="http://schemas.microsoft.com/office/word/2010/wordprocessingShape">
                          <wps:wsp>
                            <wps:cNvSpPr txBox="1"/>
                            <wps:spPr>
                              <a:xfrm>
                                <a:off x="0" y="0"/>
                                <a:ext cx="762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/s/ Mattew Lang</w:t>
            </w:r>
          </w:p>
        </w:tc>
        <w:tc>
          <w:tcPr>
            <w:tcW w:w="346" w:type="dxa"/>
            <w:tcBorders/>
            <w:vAlign w:val="center"/>
          </w:tcPr>
          <w:p>
            <w:pPr>
              <w:pStyle w:val="TableContents"/>
              <w:bidi w:val="0"/>
              <w:spacing w:before="0" w:after="0"/>
              <w:ind w:left="0" w:right="0" w:hanging="0"/>
              <w:jc w:val="left"/>
              <w:rPr>
                <w:color w:val="222222"/>
              </w:rPr>
            </w:pPr>
            <w:r>
              <w:rPr>
                <w:color w:val="222222"/>
              </w:rPr>
              <w:t>  ​ ​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17 Mar 2026</w:t>
            </w:r>
          </w:p>
        </w:tc>
      </w:tr>
      <w:tr>
        <w:trPr/>
        <w:tc>
          <w:tcPr>
            <w:tcW w:w="1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999999"/>
                <w:sz w:val="20"/>
              </w:rPr>
            </w:pPr>
            <w:r>
              <w:rPr>
                <w:rFonts w:ascii="Times New Roman;Times;serif" w:hAnsi="Times New Roman;Times;serif"/>
                <w:color w:val="999999"/>
                <w:sz w:val="20"/>
              </w:rPr>
              <w:t>Matthew Lang</w:t>
            </w:r>
          </w:p>
        </w:tc>
        <w:tc>
          <w:tcPr>
            <w:tcW w:w="346" w:type="dxa"/>
            <w:tcBorders/>
            <w:vAlign w:val="center"/>
          </w:tcPr>
          <w:p>
            <w:pPr>
              <w:pStyle w:val="TableContents"/>
              <w:bidi w:val="0"/>
              <w:spacing w:before="0" w:after="0"/>
              <w:ind w:left="0" w:right="0" w:hanging="0"/>
              <w:jc w:val="left"/>
              <w:rPr>
                <w:color w:val="999999"/>
              </w:rPr>
            </w:pPr>
            <w:r>
              <w:rPr>
                <w:color w:val="999999"/>
              </w:rPr>
              <w:t>​</w:t>
            </w:r>
          </w:p>
        </w:tc>
        <w:tc>
          <w:tcPr>
            <w:tcW w:w="1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999999"/>
                <w:sz w:val="20"/>
              </w:rPr>
            </w:pPr>
            <w:r>
              <w:rPr>
                <w:rFonts w:ascii="Times New Roman;Times;serif" w:hAnsi="Times New Roman;Times;serif"/>
                <w:color w:val="999999"/>
                <w:sz w:val="20"/>
              </w:rPr>
              <w:t>Date</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924" w:name="gpcr-20260630xex31d1.htm"/>
      <w:bookmarkStart w:id="925" w:name="ksgpcr20260630xex31d1"/>
      <w:bookmarkEnd w:id="924"/>
      <w:bookmarkEnd w:id="925"/>
      <w:r>
        <w:rPr>
          <w:rFonts w:ascii="Times New Roman;Times;serif" w:hAnsi="Times New Roman;Times;serif"/>
          <w:b/>
          <w:sz w:val="20"/>
        </w:rPr>
        <w:t>Exhibit 31.1</w:t>
      </w:r>
      <w:r>
        <w:br w:type="page"/>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Raymond Stevens, Ph.D., certify that:</w:t>
      </w:r>
    </w:p>
    <w:tbl>
      <w:tblPr>
        <w:tblW w:w="6880" w:type="dxa"/>
        <w:jc w:val="left"/>
        <w:tblInd w:w="0" w:type="dxa"/>
        <w:tblLayout w:type="fixed"/>
        <w:tblCellMar>
          <w:top w:w="0" w:type="dxa"/>
          <w:left w:w="0" w:type="dxa"/>
          <w:bottom w:w="0" w:type="dxa"/>
          <w:right w:w="0" w:type="dxa"/>
        </w:tblCellMar>
      </w:tblPr>
      <w:tblGrid>
        <w:gridCol w:w="170"/>
        <w:gridCol w:w="67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Structure Therapeutics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85" w:before="0" w:after="0"/>
        <w:ind w:left="0" w:right="0" w:hanging="490"/>
        <w:jc w:val="left"/>
        <w:rPr/>
      </w:pPr>
      <w:r>
        <w:rPr/>
        <w:t>​</w:t>
      </w:r>
    </w:p>
    <w:tbl>
      <w:tblPr>
        <w:tblW w:w="4957" w:type="dxa"/>
        <w:jc w:val="center"/>
        <w:tblInd w:w="0" w:type="dxa"/>
        <w:tblLayout w:type="fixed"/>
        <w:tblCellMar>
          <w:top w:w="0" w:type="dxa"/>
          <w:left w:w="0" w:type="dxa"/>
          <w:bottom w:w="0" w:type="dxa"/>
          <w:right w:w="0" w:type="dxa"/>
        </w:tblCellMar>
      </w:tblPr>
      <w:tblGrid>
        <w:gridCol w:w="1846"/>
        <w:gridCol w:w="109"/>
        <w:gridCol w:w="406"/>
        <w:gridCol w:w="259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172210" cy="175260"/>
                      <wp:effectExtent l="0" t="0" r="0" b="0"/>
                      <wp:wrapNone/>
                      <wp:docPr id="230" name="Frame22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648460" cy="175260"/>
                      <wp:effectExtent l="0" t="0" r="0" b="0"/>
                      <wp:wrapNone/>
                      <wp:docPr id="232" name="Frame23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9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Raymond Stevens</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Raymond Stevens, Ph.D.</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 xml:space="preserve">Chief Executive Officer </w:t>
            </w:r>
          </w:p>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shd w:fill="FFFFFF" w:val="clear"/>
        <w:bidi w:val="0"/>
        <w:spacing w:lineRule="auto" w:line="285" w:before="0" w:after="0"/>
        <w:ind w:left="0" w:right="0" w:hanging="0"/>
        <w:jc w:val="right"/>
        <w:rPr>
          <w:rFonts w:ascii="Times New Roman;Times;serif" w:hAnsi="Times New Roman;Times;serif"/>
          <w:b/>
          <w:sz w:val="20"/>
        </w:rPr>
      </w:pPr>
      <w:bookmarkStart w:id="926" w:name="gpcr-20260630xex31d2.htm"/>
      <w:bookmarkStart w:id="927" w:name="ksgpcr20260630xex31d2"/>
      <w:bookmarkEnd w:id="926"/>
      <w:bookmarkEnd w:id="927"/>
      <w:r>
        <w:rPr>
          <w:rFonts w:ascii="Times New Roman;Times;serif" w:hAnsi="Times New Roman;Times;serif"/>
          <w:b/>
          <w:sz w:val="20"/>
        </w:rPr>
        <w:t>Exhibit 31.2</w:t>
      </w:r>
      <w:r>
        <w:br w:type="page"/>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Jun Yoon, certify that:</w:t>
      </w:r>
    </w:p>
    <w:tbl>
      <w:tblPr>
        <w:tblW w:w="6880" w:type="dxa"/>
        <w:jc w:val="left"/>
        <w:tblInd w:w="0" w:type="dxa"/>
        <w:tblLayout w:type="fixed"/>
        <w:tblCellMar>
          <w:top w:w="0" w:type="dxa"/>
          <w:left w:w="0" w:type="dxa"/>
          <w:bottom w:w="0" w:type="dxa"/>
          <w:right w:w="0" w:type="dxa"/>
        </w:tblCellMar>
      </w:tblPr>
      <w:tblGrid>
        <w:gridCol w:w="170"/>
        <w:gridCol w:w="67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Structure Therapeutics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shd w:fill="FFFFFF" w:val="clea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lineRule="auto" w:line="285" w:before="0" w:after="0"/>
        <w:ind w:left="0" w:right="0" w:hanging="490"/>
        <w:jc w:val="left"/>
        <w:rPr/>
      </w:pPr>
      <w:r>
        <w:rPr/>
        <w:t>​</w:t>
      </w:r>
    </w:p>
    <w:tbl>
      <w:tblPr>
        <w:tblW w:w="4627" w:type="dxa"/>
        <w:jc w:val="center"/>
        <w:tblInd w:w="0" w:type="dxa"/>
        <w:tblLayout w:type="fixed"/>
        <w:tblCellMar>
          <w:top w:w="0" w:type="dxa"/>
          <w:left w:w="0" w:type="dxa"/>
          <w:bottom w:w="0" w:type="dxa"/>
          <w:right w:w="0" w:type="dxa"/>
        </w:tblCellMar>
      </w:tblPr>
      <w:tblGrid>
        <w:gridCol w:w="1846"/>
        <w:gridCol w:w="109"/>
        <w:gridCol w:w="406"/>
        <w:gridCol w:w="22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172210" cy="175260"/>
                      <wp:effectExtent l="0" t="0" r="0" b="0"/>
                      <wp:wrapNone/>
                      <wp:docPr id="233" name="Frame23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438910" cy="175260"/>
                      <wp:effectExtent l="0" t="0" r="0" b="0"/>
                      <wp:wrapNone/>
                      <wp:docPr id="235" name="Frame233"/>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Financial and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928" w:name="gpcr-20260630xex32d1.htm"/>
      <w:bookmarkStart w:id="929" w:name="ksgpcr20260630xex32d1"/>
      <w:bookmarkEnd w:id="928"/>
      <w:bookmarkEnd w:id="929"/>
      <w:r>
        <w:rPr/>
        <w:t>​</w:t>
      </w:r>
      <w:r>
        <w:br w:type="page"/>
      </w:r>
    </w:p>
    <w:p>
      <w:pPr>
        <w:pStyle w:val="TextBody"/>
        <w:shd w:fill="FFFFFF" w:val="clear"/>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of Structure Therapeutics Inc. (the “Company”) on Form 10-Q for the period ended June 30, 2026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lineRule="auto" w:line="285" w:before="0" w:after="0"/>
        <w:ind w:left="0" w:right="0" w:hanging="490"/>
        <w:jc w:val="left"/>
        <w:rPr/>
      </w:pPr>
      <w:r>
        <w:rPr/>
        <w:t>​</w:t>
      </w:r>
    </w:p>
    <w:tbl>
      <w:tblPr>
        <w:tblW w:w="4957" w:type="dxa"/>
        <w:jc w:val="center"/>
        <w:tblInd w:w="0" w:type="dxa"/>
        <w:tblLayout w:type="fixed"/>
        <w:tblCellMar>
          <w:top w:w="0" w:type="dxa"/>
          <w:left w:w="0" w:type="dxa"/>
          <w:bottom w:w="0" w:type="dxa"/>
          <w:right w:w="0" w:type="dxa"/>
        </w:tblCellMar>
      </w:tblPr>
      <w:tblGrid>
        <w:gridCol w:w="1846"/>
        <w:gridCol w:w="109"/>
        <w:gridCol w:w="406"/>
        <w:gridCol w:w="259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72210" cy="175260"/>
                      <wp:effectExtent l="0" t="0" r="0" b="0"/>
                      <wp:wrapNone/>
                      <wp:docPr id="236" name="Frame23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9215" cy="175260"/>
                      <wp:effectExtent l="0" t="0" r="0" b="0"/>
                      <wp:wrapNone/>
                      <wp:docPr id="237"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648460" cy="175260"/>
                      <wp:effectExtent l="0" t="0" r="0" b="0"/>
                      <wp:wrapNone/>
                      <wp:docPr id="238" name="Frame23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12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9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Raymond Stevens</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Raymond Stevens, Ph.D.</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59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 xml:space="preserve">Chief Executive Officer </w:t>
            </w:r>
          </w:p>
          <w:p>
            <w:pPr>
              <w:pStyle w:val="TableContents"/>
              <w:bidi w:val="0"/>
              <w:spacing w:lineRule="auto" w:line="285"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(Principal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930" w:name="gpcr-20260630xex32d2.htm"/>
      <w:bookmarkStart w:id="931" w:name="ksgpcr20260630xex32d2"/>
      <w:bookmarkEnd w:id="930"/>
      <w:bookmarkEnd w:id="931"/>
      <w:r>
        <w:rPr/>
        <w:t>​</w:t>
      </w:r>
      <w:r>
        <w:br w:type="page"/>
      </w:r>
    </w:p>
    <w:p>
      <w:pPr>
        <w:pStyle w:val="TextBody"/>
        <w:shd w:fill="FFFFFF" w:val="clear"/>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p>
    <w:p>
      <w:pPr>
        <w:pStyle w:val="TextBody"/>
        <w:pBdr/>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hd w:fill="FFFFFF" w:val="clear"/>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of Structure Therapeutics Inc. (the “Company”) on Form 10-Q for the period ended June 30, 2026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lineRule="auto" w:line="285" w:before="24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pBdr/>
        <w:bidi w:val="0"/>
        <w:spacing w:lineRule="auto" w:line="285" w:before="0" w:after="0"/>
        <w:ind w:left="0" w:right="0" w:hanging="490"/>
        <w:jc w:val="left"/>
        <w:rPr/>
      </w:pPr>
      <w:r>
        <w:rPr/>
        <w:t>​</w:t>
      </w:r>
    </w:p>
    <w:tbl>
      <w:tblPr>
        <w:tblW w:w="4627" w:type="dxa"/>
        <w:jc w:val="center"/>
        <w:tblInd w:w="0" w:type="dxa"/>
        <w:tblLayout w:type="fixed"/>
        <w:tblCellMar>
          <w:top w:w="0" w:type="dxa"/>
          <w:left w:w="0" w:type="dxa"/>
          <w:bottom w:w="0" w:type="dxa"/>
          <w:right w:w="0" w:type="dxa"/>
        </w:tblCellMar>
      </w:tblPr>
      <w:tblGrid>
        <w:gridCol w:w="1846"/>
        <w:gridCol w:w="109"/>
        <w:gridCol w:w="406"/>
        <w:gridCol w:w="22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72210" cy="175260"/>
                      <wp:effectExtent l="0" t="0" r="0" b="0"/>
                      <wp:wrapNone/>
                      <wp:docPr id="239" name="Frame237"/>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lineRule="auto" w:line="285" w:before="0" w:after="0"/>
              <w:ind w:left="0" w:right="0" w:hanging="0"/>
              <w:jc w:val="left"/>
              <w:rPr/>
            </w:pPr>
            <w:r>
              <w:rPr/>
              <w:t>​</w:t>
            </w:r>
          </w:p>
        </w:tc>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38910" cy="175260"/>
                      <wp:effectExtent l="0" t="0" r="0" b="0"/>
                      <wp:wrapNone/>
                      <wp:docPr id="241" name="Frame23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4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266" w:type="dxa"/>
            <w:tcBorders>
              <w:bottom w:val="single" w:sz="2" w:space="0" w:color="000000"/>
            </w:tcBorders>
            <w:shd w:fill="FFFF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top w:val="single" w:sz="2" w:space="0" w:color="000000"/>
            </w:tcBorders>
            <w:shd w:fill="FFFFFF" w:val="clear"/>
            <w:tcMar>
              <w:top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 Yoon</w:t>
            </w:r>
          </w:p>
        </w:tc>
      </w:tr>
      <w:tr>
        <w:trPr/>
        <w:tc>
          <w:tcPr>
            <w:tcW w:w="1846" w:type="dxa"/>
            <w:tcBorders/>
            <w:shd w:fill="FFFFFF" w:val="clear"/>
            <w:vAlign w:val="center"/>
          </w:tcPr>
          <w:p>
            <w:pPr>
              <w:pStyle w:val="TableContents"/>
              <w:bidi w:val="0"/>
              <w:spacing w:lineRule="auto" w:line="285" w:before="0" w:after="0"/>
              <w:ind w:left="0" w:right="0" w:hanging="0"/>
              <w:jc w:val="left"/>
              <w:rPr/>
            </w:pPr>
            <w:r>
              <w:rPr/>
              <w:t>​</w:t>
            </w:r>
          </w:p>
        </w:tc>
        <w:tc>
          <w:tcPr>
            <w:tcW w:w="109" w:type="dxa"/>
            <w:tcBorders/>
            <w:shd w:fill="FFFFFF" w:val="clear"/>
            <w:vAlign w:val="center"/>
          </w:tcPr>
          <w:p>
            <w:pPr>
              <w:pStyle w:val="TableContents"/>
              <w:bidi w:val="0"/>
              <w:spacing w:lineRule="auto" w:line="285" w:before="0" w:after="0"/>
              <w:ind w:left="0" w:right="0" w:hanging="0"/>
              <w:jc w:val="left"/>
              <w:rPr/>
            </w:pPr>
            <w:r>
              <w:rPr/>
              <w:t>​</w:t>
            </w:r>
          </w:p>
        </w:tc>
        <w:tc>
          <w:tcPr>
            <w:tcW w:w="406" w:type="dxa"/>
            <w:tcBorders/>
            <w:shd w:fill="FFFFFF" w:val="clear"/>
            <w:vAlign w:val="center"/>
          </w:tcPr>
          <w:p>
            <w:pPr>
              <w:pStyle w:val="TableContents"/>
              <w:bidi w:val="0"/>
              <w:spacing w:lineRule="auto" w:line="285" w:before="0" w:after="0"/>
              <w:ind w:left="0" w:right="0" w:hanging="0"/>
              <w:jc w:val="left"/>
              <w:rPr/>
            </w:pPr>
            <w:r>
              <w:rPr/>
              <w:t>​</w:t>
            </w:r>
          </w:p>
        </w:tc>
        <w:tc>
          <w:tcPr>
            <w:tcW w:w="2266" w:type="dxa"/>
            <w:tcBorders/>
            <w:shd w:fill="FFFFFF" w:val="cle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Financial and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Accounting Officer)</w:t>
            </w:r>
          </w:p>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88886/000110465923011717/tm235639d1_ex3-1.htm" TargetMode="External"/><Relationship Id="rId4" Type="http://schemas.openxmlformats.org/officeDocument/2006/relationships/hyperlink" Target="https://www.sec.gov/Archives/edgar/data/1888886/000110465923007657/tm225197d15_ex4-1.htm" TargetMode="External"/><Relationship Id="rId5" Type="http://schemas.openxmlformats.org/officeDocument/2006/relationships/hyperlink" Target="https://www.sec.gov/Archives/edgar/data/1888886/000110465923007657/tm225197d15_ex4-2.htm" TargetMode="External"/><Relationship Id="rId6" Type="http://schemas.openxmlformats.org/officeDocument/2006/relationships/hyperlink" Target="https://www.sec.gov/Archives/edgar/data/1888886/000110465923007657/tm225197d15_ex4-2.htm" TargetMode="External"/><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78158</Words>
  <Characters>439220</Characters>
  <CharactersWithSpaces>518089</CharactersWithSpaces>
  <Paragraphs>5655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