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3"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Date of Report (Date of earliest event reported): September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7"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Structure Therapeutics Inc.</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p>
      <w:pPr>
        <w:spacing w:after="0" w:line="298" w:lineRule="exact"/>
        <w:rPr>
          <w:sz w:val="24"/>
          <w:szCs w:val="24"/>
          <w:color w:val="auto"/>
        </w:rPr>
      </w:pPr>
    </w:p>
    <w:p>
      <w:pPr>
        <w:ind w:left="1388"/>
        <w:spacing w:after="0"/>
        <w:rPr>
          <w:sz w:val="20"/>
          <w:szCs w:val="20"/>
          <w:color w:val="auto"/>
        </w:rPr>
      </w:pPr>
      <w:r>
        <w:rPr>
          <w:rFonts w:ascii="Arial" w:cs="Arial" w:eastAsia="Arial" w:hAnsi="Arial"/>
          <w:sz w:val="12"/>
          <w:szCs w:val="12"/>
          <w:b w:val="1"/>
          <w:bCs w:val="1"/>
          <w:color w:val="auto"/>
        </w:rPr>
        <w:t>Cayman Islands</w:t>
      </w:r>
    </w:p>
    <w:p>
      <w:pPr>
        <w:spacing w:after="0" w:line="19" w:lineRule="exact"/>
        <w:rPr>
          <w:sz w:val="24"/>
          <w:szCs w:val="24"/>
          <w:color w:val="auto"/>
        </w:rPr>
      </w:pPr>
    </w:p>
    <w:p>
      <w:pPr>
        <w:ind w:left="1128"/>
        <w:spacing w:after="0"/>
        <w:rPr>
          <w:sz w:val="20"/>
          <w:szCs w:val="20"/>
          <w:color w:val="auto"/>
        </w:rPr>
      </w:pPr>
      <w:r>
        <w:rPr>
          <w:rFonts w:ascii="Arial" w:cs="Arial" w:eastAsia="Arial" w:hAnsi="Arial"/>
          <w:sz w:val="10"/>
          <w:szCs w:val="10"/>
          <w:b w:val="1"/>
          <w:bCs w:val="1"/>
          <w:color w:val="auto"/>
        </w:rPr>
        <w:t>(State or other jurisdiction</w:t>
      </w:r>
    </w:p>
    <w:p>
      <w:pPr>
        <w:spacing w:after="0" w:line="29" w:lineRule="exact"/>
        <w:rPr>
          <w:sz w:val="24"/>
          <w:szCs w:val="24"/>
          <w:color w:val="auto"/>
        </w:rPr>
      </w:pPr>
    </w:p>
    <w:p>
      <w:pPr>
        <w:ind w:left="1368"/>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300"/>
        <w:spacing w:after="0"/>
        <w:rPr>
          <w:sz w:val="20"/>
          <w:szCs w:val="20"/>
          <w:color w:val="auto"/>
        </w:rPr>
      </w:pPr>
      <w:r>
        <w:rPr>
          <w:rFonts w:ascii="Arial" w:cs="Arial" w:eastAsia="Arial" w:hAnsi="Arial"/>
          <w:sz w:val="12"/>
          <w:szCs w:val="12"/>
          <w:b w:val="1"/>
          <w:bCs w:val="1"/>
          <w:color w:val="auto"/>
        </w:rPr>
        <w:t>001-41608</w:t>
      </w:r>
    </w:p>
    <w:p>
      <w:pPr>
        <w:spacing w:after="0" w:line="19" w:lineRule="exact"/>
        <w:rPr>
          <w:sz w:val="24"/>
          <w:szCs w:val="24"/>
          <w:color w:val="auto"/>
        </w:rPr>
      </w:pPr>
    </w:p>
    <w:p>
      <w:pPr>
        <w:jc w:val="center"/>
        <w:ind w:right="2300"/>
        <w:spacing w:after="0"/>
        <w:rPr>
          <w:sz w:val="20"/>
          <w:szCs w:val="20"/>
          <w:color w:val="auto"/>
        </w:rPr>
      </w:pPr>
      <w:r>
        <w:rPr>
          <w:rFonts w:ascii="Arial" w:cs="Arial" w:eastAsia="Arial" w:hAnsi="Arial"/>
          <w:sz w:val="11"/>
          <w:szCs w:val="11"/>
          <w:b w:val="1"/>
          <w:bCs w:val="1"/>
          <w:color w:val="auto"/>
        </w:rPr>
        <w:t>(Commission</w:t>
      </w:r>
    </w:p>
    <w:p>
      <w:pPr>
        <w:spacing w:after="0" w:line="18" w:lineRule="exact"/>
        <w:rPr>
          <w:sz w:val="24"/>
          <w:szCs w:val="24"/>
          <w:color w:val="auto"/>
        </w:rPr>
      </w:pPr>
    </w:p>
    <w:p>
      <w:pPr>
        <w:jc w:val="center"/>
        <w:ind w:right="2300"/>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340"/>
        <w:spacing w:after="0"/>
        <w:rPr>
          <w:sz w:val="20"/>
          <w:szCs w:val="20"/>
          <w:color w:val="auto"/>
        </w:rPr>
      </w:pPr>
      <w:r>
        <w:rPr>
          <w:rFonts w:ascii="Arial" w:cs="Arial" w:eastAsia="Arial" w:hAnsi="Arial"/>
          <w:sz w:val="12"/>
          <w:szCs w:val="12"/>
          <w:b w:val="1"/>
          <w:bCs w:val="1"/>
          <w:color w:val="auto"/>
        </w:rPr>
        <w:t>98-1480821</w:t>
      </w:r>
    </w:p>
    <w:p>
      <w:pPr>
        <w:spacing w:after="0" w:line="19" w:lineRule="exact"/>
        <w:rPr>
          <w:sz w:val="24"/>
          <w:szCs w:val="24"/>
          <w:color w:val="auto"/>
        </w:rPr>
      </w:pPr>
    </w:p>
    <w:p>
      <w:pPr>
        <w:jc w:val="center"/>
        <w:ind w:right="13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jc w:val="center"/>
        <w:ind w:right="1340"/>
        <w:spacing w:after="0"/>
        <w:rPr>
          <w:sz w:val="20"/>
          <w:szCs w:val="20"/>
          <w:color w:val="auto"/>
        </w:rPr>
      </w:pPr>
      <w:r>
        <w:rPr>
          <w:rFonts w:ascii="Arial" w:cs="Arial" w:eastAsia="Arial" w:hAnsi="Arial"/>
          <w:sz w:val="11"/>
          <w:szCs w:val="11"/>
          <w:b w:val="1"/>
          <w:bCs w:val="1"/>
          <w:color w:val="auto"/>
        </w:rPr>
        <w:t>Identification No.)</w:t>
      </w:r>
    </w:p>
    <w:p>
      <w:pPr>
        <w:spacing w:after="0" w:line="148" w:lineRule="exact"/>
        <w:rPr>
          <w:sz w:val="24"/>
          <w:szCs w:val="24"/>
          <w:color w:val="auto"/>
        </w:rPr>
      </w:pPr>
    </w:p>
    <w:p>
      <w:pPr>
        <w:sectPr>
          <w:pgSz w:w="11900" w:h="16838" w:orient="portrait"/>
          <w:cols w:equalWidth="0" w:num="3">
            <w:col w:w="4588" w:space="720"/>
            <w:col w:w="3000" w:space="720"/>
            <w:col w:w="2280"/>
          </w:cols>
          <w:pgMar w:left="292" w:top="391" w:right="299" w:bottom="1440" w:gutter="0" w:footer="0" w:header="0"/>
          <w:type w:val="continuous"/>
        </w:sectPr>
      </w:pPr>
    </w:p>
    <w:p>
      <w:pPr>
        <w:jc w:val="center"/>
        <w:ind w:right="1992"/>
        <w:spacing w:after="0"/>
        <w:rPr>
          <w:sz w:val="20"/>
          <w:szCs w:val="20"/>
          <w:color w:val="auto"/>
        </w:rPr>
      </w:pPr>
      <w:r>
        <w:rPr>
          <w:rFonts w:ascii="Arial" w:cs="Arial" w:eastAsia="Arial" w:hAnsi="Arial"/>
          <w:sz w:val="12"/>
          <w:szCs w:val="12"/>
          <w:b w:val="1"/>
          <w:bCs w:val="1"/>
          <w:color w:val="auto"/>
        </w:rPr>
        <w:t>611 Gateway Blvd., Suite 223</w:t>
      </w:r>
    </w:p>
    <w:p>
      <w:pPr>
        <w:spacing w:after="0" w:line="19" w:lineRule="exact"/>
        <w:rPr>
          <w:sz w:val="24"/>
          <w:szCs w:val="24"/>
          <w:color w:val="auto"/>
        </w:rPr>
      </w:pPr>
    </w:p>
    <w:p>
      <w:pPr>
        <w:jc w:val="center"/>
        <w:ind w:right="1992"/>
        <w:spacing w:after="0"/>
        <w:rPr>
          <w:sz w:val="20"/>
          <w:szCs w:val="20"/>
          <w:color w:val="auto"/>
        </w:rPr>
      </w:pPr>
      <w:r>
        <w:rPr>
          <w:rFonts w:ascii="Arial" w:cs="Arial" w:eastAsia="Arial" w:hAnsi="Arial"/>
          <w:sz w:val="12"/>
          <w:szCs w:val="12"/>
          <w:b w:val="1"/>
          <w:bCs w:val="1"/>
          <w:color w:val="auto"/>
        </w:rPr>
        <w:t>South San Francisco, California</w:t>
      </w:r>
    </w:p>
    <w:p>
      <w:pPr>
        <w:spacing w:after="0" w:line="6" w:lineRule="exact"/>
        <w:rPr>
          <w:sz w:val="24"/>
          <w:szCs w:val="24"/>
          <w:color w:val="auto"/>
        </w:rPr>
      </w:pPr>
    </w:p>
    <w:p>
      <w:pPr>
        <w:jc w:val="center"/>
        <w:ind w:right="1992"/>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94080</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0"/>
          <w:szCs w:val="10"/>
          <w:b w:val="1"/>
          <w:bCs w:val="1"/>
          <w:color w:val="auto"/>
        </w:rPr>
        <w:t>(Zip Code)</w:t>
      </w:r>
    </w:p>
    <w:p>
      <w:pPr>
        <w:spacing w:after="0" w:line="160" w:lineRule="exact"/>
        <w:rPr>
          <w:sz w:val="24"/>
          <w:szCs w:val="24"/>
          <w:color w:val="auto"/>
        </w:rPr>
      </w:pPr>
    </w:p>
    <w:p>
      <w:pPr>
        <w:sectPr>
          <w:pgSz w:w="11900" w:h="16838" w:orient="portrait"/>
          <w:cols w:equalWidth="0" w:num="2">
            <w:col w:w="7548" w:space="720"/>
            <w:col w:w="3040"/>
          </w:cols>
          <w:pgMar w:left="292" w:top="391" w:right="299" w:bottom="1440" w:gutter="0" w:footer="0" w:header="0"/>
          <w:type w:val="continuous"/>
        </w:sectPr>
      </w:pPr>
    </w:p>
    <w:p>
      <w:pPr>
        <w:jc w:val="center"/>
        <w:ind w:right="-7"/>
        <w:spacing w:after="0"/>
        <w:rPr>
          <w:sz w:val="20"/>
          <w:szCs w:val="20"/>
          <w:color w:val="auto"/>
        </w:rPr>
      </w:pPr>
      <w:r>
        <w:rPr>
          <w:rFonts w:ascii="Arial" w:cs="Arial" w:eastAsia="Arial" w:hAnsi="Arial"/>
          <w:sz w:val="12"/>
          <w:szCs w:val="12"/>
          <w:b w:val="1"/>
          <w:bCs w:val="1"/>
          <w:color w:val="auto"/>
        </w:rPr>
        <w:t>(Registrant’s telephone number, including area code): (628) 229-9277</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7680" w:type="dxa"/>
            <w:vAlign w:val="bottom"/>
            <w:gridSpan w:val="4"/>
          </w:tcPr>
          <w:p>
            <w:pPr>
              <w:ind w:left="428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620" w:type="dxa"/>
            <w:vAlign w:val="bottom"/>
          </w:tcPr>
          <w:p>
            <w:pPr>
              <w:spacing w:after="0"/>
              <w:rPr>
                <w:sz w:val="13"/>
                <w:szCs w:val="13"/>
                <w:color w:val="auto"/>
              </w:rPr>
            </w:pPr>
          </w:p>
        </w:tc>
      </w:tr>
      <w:tr>
        <w:trPr>
          <w:trHeight w:val="275"/>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Name Of Each Exchange</w:t>
            </w:r>
          </w:p>
        </w:tc>
        <w:tc>
          <w:tcPr>
            <w:tcW w:w="3620" w:type="dxa"/>
            <w:vAlign w:val="bottom"/>
          </w:tcPr>
          <w:p>
            <w:pPr>
              <w:spacing w:after="0"/>
              <w:rPr>
                <w:sz w:val="23"/>
                <w:szCs w:val="23"/>
                <w:color w:val="auto"/>
              </w:rPr>
            </w:pPr>
          </w:p>
        </w:tc>
      </w:tr>
      <w:tr>
        <w:trPr>
          <w:trHeight w:val="157"/>
        </w:trPr>
        <w:tc>
          <w:tcPr>
            <w:tcW w:w="5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Title of Each Class</w:t>
            </w:r>
          </w:p>
        </w:tc>
        <w:tc>
          <w:tcPr>
            <w:tcW w:w="2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Trading Symbol(s)</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0"/>
              </w:rPr>
              <w:t>On Which Registered</w:t>
            </w:r>
          </w:p>
        </w:tc>
      </w:tr>
      <w:tr>
        <w:trPr>
          <w:trHeight w:val="124"/>
        </w:trPr>
        <w:tc>
          <w:tcPr>
            <w:tcW w:w="4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89"/>
              </w:rPr>
              <w:t>American Depositary Shares (ADSs), each representing three ordinary shares, par value $0.0001 per</w:t>
            </w:r>
          </w:p>
        </w:tc>
        <w:tc>
          <w:tcPr>
            <w:tcW w:w="240" w:type="dxa"/>
            <w:vAlign w:val="bottom"/>
          </w:tcPr>
          <w:p>
            <w:pPr>
              <w:spacing w:after="0"/>
              <w:rPr>
                <w:sz w:val="10"/>
                <w:szCs w:val="10"/>
                <w:color w:val="auto"/>
              </w:rPr>
            </w:pPr>
          </w:p>
        </w:tc>
        <w:tc>
          <w:tcPr>
            <w:tcW w:w="22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86"/>
              </w:rPr>
              <w:t>GPCR</w:t>
            </w:r>
          </w:p>
        </w:tc>
        <w:tc>
          <w:tcPr>
            <w:tcW w:w="22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2"/>
              </w:rPr>
              <w:t>Nasdaq Global Market</w:t>
            </w:r>
          </w:p>
        </w:tc>
      </w:tr>
      <w:tr>
        <w:trPr>
          <w:trHeight w:val="153"/>
        </w:trPr>
        <w:tc>
          <w:tcPr>
            <w:tcW w:w="520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ordinary share</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52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Ordinary shares, par value $0.0001 per share*</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2"/>
                <w:szCs w:val="12"/>
                <w:color w:val="auto"/>
                <w:w w:val="91"/>
              </w:rPr>
              <w:t>Nasdaq Global Market*</w:t>
            </w: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 Not for trading, but only in connection with the registration of the American Depositary Shares</w:t>
      </w:r>
    </w:p>
    <w:p>
      <w:pPr>
        <w:spacing w:after="0" w:line="150"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0" w:lineRule="exact"/>
        <w:rPr>
          <w:sz w:val="24"/>
          <w:szCs w:val="24"/>
          <w:color w:val="auto"/>
        </w:rPr>
      </w:pPr>
    </w:p>
    <w:p>
      <w:pPr>
        <w:ind w:left="8" w:right="10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left="8" w:right="400"/>
        <w:spacing w:after="0" w:line="276" w:lineRule="auto"/>
        <w:rPr>
          <w:sz w:val="20"/>
          <w:szCs w:val="20"/>
          <w:color w:val="auto"/>
        </w:rPr>
      </w:pPr>
      <w:r>
        <w:rPr>
          <w:rFonts w:ascii="Arial" w:cs="Arial" w:eastAsia="Arial" w:hAnsi="Arial"/>
          <w:sz w:val="12"/>
          <w:szCs w:val="12"/>
          <w:color w:val="auto"/>
        </w:rPr>
        <w:t>On September 29, 2023, Structure Therapeutics Inc. (the “Company”) issued a press release and will be hosting a conference call and webcast to discuss the results of its Phase 1b multiple ascending dose study of its oral GLP-1 agonist, GSBR-1290, in healthy overweight or obese individuals and provide a program update.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Copies of the press release and investor presentation the Company intends to use during the conference call and webcast are attached as Exhibits 99.1 and 99.2 to this Current Report on Form 8-K, respectively.</w:t>
      </w:r>
    </w:p>
    <w:p>
      <w:pPr>
        <w:spacing w:after="0" w:line="150" w:lineRule="exact"/>
        <w:rPr>
          <w:sz w:val="20"/>
          <w:szCs w:val="20"/>
          <w:color w:val="auto"/>
        </w:rPr>
      </w:pPr>
    </w:p>
    <w:p>
      <w:pPr>
        <w:jc w:val="both"/>
        <w:ind w:left="8" w:right="300"/>
        <w:spacing w:after="0" w:line="298" w:lineRule="auto"/>
        <w:rPr>
          <w:sz w:val="20"/>
          <w:szCs w:val="20"/>
          <w:color w:val="auto"/>
        </w:rPr>
      </w:pPr>
      <w:r>
        <w:rPr>
          <w:rFonts w:ascii="Arial" w:cs="Arial" w:eastAsia="Arial" w:hAnsi="Arial"/>
          <w:sz w:val="11"/>
          <w:szCs w:val="11"/>
          <w:color w:val="auto"/>
        </w:rPr>
        <w:t>The information set forth in this Item 7.01 and in the press release and investor presentation attached hereto as Exhibits 99.1 and 99.2, respectively, is deemed to be “furnished” and shall not be deemed to be “filed” for purposes of Section 18 of the Securities Exchange Act of 1934, as amended (the “Exchange Act”), or otherwise subject to the liabilities of that Section. The information set forth in this Item 7.01, including Exhibits 99.1 and 99.2, shall not be deemed incorporated by reference into any filing under the Exchange Act or the Securities Act of 1933, as amended, except to the extent that the Company specifically incorporates it by reference.</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168" w:hanging="168"/>
        <w:spacing w:after="0"/>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146" w:lineRule="exact"/>
        <w:rPr>
          <w:rFonts w:ascii="Arial" w:cs="Arial" w:eastAsia="Arial" w:hAnsi="Arial"/>
          <w:sz w:val="12"/>
          <w:szCs w:val="12"/>
          <w:color w:val="auto"/>
        </w:rPr>
      </w:pPr>
    </w:p>
    <w:p>
      <w:pPr>
        <w:ind w:left="148"/>
        <w:spacing w:after="0"/>
        <w:rPr>
          <w:rFonts w:ascii="Arial" w:cs="Arial" w:eastAsia="Arial" w:hAnsi="Arial"/>
          <w:sz w:val="12"/>
          <w:szCs w:val="12"/>
          <w:color w:val="auto"/>
        </w:rPr>
      </w:pPr>
      <w:r>
        <w:rPr>
          <w:rFonts w:ascii="Arial" w:cs="Arial" w:eastAsia="Arial" w:hAnsi="Arial"/>
          <w:sz w:val="12"/>
          <w:szCs w:val="12"/>
          <w:b w:val="1"/>
          <w:bCs w:val="1"/>
          <w:color w:val="auto"/>
        </w:rPr>
        <w:t>Exhibit</w:t>
      </w:r>
    </w:p>
    <w:p>
      <w:pPr>
        <w:spacing w:after="0" w:line="18" w:lineRule="exact"/>
        <w:rPr>
          <w:rFonts w:ascii="Arial" w:cs="Arial" w:eastAsia="Arial" w:hAnsi="Arial"/>
          <w:sz w:val="12"/>
          <w:szCs w:val="12"/>
          <w:color w:val="auto"/>
        </w:rPr>
      </w:pPr>
    </w:p>
    <w:p>
      <w:pPr>
        <w:ind w:left="248"/>
        <w:spacing w:after="0"/>
        <w:rPr>
          <w:rFonts w:ascii="Arial" w:cs="Arial" w:eastAsia="Arial" w:hAnsi="Arial"/>
          <w:sz w:val="12"/>
          <w:szCs w:val="12"/>
          <w:color w:val="auto"/>
        </w:rPr>
      </w:pPr>
      <w:r>
        <w:rPr>
          <w:rFonts w:ascii="Arial" w:cs="Arial" w:eastAsia="Arial" w:hAnsi="Arial"/>
          <w:sz w:val="12"/>
          <w:szCs w:val="12"/>
          <w:b w:val="1"/>
          <w:bCs w:val="1"/>
          <w:color w:val="auto"/>
        </w:rPr>
        <w:t>No.</w:t>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1</w:t>
            </w:r>
          </w:p>
        </w:tc>
        <w:tc>
          <w:tcPr>
            <w:tcW w:w="700" w:type="dxa"/>
            <w:vAlign w:val="bottom"/>
          </w:tcPr>
          <w:p>
            <w:pPr>
              <w:spacing w:after="0"/>
              <w:rPr>
                <w:sz w:val="12"/>
                <w:szCs w:val="12"/>
                <w:color w:val="auto"/>
              </w:rPr>
            </w:pPr>
          </w:p>
        </w:tc>
        <w:tc>
          <w:tcPr>
            <w:tcW w:w="20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86"/>
              </w:rPr>
              <w:t>Press Release, dated September 29, 2023.</w:t>
            </w:r>
          </w:p>
        </w:tc>
        <w:tc>
          <w:tcPr>
            <w:tcW w:w="8400" w:type="dxa"/>
            <w:vAlign w:val="bottom"/>
            <w:gridSpan w:val="2"/>
          </w:tcPr>
          <w:p>
            <w:pPr>
              <w:spacing w:after="0"/>
              <w:rPr>
                <w:sz w:val="12"/>
                <w:szCs w:val="12"/>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2</w:t>
            </w:r>
          </w:p>
        </w:tc>
        <w:tc>
          <w:tcPr>
            <w:tcW w:w="700" w:type="dxa"/>
            <w:vAlign w:val="bottom"/>
          </w:tcPr>
          <w:p>
            <w:pPr>
              <w:spacing w:after="0"/>
              <w:rPr>
                <w:sz w:val="23"/>
                <w:szCs w:val="23"/>
                <w:color w:val="auto"/>
              </w:rPr>
            </w:pPr>
          </w:p>
        </w:tc>
        <w:tc>
          <w:tcPr>
            <w:tcW w:w="236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88"/>
              </w:rPr>
              <w:t>Investor Presentation, dated September 29, 2023.</w:t>
            </w:r>
          </w:p>
        </w:tc>
        <w:tc>
          <w:tcPr>
            <w:tcW w:w="804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700" w:type="dxa"/>
            <w:vAlign w:val="bottom"/>
          </w:tcPr>
          <w:p>
            <w:pPr>
              <w:spacing w:after="0"/>
              <w:rPr>
                <w:sz w:val="24"/>
                <w:szCs w:val="24"/>
                <w:color w:val="auto"/>
              </w:rPr>
            </w:pPr>
          </w:p>
        </w:tc>
        <w:tc>
          <w:tcPr>
            <w:tcW w:w="1040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4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7860" w:type="dxa"/>
            <w:vAlign w:val="bottom"/>
            <w:gridSpan w:val="2"/>
          </w:tcPr>
          <w:p>
            <w:pPr>
              <w:ind w:left="2220"/>
              <w:spacing w:after="0"/>
              <w:rPr>
                <w:sz w:val="20"/>
                <w:szCs w:val="20"/>
                <w:color w:val="auto"/>
              </w:rPr>
            </w:pPr>
            <w:r>
              <w:rPr>
                <w:rFonts w:ascii="Arial" w:cs="Arial" w:eastAsia="Arial" w:hAnsi="Arial"/>
                <w:sz w:val="12"/>
                <w:szCs w:val="12"/>
                <w:b w:val="1"/>
                <w:bCs w:val="1"/>
                <w:color w:val="auto"/>
              </w:rPr>
              <w:t>Structure Therapeutics Inc.</w:t>
            </w:r>
          </w:p>
        </w:tc>
      </w:tr>
      <w:tr>
        <w:trPr>
          <w:trHeight w:val="288"/>
        </w:trPr>
        <w:tc>
          <w:tcPr>
            <w:tcW w:w="3440" w:type="dxa"/>
            <w:vAlign w:val="bottom"/>
          </w:tcPr>
          <w:p>
            <w:pPr>
              <w:spacing w:after="0"/>
              <w:rPr>
                <w:sz w:val="20"/>
                <w:szCs w:val="20"/>
                <w:color w:val="auto"/>
              </w:rPr>
            </w:pPr>
            <w:r>
              <w:rPr>
                <w:rFonts w:ascii="Arial" w:cs="Arial" w:eastAsia="Arial" w:hAnsi="Arial"/>
                <w:sz w:val="12"/>
                <w:szCs w:val="12"/>
                <w:color w:val="auto"/>
              </w:rPr>
              <w:t>Date: September 29, 2023</w:t>
            </w:r>
          </w:p>
        </w:tc>
        <w:tc>
          <w:tcPr>
            <w:tcW w:w="7860" w:type="dxa"/>
            <w:vAlign w:val="bottom"/>
            <w:gridSpan w:val="2"/>
          </w:tcPr>
          <w:p>
            <w:pPr>
              <w:ind w:left="2220"/>
              <w:spacing w:after="0"/>
              <w:rPr>
                <w:sz w:val="20"/>
                <w:szCs w:val="20"/>
                <w:color w:val="auto"/>
              </w:rPr>
            </w:pPr>
            <w:r>
              <w:rPr>
                <w:rFonts w:ascii="Arial" w:cs="Arial" w:eastAsia="Arial" w:hAnsi="Arial"/>
                <w:sz w:val="12"/>
                <w:szCs w:val="12"/>
                <w:color w:val="auto"/>
              </w:rPr>
              <w:t>By:   /s/ Raymond Stevens</w:t>
            </w:r>
          </w:p>
        </w:tc>
      </w:tr>
      <w:tr>
        <w:trPr>
          <w:trHeight w:val="124"/>
        </w:trPr>
        <w:tc>
          <w:tcPr>
            <w:tcW w:w="3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Raymond Stevens, Ph.D.</w:t>
            </w:r>
          </w:p>
        </w:tc>
      </w:tr>
      <w:tr>
        <w:trPr>
          <w:trHeight w:val="153"/>
        </w:trPr>
        <w:tc>
          <w:tcPr>
            <w:tcW w:w="3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450"/>
        </w:trPr>
        <w:tc>
          <w:tcPr>
            <w:tcW w:w="3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103505</wp:posOffset>
            </wp:positionV>
            <wp:extent cx="194881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88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Structure Therapeutics Announces Positive Results from Phase 1b Clinical Study of Oral GLP-1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Receptor Agonist GSBR-1290 and Provides Program Update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GSBR-1290 shown to be generally well-tolerated with no adverse event-related discontinuations in Phase 1b multiple ascending dose study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Significant weight loss at 28 days supporting once-daily dosing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Topline data from Phase 2a type 2 diabetes cohort expected in latter half of fourth quarter 2023; topline data from obesity cohort now expected in the first half 2024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Phase 2b studies in type 2 diabetes and obesity planned for initiation in 2024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Company to host conference call today, September 29 at 8:30 a.m. ET</w:t>
      </w:r>
    </w:p>
    <w:p>
      <w:pPr>
        <w:spacing w:after="0" w:line="146" w:lineRule="exact"/>
        <w:rPr>
          <w:sz w:val="20"/>
          <w:szCs w:val="20"/>
          <w:color w:val="auto"/>
        </w:rPr>
      </w:pPr>
    </w:p>
    <w:p>
      <w:pPr>
        <w:ind w:right="120"/>
        <w:spacing w:after="0" w:line="266" w:lineRule="auto"/>
        <w:rPr>
          <w:sz w:val="20"/>
          <w:szCs w:val="20"/>
          <w:color w:val="auto"/>
        </w:rPr>
      </w:pPr>
      <w:r>
        <w:rPr>
          <w:rFonts w:ascii="Arial" w:cs="Arial" w:eastAsia="Arial" w:hAnsi="Arial"/>
          <w:sz w:val="12"/>
          <w:szCs w:val="12"/>
          <w:b w:val="1"/>
          <w:bCs w:val="1"/>
          <w:color w:val="auto"/>
        </w:rPr>
        <w:t xml:space="preserve">SAN FRANCISCO – September 29, 2023 – </w:t>
      </w:r>
      <w:r>
        <w:rPr>
          <w:rFonts w:ascii="Arial" w:cs="Arial" w:eastAsia="Arial" w:hAnsi="Arial"/>
          <w:sz w:val="12"/>
          <w:szCs w:val="12"/>
          <w:color w:val="auto"/>
        </w:rPr>
        <w:t>Structure Therapeutics Inc. (NASDAQ: GPCR), a clinical-stage global biopharmaceutical company developing novel oral small molecule therapeutics for metabolic and cardiopulmonary</w:t>
      </w:r>
      <w:r>
        <w:rPr>
          <w:rFonts w:ascii="Arial" w:cs="Arial" w:eastAsia="Arial" w:hAnsi="Arial"/>
          <w:sz w:val="12"/>
          <w:szCs w:val="12"/>
          <w:b w:val="1"/>
          <w:bCs w:val="1"/>
          <w:color w:val="auto"/>
        </w:rPr>
        <w:t xml:space="preserve"> </w:t>
      </w:r>
      <w:r>
        <w:rPr>
          <w:rFonts w:ascii="Arial" w:cs="Arial" w:eastAsia="Arial" w:hAnsi="Arial"/>
          <w:sz w:val="12"/>
          <w:szCs w:val="12"/>
          <w:color w:val="auto"/>
        </w:rPr>
        <w:t>diseases, today announced positive results from the Phase 1b multiple ascending dose (MAD) study of its highly selective oral GLP-1 receptor agonist, GSBR-1290, in healthy overweight or obese individuals. In the 28-day study, GSBR-1290 demonstrated significant weight loss supporting once-daily (QD) dosing and an encouraging safety and tolerability profile.</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These positive Phase 1b results support GSBR-1290 as a promising, differentiated oral GLP-1 receptor agonist with once-daily dosing,” said Raymond Stevens, Ph.D., Founder and CEO of Structure. “GSBR-1290 demonstrated an</w:t>
      </w:r>
      <w:r>
        <w:rPr>
          <w:rFonts w:ascii="Arial" w:cs="Arial" w:eastAsia="Arial" w:hAnsi="Arial"/>
          <w:sz w:val="11"/>
          <w:szCs w:val="11"/>
          <w:b w:val="1"/>
          <w:bCs w:val="1"/>
          <w:color w:val="auto"/>
        </w:rPr>
        <w:t xml:space="preserve"> </w:t>
      </w:r>
      <w:r>
        <w:rPr>
          <w:rFonts w:ascii="Arial" w:cs="Arial" w:eastAsia="Arial" w:hAnsi="Arial"/>
          <w:sz w:val="11"/>
          <w:szCs w:val="11"/>
          <w:color w:val="auto"/>
        </w:rPr>
        <w:t>encouraging safety and tolerability profile with no adverse event-related discontinuations and we are encouraged by the weight loss observed following four weeks of treatment. We look forward to sharing results of GSBR-1290 over a longer 12-week period in the Phase 2a study, and we continue to move forward with all activities in order to begin Phase 2b clinical trials in both type 2 diabetes and obesity as planned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Phase 1b Study Results</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Phase 1b MAD study focused on the safety and tolerability of GSBR-1290 in 24 healthy overweight or obese individuals. Participants were randomized 3:1 to GSBR-1290 or placebo across three dose cohorts with target doses of 30mg, 60mg or 90mg.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GSBR-1290 demonstrated reductions in mean body weight ranging up to 4.9 kg compared to baseline, and up to 4.9% placebo-adjusted.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40" w:type="dxa"/>
            <w:vAlign w:val="bottom"/>
            <w:gridSpan w:val="2"/>
          </w:tcPr>
          <w:p>
            <w:pPr>
              <w:spacing w:after="0"/>
              <w:rPr>
                <w:sz w:val="20"/>
                <w:szCs w:val="20"/>
                <w:color w:val="auto"/>
              </w:rPr>
            </w:pPr>
            <w:r>
              <w:rPr>
                <w:rFonts w:ascii="Arial" w:cs="Arial" w:eastAsia="Arial" w:hAnsi="Arial"/>
                <w:sz w:val="12"/>
                <w:szCs w:val="12"/>
                <w:color w:val="auto"/>
              </w:rPr>
              <w:t>Table 1: Percent weight change from baseline to day 28</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86"/>
        </w:trPr>
        <w:tc>
          <w:tcPr>
            <w:tcW w:w="266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GSBR-1290</w:t>
            </w: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GSBR-1290</w:t>
            </w:r>
          </w:p>
        </w:tc>
        <w:tc>
          <w:tcPr>
            <w:tcW w:w="1360" w:type="dxa"/>
            <w:vAlign w:val="bottom"/>
          </w:tcPr>
          <w:p>
            <w:pPr>
              <w:jc w:val="center"/>
              <w:spacing w:after="0"/>
              <w:rPr>
                <w:sz w:val="20"/>
                <w:szCs w:val="20"/>
                <w:color w:val="auto"/>
              </w:rPr>
            </w:pPr>
            <w:r>
              <w:rPr>
                <w:rFonts w:ascii="Arial" w:cs="Arial" w:eastAsia="Arial" w:hAnsi="Arial"/>
                <w:sz w:val="12"/>
                <w:szCs w:val="12"/>
                <w:color w:val="auto"/>
                <w:w w:val="92"/>
              </w:rPr>
              <w:t>GSBR-1290</w:t>
            </w:r>
          </w:p>
        </w:tc>
      </w:tr>
      <w:tr>
        <w:trPr>
          <w:trHeight w:val="144"/>
        </w:trPr>
        <w:tc>
          <w:tcPr>
            <w:tcW w:w="2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Placebo</w:t>
            </w: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30 mg</w:t>
            </w: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60 mg</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90 mg</w:t>
            </w:r>
          </w:p>
        </w:tc>
      </w:tr>
      <w:tr>
        <w:trPr>
          <w:trHeight w:val="153"/>
        </w:trPr>
        <w:tc>
          <w:tcPr>
            <w:tcW w:w="2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(n=5)</w:t>
            </w: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(n=6)</w:t>
            </w:r>
          </w:p>
        </w:tc>
        <w:tc>
          <w:tcPr>
            <w:tcW w:w="1460" w:type="dxa"/>
            <w:vAlign w:val="bottom"/>
            <w:gridSpan w:val="2"/>
          </w:tcPr>
          <w:p>
            <w:pPr>
              <w:jc w:val="center"/>
              <w:ind w:right="100"/>
              <w:spacing w:after="0"/>
              <w:rPr>
                <w:sz w:val="20"/>
                <w:szCs w:val="20"/>
                <w:color w:val="auto"/>
              </w:rPr>
            </w:pPr>
            <w:r>
              <w:rPr>
                <w:rFonts w:ascii="Arial" w:cs="Arial" w:eastAsia="Arial" w:hAnsi="Arial"/>
                <w:sz w:val="12"/>
                <w:szCs w:val="12"/>
                <w:color w:val="auto"/>
                <w:w w:val="98"/>
              </w:rPr>
              <w:t>(n=6)</w:t>
            </w: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(n=5)</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 weight change from baseline</w:t>
            </w: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-0.5%</w:t>
            </w: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-5.2%</w:t>
            </w: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-5.4%</w:t>
            </w:r>
          </w:p>
        </w:tc>
      </w:tr>
      <w:tr>
        <w:trPr>
          <w:trHeight w:val="135"/>
        </w:trPr>
        <w:tc>
          <w:tcPr>
            <w:tcW w:w="5540" w:type="dxa"/>
            <w:vAlign w:val="bottom"/>
            <w:gridSpan w:val="2"/>
          </w:tcPr>
          <w:p>
            <w:pPr>
              <w:spacing w:after="0" w:line="135" w:lineRule="exact"/>
              <w:rPr>
                <w:sz w:val="20"/>
                <w:szCs w:val="20"/>
                <w:color w:val="auto"/>
              </w:rPr>
            </w:pPr>
            <w:r>
              <w:rPr>
                <w:rFonts w:ascii="Arial" w:cs="Arial" w:eastAsia="Arial" w:hAnsi="Arial"/>
                <w:sz w:val="12"/>
                <w:szCs w:val="12"/>
                <w:color w:val="auto"/>
              </w:rPr>
              <w:t>% weight change placebo-adjusted (90% CI)</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2"/>
                <w:szCs w:val="12"/>
                <w:color w:val="auto"/>
              </w:rPr>
              <w:t>-1.1%</w:t>
            </w:r>
          </w:p>
        </w:tc>
        <w:tc>
          <w:tcPr>
            <w:tcW w:w="10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2"/>
                <w:szCs w:val="12"/>
                <w:color w:val="auto"/>
              </w:rPr>
              <w:t>-4.9%</w:t>
            </w:r>
          </w:p>
        </w:tc>
      </w:tr>
      <w:tr>
        <w:trPr>
          <w:trHeight w:val="153"/>
        </w:trPr>
        <w:tc>
          <w:tcPr>
            <w:tcW w:w="2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2"/>
                <w:szCs w:val="12"/>
                <w:color w:val="auto"/>
              </w:rPr>
              <w:t>(-3.8 to 1.7)</w:t>
            </w:r>
          </w:p>
        </w:tc>
        <w:tc>
          <w:tcPr>
            <w:tcW w:w="1460" w:type="dxa"/>
            <w:vAlign w:val="bottom"/>
            <w:gridSpan w:val="2"/>
          </w:tcPr>
          <w:p>
            <w:pPr>
              <w:spacing w:after="0"/>
              <w:rPr>
                <w:sz w:val="20"/>
                <w:szCs w:val="20"/>
                <w:color w:val="auto"/>
              </w:rPr>
            </w:pPr>
            <w:r>
              <w:rPr>
                <w:rFonts w:ascii="Arial" w:cs="Arial" w:eastAsia="Arial" w:hAnsi="Arial"/>
                <w:sz w:val="12"/>
                <w:szCs w:val="12"/>
                <w:color w:val="auto"/>
              </w:rPr>
              <w:t>(-6.6 to -2.7)</w:t>
            </w:r>
          </w:p>
        </w:tc>
        <w:tc>
          <w:tcPr>
            <w:tcW w:w="1360" w:type="dxa"/>
            <w:vAlign w:val="bottom"/>
          </w:tcPr>
          <w:p>
            <w:pPr>
              <w:spacing w:after="0"/>
              <w:rPr>
                <w:sz w:val="20"/>
                <w:szCs w:val="20"/>
                <w:color w:val="auto"/>
              </w:rPr>
            </w:pPr>
            <w:r>
              <w:rPr>
                <w:rFonts w:ascii="Arial" w:cs="Arial" w:eastAsia="Arial" w:hAnsi="Arial"/>
                <w:sz w:val="12"/>
                <w:szCs w:val="12"/>
                <w:color w:val="auto"/>
              </w:rPr>
              <w:t>(-7.8 to -1.9)</w:t>
            </w: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Exploratory p-value vs. placebo</w:t>
            </w: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0.494</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0.002</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0.013</w:t>
            </w:r>
          </w:p>
        </w:tc>
      </w:tr>
    </w:tbl>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GSBR-1290 demonstrated an encouraging safety and tolerability profile following once-daily dosing. No participants discontinued the study drug due to adverse events. The majority of adverse events reported were mild, with no severe or serious adverse events observed. As expected for this class, leading adverse events were gastrointestinal-related, with the two most common adverse events being nausea and vomiting, with higher incidences observed in the 60 and 90 mg dose cohorts compared to placebo. There were no clinically meaningful changes in liver function tests.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gridSpan w:val="3"/>
          </w:tcPr>
          <w:p>
            <w:pPr>
              <w:spacing w:after="0"/>
              <w:rPr>
                <w:sz w:val="20"/>
                <w:szCs w:val="20"/>
                <w:color w:val="auto"/>
              </w:rPr>
            </w:pPr>
            <w:r>
              <w:rPr>
                <w:rFonts w:ascii="Arial" w:cs="Arial" w:eastAsia="Arial" w:hAnsi="Arial"/>
                <w:sz w:val="12"/>
                <w:szCs w:val="12"/>
                <w:color w:val="auto"/>
              </w:rPr>
              <w:t>Table 2: Summary of Treatment Emergent Adverse Events (TEAEs)</w:t>
            </w: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86"/>
        </w:trPr>
        <w:tc>
          <w:tcPr>
            <w:tcW w:w="32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2"/>
                <w:szCs w:val="12"/>
                <w:color w:val="auto"/>
              </w:rPr>
              <w:t>GSBR-1290</w:t>
            </w:r>
          </w:p>
        </w:tc>
        <w:tc>
          <w:tcPr>
            <w:tcW w:w="80" w:type="dxa"/>
            <w:vAlign w:val="bottom"/>
          </w:tcPr>
          <w:p>
            <w:pPr>
              <w:spacing w:after="0"/>
              <w:rPr>
                <w:sz w:val="24"/>
                <w:szCs w:val="24"/>
                <w:color w:val="auto"/>
              </w:rPr>
            </w:pPr>
          </w:p>
        </w:tc>
        <w:tc>
          <w:tcPr>
            <w:tcW w:w="1500" w:type="dxa"/>
            <w:vAlign w:val="bottom"/>
            <w:gridSpan w:val="2"/>
          </w:tcPr>
          <w:p>
            <w:pPr>
              <w:ind w:left="280"/>
              <w:spacing w:after="0"/>
              <w:rPr>
                <w:sz w:val="20"/>
                <w:szCs w:val="20"/>
                <w:color w:val="auto"/>
              </w:rPr>
            </w:pPr>
            <w:r>
              <w:rPr>
                <w:rFonts w:ascii="Arial" w:cs="Arial" w:eastAsia="Arial" w:hAnsi="Arial"/>
                <w:sz w:val="12"/>
                <w:szCs w:val="12"/>
                <w:color w:val="auto"/>
              </w:rPr>
              <w:t>GSBR-1290</w:t>
            </w:r>
          </w:p>
        </w:tc>
        <w:tc>
          <w:tcPr>
            <w:tcW w:w="6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Arial" w:cs="Arial" w:eastAsia="Arial" w:hAnsi="Arial"/>
                <w:sz w:val="12"/>
                <w:szCs w:val="12"/>
                <w:color w:val="auto"/>
              </w:rPr>
              <w:t>GSBR-1290</w:t>
            </w:r>
          </w:p>
        </w:tc>
        <w:tc>
          <w:tcPr>
            <w:tcW w:w="1360" w:type="dxa"/>
            <w:vAlign w:val="bottom"/>
          </w:tcPr>
          <w:p>
            <w:pPr>
              <w:ind w:left="300"/>
              <w:spacing w:after="0"/>
              <w:rPr>
                <w:sz w:val="20"/>
                <w:szCs w:val="20"/>
                <w:color w:val="auto"/>
              </w:rPr>
            </w:pPr>
            <w:r>
              <w:rPr>
                <w:rFonts w:ascii="Arial" w:cs="Arial" w:eastAsia="Arial" w:hAnsi="Arial"/>
                <w:sz w:val="12"/>
                <w:szCs w:val="12"/>
                <w:color w:val="auto"/>
              </w:rPr>
              <w:t>Placebo pooled</w:t>
            </w:r>
          </w:p>
        </w:tc>
      </w:tr>
      <w:tr>
        <w:trPr>
          <w:trHeight w:val="153"/>
        </w:trPr>
        <w:tc>
          <w:tcPr>
            <w:tcW w:w="5200" w:type="dxa"/>
            <w:vAlign w:val="bottom"/>
            <w:gridSpan w:val="3"/>
          </w:tcPr>
          <w:p>
            <w:pPr>
              <w:spacing w:after="0"/>
              <w:rPr>
                <w:sz w:val="20"/>
                <w:szCs w:val="20"/>
                <w:color w:val="auto"/>
              </w:rPr>
            </w:pPr>
            <w:r>
              <w:rPr>
                <w:rFonts w:ascii="Arial" w:cs="Arial" w:eastAsia="Arial" w:hAnsi="Arial"/>
                <w:sz w:val="12"/>
                <w:szCs w:val="12"/>
                <w:color w:val="auto"/>
              </w:rPr>
              <w:t>Event, N (%)</w:t>
            </w:r>
          </w:p>
        </w:tc>
        <w:tc>
          <w:tcPr>
            <w:tcW w:w="1600" w:type="dxa"/>
            <w:vAlign w:val="bottom"/>
            <w:gridSpan w:val="2"/>
          </w:tcPr>
          <w:p>
            <w:pPr>
              <w:ind w:left="380"/>
              <w:spacing w:after="0"/>
              <w:rPr>
                <w:sz w:val="20"/>
                <w:szCs w:val="20"/>
                <w:color w:val="auto"/>
              </w:rPr>
            </w:pPr>
            <w:r>
              <w:rPr>
                <w:rFonts w:ascii="Arial" w:cs="Arial" w:eastAsia="Arial" w:hAnsi="Arial"/>
                <w:sz w:val="12"/>
                <w:szCs w:val="12"/>
                <w:color w:val="auto"/>
              </w:rPr>
              <w:t>30 mg (n=6)</w:t>
            </w:r>
          </w:p>
        </w:tc>
        <w:tc>
          <w:tcPr>
            <w:tcW w:w="8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Arial" w:cs="Arial" w:eastAsia="Arial" w:hAnsi="Arial"/>
                <w:sz w:val="12"/>
                <w:szCs w:val="12"/>
                <w:color w:val="auto"/>
              </w:rPr>
              <w:t>60 mg (n=6)</w:t>
            </w:r>
          </w:p>
        </w:tc>
        <w:tc>
          <w:tcPr>
            <w:tcW w:w="6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Arial" w:cs="Arial" w:eastAsia="Arial" w:hAnsi="Arial"/>
                <w:sz w:val="12"/>
                <w:szCs w:val="12"/>
                <w:color w:val="auto"/>
              </w:rPr>
              <w:t>90 mg (n=6)</w:t>
            </w:r>
          </w:p>
        </w:tc>
        <w:tc>
          <w:tcPr>
            <w:tcW w:w="1360" w:type="dxa"/>
            <w:vAlign w:val="bottom"/>
          </w:tcPr>
          <w:p>
            <w:pPr>
              <w:ind w:left="540"/>
              <w:spacing w:after="0"/>
              <w:rPr>
                <w:sz w:val="20"/>
                <w:szCs w:val="20"/>
                <w:color w:val="auto"/>
              </w:rPr>
            </w:pPr>
            <w:r>
              <w:rPr>
                <w:rFonts w:ascii="Arial" w:cs="Arial" w:eastAsia="Arial" w:hAnsi="Arial"/>
                <w:sz w:val="12"/>
                <w:szCs w:val="12"/>
                <w:color w:val="auto"/>
              </w:rPr>
              <w:t>(n=6)</w:t>
            </w:r>
          </w:p>
        </w:tc>
      </w:tr>
      <w:tr>
        <w:trPr>
          <w:trHeight w:val="133"/>
        </w:trPr>
        <w:tc>
          <w:tcPr>
            <w:tcW w:w="496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Any TEAE</w:t>
            </w:r>
          </w:p>
        </w:tc>
        <w:tc>
          <w:tcPr>
            <w:tcW w:w="24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5 (83)</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6</w:t>
            </w:r>
          </w:p>
        </w:tc>
        <w:tc>
          <w:tcPr>
            <w:tcW w:w="12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(100)</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6</w:t>
            </w:r>
          </w:p>
        </w:tc>
        <w:tc>
          <w:tcPr>
            <w:tcW w:w="128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(100)</w:t>
            </w:r>
          </w:p>
        </w:tc>
        <w:tc>
          <w:tcPr>
            <w:tcW w:w="2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4 (66)</w:t>
            </w:r>
          </w:p>
        </w:tc>
      </w:tr>
      <w:tr>
        <w:trPr>
          <w:trHeight w:val="144"/>
        </w:trPr>
        <w:tc>
          <w:tcPr>
            <w:tcW w:w="5200" w:type="dxa"/>
            <w:vAlign w:val="bottom"/>
            <w:gridSpan w:val="3"/>
          </w:tcPr>
          <w:p>
            <w:pPr>
              <w:spacing w:after="0"/>
              <w:rPr>
                <w:sz w:val="20"/>
                <w:szCs w:val="20"/>
                <w:color w:val="auto"/>
              </w:rPr>
            </w:pPr>
            <w:r>
              <w:rPr>
                <w:rFonts w:ascii="Arial" w:cs="Arial" w:eastAsia="Arial" w:hAnsi="Arial"/>
                <w:sz w:val="12"/>
                <w:szCs w:val="12"/>
                <w:color w:val="auto"/>
              </w:rPr>
              <w:t>Any TEAE by maximum severity</w:t>
            </w: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4"/>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Mild</w:t>
            </w: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4 (66)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4</w:t>
            </w: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3</w:t>
            </w:r>
          </w:p>
        </w:tc>
        <w:tc>
          <w:tcPr>
            <w:tcW w:w="1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(50)</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4 (66)</w:t>
            </w:r>
          </w:p>
        </w:tc>
      </w:tr>
      <w:tr>
        <w:trPr>
          <w:trHeight w:val="144"/>
        </w:trPr>
        <w:tc>
          <w:tcPr>
            <w:tcW w:w="5200" w:type="dxa"/>
            <w:vAlign w:val="bottom"/>
            <w:gridSpan w:val="3"/>
          </w:tcPr>
          <w:p>
            <w:pPr>
              <w:ind w:left="100"/>
              <w:spacing w:after="0"/>
              <w:rPr>
                <w:sz w:val="20"/>
                <w:szCs w:val="20"/>
                <w:color w:val="auto"/>
              </w:rPr>
            </w:pPr>
            <w:r>
              <w:rPr>
                <w:rFonts w:ascii="Arial" w:cs="Arial" w:eastAsia="Arial" w:hAnsi="Arial"/>
                <w:sz w:val="12"/>
                <w:szCs w:val="12"/>
                <w:color w:val="auto"/>
              </w:rPr>
              <w:t>Moderate</w:t>
            </w:r>
          </w:p>
        </w:tc>
        <w:tc>
          <w:tcPr>
            <w:tcW w:w="1360" w:type="dxa"/>
            <w:vAlign w:val="bottom"/>
          </w:tcPr>
          <w:p>
            <w:pPr>
              <w:spacing w:after="0"/>
              <w:rPr>
                <w:sz w:val="20"/>
                <w:szCs w:val="20"/>
                <w:color w:val="auto"/>
              </w:rPr>
            </w:pPr>
            <w:r>
              <w:rPr>
                <w:rFonts w:ascii="Arial" w:cs="Arial" w:eastAsia="Arial" w:hAnsi="Arial"/>
                <w:sz w:val="12"/>
                <w:szCs w:val="12"/>
                <w:color w:val="auto"/>
              </w:rPr>
              <w:t>1 (16)</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260" w:type="dxa"/>
            <w:vAlign w:val="bottom"/>
          </w:tcPr>
          <w:p>
            <w:pPr>
              <w:spacing w:after="0"/>
              <w:rPr>
                <w:sz w:val="20"/>
                <w:szCs w:val="20"/>
                <w:color w:val="auto"/>
              </w:rPr>
            </w:pPr>
            <w:r>
              <w:rPr>
                <w:rFonts w:ascii="Arial" w:cs="Arial" w:eastAsia="Arial" w:hAnsi="Arial"/>
                <w:sz w:val="12"/>
                <w:szCs w:val="12"/>
                <w:color w:val="auto"/>
              </w:rPr>
              <w:t>(33)</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3</w:t>
            </w:r>
          </w:p>
        </w:tc>
        <w:tc>
          <w:tcPr>
            <w:tcW w:w="1280" w:type="dxa"/>
            <w:vAlign w:val="bottom"/>
          </w:tcPr>
          <w:p>
            <w:pPr>
              <w:ind w:left="20"/>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2"/>
                <w:szCs w:val="12"/>
                <w:color w:val="auto"/>
              </w:rPr>
            </w:pPr>
          </w:p>
        </w:tc>
        <w:tc>
          <w:tcPr>
            <w:tcW w:w="1360" w:type="dxa"/>
            <w:vAlign w:val="bottom"/>
          </w:tcPr>
          <w:p>
            <w:pPr>
              <w:spacing w:after="0"/>
              <w:rPr>
                <w:sz w:val="20"/>
                <w:szCs w:val="20"/>
                <w:color w:val="auto"/>
              </w:rPr>
            </w:pPr>
            <w:r>
              <w:rPr>
                <w:rFonts w:ascii="Arial" w:cs="Arial" w:eastAsia="Arial" w:hAnsi="Arial"/>
                <w:sz w:val="12"/>
                <w:szCs w:val="12"/>
                <w:color w:val="auto"/>
              </w:rPr>
              <w:t>0</w:t>
            </w:r>
          </w:p>
        </w:tc>
      </w:tr>
      <w:tr>
        <w:trPr>
          <w:trHeight w:val="144"/>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Severe</w:t>
            </w: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0</w:t>
            </w: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0</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0</w:t>
            </w:r>
          </w:p>
        </w:tc>
      </w:tr>
      <w:tr>
        <w:trPr>
          <w:trHeight w:val="153"/>
        </w:trPr>
        <w:tc>
          <w:tcPr>
            <w:tcW w:w="5200" w:type="dxa"/>
            <w:vAlign w:val="bottom"/>
            <w:gridSpan w:val="3"/>
          </w:tcPr>
          <w:p>
            <w:pPr>
              <w:spacing w:after="0"/>
              <w:rPr>
                <w:sz w:val="20"/>
                <w:szCs w:val="20"/>
                <w:color w:val="auto"/>
              </w:rPr>
            </w:pPr>
            <w:r>
              <w:rPr>
                <w:rFonts w:ascii="Arial" w:cs="Arial" w:eastAsia="Arial" w:hAnsi="Arial"/>
                <w:sz w:val="12"/>
                <w:szCs w:val="12"/>
                <w:color w:val="auto"/>
              </w:rPr>
              <w:t>Any Serious Adverse Events</w:t>
            </w:r>
          </w:p>
        </w:tc>
        <w:tc>
          <w:tcPr>
            <w:tcW w:w="1360" w:type="dxa"/>
            <w:vAlign w:val="bottom"/>
          </w:tcPr>
          <w:p>
            <w:pPr>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0</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0</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2"/>
                <w:szCs w:val="12"/>
                <w:color w:val="auto"/>
              </w:rPr>
              <w:t>0</w:t>
            </w:r>
          </w:p>
        </w:tc>
      </w:tr>
      <w:tr>
        <w:trPr>
          <w:trHeight w:val="279"/>
        </w:trPr>
        <w:tc>
          <w:tcPr>
            <w:tcW w:w="3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Phase 2a Program Update</w:t>
      </w:r>
    </w:p>
    <w:p>
      <w:pPr>
        <w:spacing w:after="0" w:line="154" w:lineRule="exact"/>
        <w:rPr>
          <w:sz w:val="20"/>
          <w:szCs w:val="20"/>
          <w:color w:val="auto"/>
        </w:rPr>
      </w:pPr>
    </w:p>
    <w:p>
      <w:pPr>
        <w:jc w:val="both"/>
        <w:ind w:right="140"/>
        <w:spacing w:after="0" w:line="256" w:lineRule="auto"/>
        <w:rPr>
          <w:sz w:val="20"/>
          <w:szCs w:val="20"/>
          <w:color w:val="auto"/>
        </w:rPr>
      </w:pPr>
      <w:r>
        <w:rPr>
          <w:rFonts w:ascii="Arial" w:cs="Arial" w:eastAsia="Arial" w:hAnsi="Arial"/>
          <w:sz w:val="12"/>
          <w:szCs w:val="12"/>
          <w:color w:val="auto"/>
        </w:rPr>
        <w:t>A data collection omission occurred at a clinical site that impacted the obesity cohort (120 mg dose level) of the Phase 2a study, where weight was not collected at the final (week 12) visit for 24 of the 40 enrolled participants. Other safety and laboratory assessments were measured at all visits, including the week 12 visit as per protocol. Structure will enroll additional participants in the Phase 2a obesity cohort to replace those for whom 12-week weight data was not collected. The replacement participants will follow the same study protocol, without changes in the titration schema or target dose (120 mg/QD). As a result, Structure now plans to report topline data from the obesity cohort in the first half of 2024. While Structure remains blinded to data from the Phase 2a obesity cohort, there were no adverse-event related discontinuations through the end of the study at 12 weeks for any of the 40 participants in the Phase 2a obesity cohort.</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Structure remains on track to report topline data from the type 2 diabetes cohort of the Phase 2a study in the latter half of the fourth quarter of 2023 as planned, along with results from the Japanese ethno-bridging study of GSBR-1290.</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Phase 2b Studies Planned to Initiate in 2024</w:t>
      </w:r>
    </w:p>
    <w:p>
      <w:pPr>
        <w:spacing w:after="0" w:line="154"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Structure continues to plan to initiate two Phase 2b studies of GSBR-1290 in 2024. The type 2 diabetes study is expected to include approximately 500 individuals across the United States, Europe and Japan. The obesity study is expected to include approximately 275 individuals across the United States and Europe.</w:t>
      </w:r>
    </w:p>
    <w:p>
      <w:pPr>
        <w:spacing w:after="0" w:line="115" w:lineRule="exact"/>
        <w:rPr>
          <w:sz w:val="20"/>
          <w:szCs w:val="20"/>
          <w:color w:val="auto"/>
        </w:rPr>
      </w:pPr>
    </w:p>
    <w:p>
      <w:pPr>
        <w:ind w:right="420"/>
        <w:spacing w:after="0" w:line="323" w:lineRule="auto"/>
        <w:rPr>
          <w:sz w:val="20"/>
          <w:szCs w:val="20"/>
          <w:color w:val="auto"/>
        </w:rPr>
      </w:pPr>
      <w:r>
        <w:rPr>
          <w:rFonts w:ascii="Arial" w:cs="Arial" w:eastAsia="Arial" w:hAnsi="Arial"/>
          <w:sz w:val="11"/>
          <w:szCs w:val="11"/>
          <w:color w:val="auto"/>
        </w:rPr>
        <w:t>In preparation for the Phase 2b studies, Structure is also planning a separate formulation bridging PK study to support the planned transition from capsules to tablets, which is expected to initiate in the fourth quarter of 2023 and complete in the second quarter of 2024. Pending supportive data from this bridging study, the tablet formulation would be used in future GSBR-1290 studies starting with the planned Phase 2b studies.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Structure will host a conference call and webcast today, September 29, 2023 at 8:30 a.m. Eastern Time. A live webcast of the call will be available on the Investor Relations page of Structure’s website at https://ir.structuretx.com/events-presentations/events. To access the call by phone, participants should visit this link (registration link) to receive dial-in details. The webcast will be made available for replay on the company's website beginning approximately two hours after the live event. The replay of the webcast will be available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About the Oral Incretin Metabolic Franchise</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GSBR-1290 is an orally-available, small molecule agonist of the glucagon-like-peptide-1 (GLP-1) receptor, a validated drug target for the treatment of type 2 diabetes and obesity. GSBR-1290 was designed through the company’s structure-based drug discovery platform and is designed to be a biased GPCR agonist, which selectively activates the G-protein signaling pathway. Beyond GSBR-1290, Structure is developing next generation combination GLP-1R candidates, including dual GLP-1R/GIPR agonists and amylin agonists, each designed with customized properties to achieve additional benefits.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Structure Therapeutics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 xml:space="preserve">Structure Therapeutics is a leading clinical-stage biopharmaceutical company focused on discovering and developing innovative oral treatments for chronic metabolic and cardiopulmonary conditions with significant unmet medical needs. Utilizing its next generation structure-based drug discovery platform, the company has established a scientifically-driven, GPCR-targeted pipeline, featuring two wholly-owned proprietary clinical-stage small molecule compounds designed to surpass the limitations of traditional biologic and peptide therapies and be accessible to more patients around the world. For additional information, please visit </w:t>
      </w:r>
      <w:r>
        <w:rPr>
          <w:rFonts w:ascii="Arial" w:cs="Arial" w:eastAsia="Arial" w:hAnsi="Arial"/>
          <w:sz w:val="11"/>
          <w:szCs w:val="11"/>
          <w:u w:val="single" w:color="auto"/>
          <w:color w:val="auto"/>
        </w:rPr>
        <w:t>www.structuretx.com</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300" w:top="649" w:right="5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Forward Looking Statements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This press release contains “forward-looking statements” within the meaning of the “safe harbor” provisions of the Private Securities Litigation Reform Act of 1995. All statements other than statements of historical fact are statements that could be deemed forward-looking statements, including, without limitation, statements concerning the Company’s future plans and prospects, the clinical data from Structure’s Phase 1b MAD study for GSBR-1290, the clinical update from Structure’s Phase 2a study, for GSBR-1290 in patients with type 2 diabetes and obesity, any expectations regarding the safety, efficacy or tolerability of GSBR-1290 and other candidates under development, the ability of GSBR-1290 to treat type 2 diabetes, obesity or related indications, the planned initiation and study design of Structure’s Phase 2b studies for GSBR-1290 in patients with type 2 diabetes and obesity and the timing thereof; the planned timing of the Company’s data results and continued development of GSBR-1290 and next generation combination GLP-1R candidates and expectations regarding an oral development candidate targeting GLP-1R. In addition, when or if used in this press release, the words “may,” “could,” “should,” “anticipate,” “believe,” “estimate,” “expect,” “intend,” “plan,”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risks and uncertainties related to the preliminary nature of the results due to length of the study and sample size, the risks that unblinded data is not consistent with blinded data, the Company’s ability to advance GSBR-1290, LTSE-2578, ANPA-0073 and its other therapeutic candidates, obtain regulatory approval of and ultimately commercialize the Company’s therapeutic candidates, the timing and results of preclinical and clinical trials, the Company’s ability to fund development activities and achieve development goals, the impact of any global pandemics, inflation, supply chain issues, rising interest rates and future bank failures on the Company’s business, its ability to protect its intellectual property and other risks and uncertainties described in the Company’s filings with the Securities and Exchange Commission (SEC), including the Company’s Annual Report on Form 10-K filed with the SEC on March 30, 2023, Quarterly Report on Form 10-Q filed with the SEC on August 10, 2023, and future reports the Company may file with the SEC from time to time.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Danielle Keatley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Structure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ir@structuretx.com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Dan Budwick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1AB</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Dan@1abmedia.com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8" w:name="page9"/>
    <w:bookmarkEnd w:id="8"/>
    <w:p>
      <w:pPr>
        <w:ind w:left="896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104775</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9580"/>
          </w:cols>
          <w:pgMar w:left="1440" w:top="280" w:right="87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2023-09-29T06:45:35Z</dcterms:created>
  <dcterms:modified xsi:type="dcterms:W3CDTF">2023-09-29T06:45:35Z</dcterms:modified>
</cp:coreProperties>
</file>