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0"/>
        <w:spacing w:after="0"/>
        <w:rPr>
          <w:sz w:val="20"/>
          <w:szCs w:val="20"/>
          <w:color w:val="auto"/>
        </w:rPr>
      </w:pPr>
      <w:r>
        <w:rPr>
          <w:rFonts w:ascii="Calibri" w:cs="Calibri" w:eastAsia="Calibri" w:hAnsi="Calibri"/>
          <w:sz w:val="10"/>
          <w:szCs w:val="10"/>
          <w:color w:val="003366"/>
        </w:rPr>
        <w:t>TABLE OF CONTENTS</w:t>
      </w:r>
    </w:p>
    <w:p>
      <w:pPr>
        <w:spacing w:after="0" w:line="366" w:lineRule="exact"/>
        <w:rPr>
          <w:sz w:val="24"/>
          <w:szCs w:val="24"/>
          <w:color w:val="auto"/>
        </w:rPr>
      </w:pPr>
    </w:p>
    <w:p>
      <w:pPr>
        <w:ind w:left="5400"/>
        <w:spacing w:after="0"/>
        <w:rPr>
          <w:sz w:val="20"/>
          <w:szCs w:val="20"/>
          <w:color w:val="auto"/>
        </w:rPr>
      </w:pPr>
      <w:r>
        <w:rPr>
          <w:rFonts w:ascii="Arial" w:cs="Arial" w:eastAsia="Arial" w:hAnsi="Arial"/>
          <w:sz w:val="12"/>
          <w:szCs w:val="12"/>
          <w:b w:val="1"/>
          <w:bCs w:val="1"/>
          <w:color w:val="auto"/>
        </w:rPr>
        <w:t> Filed Pursuant to Rule 424(b)(4)​</w:t>
      </w:r>
    </w:p>
    <w:p>
      <w:pPr>
        <w:spacing w:after="0" w:line="36" w:lineRule="exact"/>
        <w:rPr>
          <w:sz w:val="24"/>
          <w:szCs w:val="24"/>
          <w:color w:val="auto"/>
        </w:rPr>
      </w:pPr>
    </w:p>
    <w:p>
      <w:pPr>
        <w:ind w:left="5640"/>
        <w:spacing w:after="0"/>
        <w:rPr>
          <w:sz w:val="20"/>
          <w:szCs w:val="20"/>
          <w:color w:val="auto"/>
        </w:rPr>
      </w:pPr>
      <w:r>
        <w:rPr>
          <w:rFonts w:ascii="Arial" w:cs="Arial" w:eastAsia="Arial" w:hAnsi="Arial"/>
          <w:sz w:val="12"/>
          <w:szCs w:val="12"/>
          <w:b w:val="1"/>
          <w:bCs w:val="1"/>
          <w:color w:val="auto"/>
        </w:rPr>
        <w:t> Registration No. 333-269200​</w:t>
      </w:r>
    </w:p>
    <w:p>
      <w:pPr>
        <w:spacing w:after="0" w:line="46" w:lineRule="exact"/>
        <w:rPr>
          <w:sz w:val="24"/>
          <w:szCs w:val="24"/>
          <w:color w:val="auto"/>
        </w:rPr>
      </w:pPr>
    </w:p>
    <w:p>
      <w:pPr>
        <w:ind w:left="5640"/>
        <w:spacing w:after="0"/>
        <w:rPr>
          <w:sz w:val="20"/>
          <w:szCs w:val="20"/>
          <w:color w:val="auto"/>
        </w:rPr>
      </w:pPr>
      <w:r>
        <w:rPr>
          <w:rFonts w:ascii="Arial" w:cs="Arial" w:eastAsia="Arial" w:hAnsi="Arial"/>
          <w:sz w:val="12"/>
          <w:szCs w:val="12"/>
          <w:b w:val="1"/>
          <w:bCs w:val="1"/>
          <w:color w:val="auto"/>
        </w:rPr>
        <w:t> Registration No. 333-269542​</w:t>
      </w:r>
    </w:p>
    <w:p>
      <w:pPr>
        <w:spacing w:after="0" w:line="81" w:lineRule="exact"/>
        <w:rPr>
          <w:sz w:val="24"/>
          <w:szCs w:val="24"/>
          <w:color w:val="auto"/>
        </w:rPr>
      </w:pPr>
    </w:p>
    <w:p>
      <w:pPr>
        <w:ind w:left="1560"/>
        <w:spacing w:after="0"/>
        <w:rPr>
          <w:sz w:val="20"/>
          <w:szCs w:val="20"/>
          <w:color w:val="auto"/>
        </w:rPr>
      </w:pPr>
      <w:r>
        <w:rPr>
          <w:rFonts w:ascii="Arial" w:cs="Arial" w:eastAsia="Arial" w:hAnsi="Arial"/>
          <w:sz w:val="13"/>
          <w:szCs w:val="13"/>
          <w:b w:val="1"/>
          <w:bCs w:val="1"/>
          <w:color w:val="auto"/>
        </w:rPr>
        <w:t>PROSPECTUS</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10,740,000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180340</wp:posOffset>
            </wp:positionV>
            <wp:extent cx="1510665" cy="276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0665" cy="276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Representing 32,220,000 Ordinary Shares</w:t>
      </w:r>
      <w:r>
        <w:rPr>
          <w:rFonts w:ascii="Times New Roman" w:cs="Times New Roman" w:eastAsia="Times New Roman" w:hAnsi="Times New Roman"/>
          <w:sz w:val="12"/>
          <w:szCs w:val="12"/>
          <w:color w:val="auto"/>
        </w:rPr>
        <w:t>​</w:t>
      </w:r>
    </w:p>
    <w:p>
      <w:pPr>
        <w:spacing w:after="0" w:line="100" w:lineRule="exact"/>
        <w:rPr>
          <w:sz w:val="24"/>
          <w:szCs w:val="24"/>
          <w:color w:val="auto"/>
        </w:rPr>
      </w:pPr>
    </w:p>
    <w:p>
      <w:pPr>
        <w:ind w:left="1560" w:right="1959"/>
        <w:spacing w:after="0" w:line="259" w:lineRule="auto"/>
        <w:rPr>
          <w:sz w:val="20"/>
          <w:szCs w:val="20"/>
          <w:color w:val="auto"/>
        </w:rPr>
      </w:pPr>
      <w:r>
        <w:rPr>
          <w:rFonts w:ascii="Arial" w:cs="Arial" w:eastAsia="Arial" w:hAnsi="Arial"/>
          <w:sz w:val="13"/>
          <w:szCs w:val="13"/>
          <w:color w:val="auto"/>
        </w:rPr>
        <w:t>We are offering 10,740,000 American depositary shares, or ADSs, representing 32,220,000 ordinary shares, par value $0.0001 per share. Each ADS represents three ordinary shares.</w:t>
      </w:r>
    </w:p>
    <w:p>
      <w:pPr>
        <w:spacing w:after="0" w:line="35" w:lineRule="exact"/>
        <w:rPr>
          <w:sz w:val="24"/>
          <w:szCs w:val="24"/>
          <w:color w:val="auto"/>
        </w:rPr>
      </w:pPr>
    </w:p>
    <w:p>
      <w:pPr>
        <w:ind w:left="1560" w:right="1779"/>
        <w:spacing w:after="0" w:line="254" w:lineRule="auto"/>
        <w:rPr>
          <w:sz w:val="20"/>
          <w:szCs w:val="20"/>
          <w:color w:val="auto"/>
        </w:rPr>
      </w:pPr>
      <w:r>
        <w:rPr>
          <w:rFonts w:ascii="Arial" w:cs="Arial" w:eastAsia="Arial" w:hAnsi="Arial"/>
          <w:sz w:val="13"/>
          <w:szCs w:val="13"/>
          <w:color w:val="auto"/>
        </w:rPr>
        <w:t>This is our initial public offering, and no public market currently exists for our ADSs or ordinary shares. The initial public offering price is $15.00 per ADS. The ADSs have been approved for listing on the Nasdaq Global Market, or Nasdaq, under the symbol “GPCR.”</w:t>
      </w:r>
    </w:p>
    <w:p>
      <w:pPr>
        <w:spacing w:after="0" w:line="38" w:lineRule="exact"/>
        <w:rPr>
          <w:sz w:val="24"/>
          <w:szCs w:val="24"/>
          <w:color w:val="auto"/>
        </w:rPr>
      </w:pPr>
    </w:p>
    <w:p>
      <w:pPr>
        <w:ind w:left="1560" w:right="1639"/>
        <w:spacing w:after="0" w:line="254" w:lineRule="auto"/>
        <w:rPr>
          <w:sz w:val="20"/>
          <w:szCs w:val="20"/>
          <w:color w:val="auto"/>
        </w:rPr>
      </w:pPr>
      <w:r>
        <w:rPr>
          <w:rFonts w:ascii="Arial" w:cs="Arial" w:eastAsia="Arial" w:hAnsi="Arial"/>
          <w:sz w:val="13"/>
          <w:szCs w:val="13"/>
          <w:color w:val="auto"/>
        </w:rPr>
        <w:t>We are an “emerging growth company” and a “smaller reporting company” as those terms are defined under the federal securities laws and, as such, we have elected to comply with certain reduced reporting requirements for this prospectus and may elect to do so in future filings.</w:t>
      </w:r>
    </w:p>
    <w:p>
      <w:pPr>
        <w:spacing w:after="0" w:line="38" w:lineRule="exact"/>
        <w:rPr>
          <w:sz w:val="24"/>
          <w:szCs w:val="24"/>
          <w:color w:val="auto"/>
        </w:rPr>
      </w:pPr>
    </w:p>
    <w:p>
      <w:pPr>
        <w:ind w:left="1560" w:right="1619"/>
        <w:spacing w:after="0" w:line="241" w:lineRule="auto"/>
        <w:rPr>
          <w:sz w:val="20"/>
          <w:szCs w:val="20"/>
          <w:color w:val="auto"/>
        </w:rPr>
      </w:pPr>
      <w:r>
        <w:rPr>
          <w:rFonts w:ascii="Arial" w:cs="Arial" w:eastAsia="Arial" w:hAnsi="Arial"/>
          <w:sz w:val="13"/>
          <w:szCs w:val="13"/>
          <w:b w:val="1"/>
          <w:bCs w:val="1"/>
          <w:color w:val="auto"/>
        </w:rPr>
        <w:t xml:space="preserve">There are legal and operational risks associated with having certain of our operations in China, including risks related to Chinese and U.S. regulations, changes in the legal, political and economic policies of the Chinese government, and the relations between China and the United States which may affect our business, financial condition, results of operations and the market price of our ADSs. Any such changes could potentially limit our ability to offer or continue to offer our ADSs to investors, and could potentially cause the value of our ADSs to decline. Investing in our ADSs involves a high degree of risk. Please read the section titled “Risk Factors” beginning on page </w:t>
      </w:r>
      <w:r>
        <w:rPr>
          <w:rFonts w:ascii="Arial" w:cs="Arial" w:eastAsia="Arial" w:hAnsi="Arial"/>
          <w:sz w:val="13"/>
          <w:szCs w:val="13"/>
          <w:b w:val="1"/>
          <w:bCs w:val="1"/>
          <w:u w:val="single" w:color="auto"/>
          <w:color w:val="0000EE"/>
        </w:rPr>
        <w:t>16</w:t>
      </w:r>
      <w:r>
        <w:rPr>
          <w:rFonts w:ascii="Arial" w:cs="Arial" w:eastAsia="Arial" w:hAnsi="Arial"/>
          <w:sz w:val="13"/>
          <w:szCs w:val="13"/>
          <w:b w:val="1"/>
          <w:bCs w:val="1"/>
          <w:color w:val="auto"/>
        </w:rPr>
        <w:t xml:space="preserve"> of this prospectus.</w:t>
      </w:r>
    </w:p>
    <w:p>
      <w:pPr>
        <w:spacing w:after="0" w:line="191" w:lineRule="exact"/>
        <w:rPr>
          <w:sz w:val="24"/>
          <w:szCs w:val="24"/>
          <w:color w:val="auto"/>
        </w:rPr>
      </w:pPr>
    </w:p>
    <w:p>
      <w:pPr>
        <w:ind w:left="1560" w:right="1739"/>
        <w:spacing w:after="0" w:line="25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993775</wp:posOffset>
            </wp:positionH>
            <wp:positionV relativeFrom="paragraph">
              <wp:posOffset>99695</wp:posOffset>
            </wp:positionV>
            <wp:extent cx="37331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64" w:lineRule="exact"/>
        <w:rPr>
          <w:sz w:val="24"/>
          <w:szCs w:val="24"/>
          <w:color w:val="auto"/>
        </w:rPr>
      </w:pPr>
    </w:p>
    <w:tbl>
      <w:tblPr>
        <w:tblLayout w:type="fixed"/>
        <w:tblInd w:w="1560" w:type="dxa"/>
        <w:tblCellMar>
          <w:top w:w="0" w:type="dxa"/>
          <w:left w:w="0" w:type="dxa"/>
          <w:bottom w:w="0" w:type="dxa"/>
          <w:right w:w="0" w:type="dxa"/>
        </w:tblCellMar>
      </w:tblPr>
      <w:tr>
        <w:trPr>
          <w:trHeight w:val="263"/>
        </w:trPr>
        <w:tc>
          <w:tcPr>
            <w:tcW w:w="360" w:type="dxa"/>
            <w:vAlign w:val="bottom"/>
          </w:tcPr>
          <w:p>
            <w:pPr>
              <w:ind w:left="220"/>
              <w:spacing w:after="0"/>
              <w:rPr>
                <w:sz w:val="20"/>
                <w:szCs w:val="20"/>
                <w:color w:val="auto"/>
              </w:rPr>
            </w:pPr>
            <w:r>
              <w:rPr>
                <w:rFonts w:ascii="Arial" w:cs="Arial" w:eastAsia="Arial" w:hAnsi="Arial"/>
                <w:sz w:val="10"/>
                <w:szCs w:val="10"/>
                <w:b w:val="1"/>
                <w:bCs w:val="1"/>
                <w:color w:val="auto"/>
              </w:rPr>
              <w:t>​</w:t>
            </w:r>
          </w:p>
        </w:tc>
        <w:tc>
          <w:tcPr>
            <w:tcW w:w="340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0" w:type="dxa"/>
            <w:vAlign w:val="bottom"/>
            <w:gridSpan w:val="5"/>
          </w:tcPr>
          <w:p>
            <w:pPr>
              <w:ind w:left="100"/>
              <w:spacing w:after="0"/>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PER ADS </w:t>
            </w:r>
            <w:r>
              <w:rPr>
                <w:rFonts w:ascii="Arial" w:cs="Arial" w:eastAsia="Arial" w:hAnsi="Arial"/>
                <w:sz w:val="20"/>
                <w:szCs w:val="20"/>
                <w:b w:val="1"/>
                <w:bCs w:val="1"/>
                <w:color w:val="auto"/>
                <w:vertAlign w:val="subscript"/>
              </w:rPr>
              <w:t>​ ​</w:t>
            </w:r>
          </w:p>
        </w:tc>
        <w:tc>
          <w:tcPr>
            <w:tcW w:w="800" w:type="dxa"/>
            <w:vAlign w:val="bottom"/>
            <w:gridSpan w:val="2"/>
          </w:tcPr>
          <w:p>
            <w:pPr>
              <w:jc w:val="right"/>
              <w:ind w:right="297"/>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ind w:left="100"/>
              <w:spacing w:after="0"/>
              <w:rPr>
                <w:sz w:val="20"/>
                <w:szCs w:val="20"/>
                <w:color w:val="auto"/>
              </w:rPr>
            </w:pPr>
            <w:r>
              <w:rPr>
                <w:rFonts w:ascii="Arial" w:cs="Arial" w:eastAsia="Arial" w:hAnsi="Arial"/>
                <w:sz w:val="10"/>
                <w:szCs w:val="10"/>
                <w:b w:val="1"/>
                <w:bCs w:val="1"/>
                <w:color w:val="auto"/>
              </w:rPr>
              <w:t>​</w:t>
            </w:r>
          </w:p>
        </w:tc>
      </w:tr>
      <w:tr>
        <w:trPr>
          <w:trHeight w:val="20"/>
        </w:trPr>
        <w:tc>
          <w:tcPr>
            <w:tcW w:w="37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64"/>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   Initial public offering price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 ​​$</w:t>
            </w:r>
          </w:p>
        </w:tc>
        <w:tc>
          <w:tcPr>
            <w:tcW w:w="1440" w:type="dxa"/>
            <w:vAlign w:val="bottom"/>
            <w:gridSpan w:val="5"/>
            <w:shd w:val="clear" w:color="auto" w:fill="CCEEFF"/>
          </w:tcPr>
          <w:p>
            <w:pPr>
              <w:jc w:val="right"/>
              <w:ind w:right="37"/>
              <w:spacing w:after="0"/>
              <w:rPr>
                <w:sz w:val="20"/>
                <w:szCs w:val="20"/>
                <w:color w:val="auto"/>
              </w:rPr>
            </w:pPr>
            <w:r>
              <w:rPr>
                <w:rFonts w:ascii="Arial" w:cs="Arial" w:eastAsia="Arial" w:hAnsi="Arial"/>
                <w:sz w:val="13"/>
                <w:szCs w:val="13"/>
                <w:color w:val="auto"/>
              </w:rPr>
              <w:t>15.00​​ ​​$161,100,000​</w:t>
            </w:r>
          </w:p>
        </w:tc>
        <w:tc>
          <w:tcPr>
            <w:tcW w:w="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r>
      <w:tr>
        <w:trPr>
          <w:trHeight w:val="203"/>
        </w:trPr>
        <w:tc>
          <w:tcPr>
            <w:tcW w:w="360" w:type="dxa"/>
            <w:vAlign w:val="bottom"/>
          </w:tcPr>
          <w:p>
            <w:pPr>
              <w:ind w:left="220"/>
              <w:spacing w:after="0"/>
              <w:rPr>
                <w:sz w:val="20"/>
                <w:szCs w:val="20"/>
                <w:color w:val="auto"/>
              </w:rPr>
            </w:pPr>
            <w:r>
              <w:rPr>
                <w:rFonts w:ascii="Arial" w:cs="Arial" w:eastAsia="Arial" w:hAnsi="Arial"/>
                <w:sz w:val="13"/>
                <w:szCs w:val="13"/>
                <w:color w:val="auto"/>
              </w:rPr>
              <w:t>​</w:t>
            </w:r>
          </w:p>
        </w:tc>
        <w:tc>
          <w:tcPr>
            <w:tcW w:w="3400" w:type="dxa"/>
            <w:vAlign w:val="bottom"/>
          </w:tcPr>
          <w:p>
            <w:pPr>
              <w:ind w:left="80"/>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5"/>
                <w:szCs w:val="15"/>
                <w:color w:val="auto"/>
                <w:vertAlign w:val="superscript"/>
              </w:rPr>
              <w:t>(1)</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 ​​$</w:t>
            </w:r>
          </w:p>
        </w:tc>
        <w:tc>
          <w:tcPr>
            <w:tcW w:w="640" w:type="dxa"/>
            <w:vAlign w:val="bottom"/>
            <w:gridSpan w:val="3"/>
          </w:tcPr>
          <w:p>
            <w:pPr>
              <w:ind w:left="100"/>
              <w:spacing w:after="0"/>
              <w:rPr>
                <w:sz w:val="20"/>
                <w:szCs w:val="20"/>
                <w:color w:val="auto"/>
              </w:rPr>
            </w:pPr>
            <w:r>
              <w:rPr>
                <w:rFonts w:ascii="Arial" w:cs="Arial" w:eastAsia="Arial" w:hAnsi="Arial"/>
                <w:sz w:val="13"/>
                <w:szCs w:val="13"/>
                <w:color w:val="auto"/>
              </w:rPr>
              <w:t>1.05​​ ​​$</w:t>
            </w:r>
          </w:p>
        </w:tc>
        <w:tc>
          <w:tcPr>
            <w:tcW w:w="800" w:type="dxa"/>
            <w:vAlign w:val="bottom"/>
            <w:gridSpan w:val="2"/>
          </w:tcPr>
          <w:p>
            <w:pPr>
              <w:jc w:val="right"/>
              <w:ind w:right="37"/>
              <w:spacing w:after="0"/>
              <w:rPr>
                <w:sz w:val="20"/>
                <w:szCs w:val="20"/>
                <w:color w:val="auto"/>
              </w:rPr>
            </w:pPr>
            <w:r>
              <w:rPr>
                <w:rFonts w:ascii="Arial" w:cs="Arial" w:eastAsia="Arial" w:hAnsi="Arial"/>
                <w:sz w:val="13"/>
                <w:szCs w:val="13"/>
                <w:color w:val="auto"/>
              </w:rPr>
              <w:t>11,277,000​</w:t>
            </w:r>
          </w:p>
        </w:tc>
        <w:tc>
          <w:tcPr>
            <w:tcW w:w="320" w:type="dxa"/>
            <w:vAlign w:val="bottom"/>
          </w:tcPr>
          <w:p>
            <w:pPr>
              <w:ind w:left="100"/>
              <w:spacing w:after="0"/>
              <w:rPr>
                <w:sz w:val="20"/>
                <w:szCs w:val="20"/>
                <w:color w:val="auto"/>
              </w:rPr>
            </w:pPr>
            <w:r>
              <w:rPr>
                <w:rFonts w:ascii="Arial" w:cs="Arial" w:eastAsia="Arial" w:hAnsi="Arial"/>
                <w:sz w:val="13"/>
                <w:szCs w:val="13"/>
                <w:color w:val="auto"/>
              </w:rPr>
              <w:t>​</w:t>
            </w:r>
          </w:p>
        </w:tc>
      </w:tr>
      <w:tr>
        <w:trPr>
          <w:trHeight w:val="173"/>
        </w:trPr>
        <w:tc>
          <w:tcPr>
            <w:tcW w:w="360" w:type="dxa"/>
            <w:vAlign w:val="bottom"/>
            <w:shd w:val="clear" w:color="auto" w:fill="CCEEFF"/>
          </w:tcPr>
          <w:p>
            <w:pPr>
              <w:spacing w:after="0"/>
              <w:rPr>
                <w:sz w:val="15"/>
                <w:szCs w:val="15"/>
                <w:color w:val="auto"/>
              </w:rPr>
            </w:pPr>
          </w:p>
        </w:tc>
        <w:tc>
          <w:tcPr>
            <w:tcW w:w="34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Proceeds to Structure Therapeutics Inc., before expenses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w:t>
            </w:r>
          </w:p>
        </w:tc>
        <w:tc>
          <w:tcPr>
            <w:tcW w:w="1080" w:type="dxa"/>
            <w:vAlign w:val="bottom"/>
            <w:gridSpan w:val="4"/>
            <w:shd w:val="clear" w:color="auto" w:fill="CCEEFF"/>
          </w:tcPr>
          <w:p>
            <w:pPr>
              <w:jc w:val="right"/>
              <w:ind w:right="77"/>
              <w:spacing w:after="0"/>
              <w:rPr>
                <w:sz w:val="20"/>
                <w:szCs w:val="20"/>
                <w:color w:val="auto"/>
              </w:rPr>
            </w:pPr>
            <w:r>
              <w:rPr>
                <w:rFonts w:ascii="Arial" w:cs="Arial" w:eastAsia="Arial" w:hAnsi="Arial"/>
                <w:sz w:val="13"/>
                <w:szCs w:val="13"/>
                <w:color w:val="auto"/>
              </w:rPr>
              <w:t>$149,823,000</w:t>
            </w:r>
          </w:p>
        </w:tc>
        <w:tc>
          <w:tcPr>
            <w:tcW w:w="320" w:type="dxa"/>
            <w:vAlign w:val="bottom"/>
            <w:shd w:val="clear" w:color="auto" w:fill="CCEEFF"/>
          </w:tcPr>
          <w:p>
            <w:pPr>
              <w:spacing w:after="0"/>
              <w:rPr>
                <w:sz w:val="15"/>
                <w:szCs w:val="15"/>
                <w:color w:val="auto"/>
              </w:rPr>
            </w:pPr>
          </w:p>
        </w:tc>
      </w:tr>
      <w:tr>
        <w:trPr>
          <w:trHeight w:val="146"/>
        </w:trPr>
        <w:tc>
          <w:tcPr>
            <w:tcW w:w="360" w:type="dxa"/>
            <w:vAlign w:val="bottom"/>
            <w:tcBorders>
              <w:bottom w:val="single" w:sz="8" w:color="auto"/>
            </w:tcBorders>
            <w:shd w:val="clear" w:color="auto" w:fill="CCEEFF"/>
          </w:tcPr>
          <w:p>
            <w:pPr>
              <w:ind w:left="220"/>
              <w:spacing w:after="0" w:line="146" w:lineRule="exact"/>
              <w:rPr>
                <w:sz w:val="20"/>
                <w:szCs w:val="20"/>
                <w:color w:val="auto"/>
              </w:rPr>
            </w:pPr>
            <w:r>
              <w:rPr>
                <w:rFonts w:ascii="Arial" w:cs="Arial" w:eastAsia="Arial" w:hAnsi="Arial"/>
                <w:sz w:val="13"/>
                <w:szCs w:val="13"/>
                <w:color w:val="auto"/>
              </w:rPr>
              <w:t>​</w:t>
            </w:r>
          </w:p>
        </w:tc>
        <w:tc>
          <w:tcPr>
            <w:tcW w:w="34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 ​​</w:t>
            </w: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spacing w:after="0" w:line="146" w:lineRule="exact"/>
              <w:rPr>
                <w:sz w:val="20"/>
                <w:szCs w:val="20"/>
                <w:color w:val="auto"/>
              </w:rPr>
            </w:pPr>
            <w:r>
              <w:rPr>
                <w:rFonts w:ascii="Arial" w:cs="Arial" w:eastAsia="Arial" w:hAnsi="Arial"/>
                <w:sz w:val="13"/>
                <w:szCs w:val="13"/>
                <w:color w:val="auto"/>
              </w:rPr>
              <w:t>​​ ​​</w:t>
            </w: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993775</wp:posOffset>
            </wp:positionH>
            <wp:positionV relativeFrom="paragraph">
              <wp:posOffset>-453390</wp:posOffset>
            </wp:positionV>
            <wp:extent cx="37331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ind w:left="1820" w:hanging="255"/>
        <w:spacing w:after="0"/>
        <w:tabs>
          <w:tab w:leader="none" w:pos="1820" w:val="left"/>
        </w:tabs>
        <w:numPr>
          <w:ilvl w:val="0"/>
          <w:numId w:val="1"/>
        </w:numPr>
        <w:rPr>
          <w:rFonts w:ascii="Arial" w:cs="Arial" w:eastAsia="Arial" w:hAnsi="Arial"/>
          <w:sz w:val="14"/>
          <w:szCs w:val="14"/>
          <w:color w:val="auto"/>
          <w:vertAlign w:val="superscript"/>
        </w:rPr>
      </w:pPr>
      <w:r>
        <w:rPr>
          <w:rFonts w:ascii="Arial" w:cs="Arial" w:eastAsia="Arial" w:hAnsi="Arial"/>
          <w:sz w:val="9"/>
          <w:szCs w:val="9"/>
          <w:color w:val="auto"/>
        </w:rPr>
        <w:t>See the section titled “Underwriting” for additional information regarding underwriter compensations.</w:t>
      </w:r>
    </w:p>
    <w:p>
      <w:pPr>
        <w:spacing w:after="0" w:line="52" w:lineRule="exact"/>
        <w:rPr>
          <w:sz w:val="24"/>
          <w:szCs w:val="24"/>
          <w:color w:val="auto"/>
        </w:rPr>
      </w:pPr>
    </w:p>
    <w:p>
      <w:pPr>
        <w:ind w:left="1560" w:right="1659"/>
        <w:spacing w:after="0" w:line="245" w:lineRule="auto"/>
        <w:rPr>
          <w:sz w:val="20"/>
          <w:szCs w:val="20"/>
          <w:color w:val="auto"/>
        </w:rPr>
      </w:pPr>
      <w:r>
        <w:rPr>
          <w:rFonts w:ascii="Arial" w:cs="Arial" w:eastAsia="Arial" w:hAnsi="Arial"/>
          <w:sz w:val="13"/>
          <w:szCs w:val="13"/>
          <w:color w:val="auto"/>
        </w:rPr>
        <w:t>At our request, the underwriters have reserved up to 5% of the ADSs offered by this prospectus, for sale at the initial public offering price in a directed share program, to certain of our directors, officers, employees, and other persons related to us. See the section titled “Underwriting—Directed Share Program” for additional information.</w:t>
      </w:r>
    </w:p>
    <w:p>
      <w:pPr>
        <w:spacing w:after="0" w:line="44" w:lineRule="exact"/>
        <w:rPr>
          <w:sz w:val="24"/>
          <w:szCs w:val="24"/>
          <w:color w:val="auto"/>
        </w:rPr>
      </w:pPr>
    </w:p>
    <w:p>
      <w:pPr>
        <w:ind w:left="1560"/>
        <w:spacing w:after="0"/>
        <w:rPr>
          <w:sz w:val="20"/>
          <w:szCs w:val="20"/>
          <w:color w:val="auto"/>
        </w:rPr>
      </w:pPr>
      <w:r>
        <w:rPr>
          <w:rFonts w:ascii="Arial" w:cs="Arial" w:eastAsia="Arial" w:hAnsi="Arial"/>
          <w:sz w:val="13"/>
          <w:szCs w:val="13"/>
          <w:color w:val="auto"/>
        </w:rPr>
        <w:t>Delivery of the ADSs is expected to be made on our about February 7, 2023.</w:t>
      </w:r>
    </w:p>
    <w:p>
      <w:pPr>
        <w:spacing w:after="0" w:line="73" w:lineRule="exact"/>
        <w:rPr>
          <w:sz w:val="24"/>
          <w:szCs w:val="24"/>
          <w:color w:val="auto"/>
        </w:rPr>
      </w:pPr>
    </w:p>
    <w:p>
      <w:pPr>
        <w:ind w:left="1560" w:right="1719"/>
        <w:spacing w:after="0" w:line="276" w:lineRule="auto"/>
        <w:rPr>
          <w:sz w:val="20"/>
          <w:szCs w:val="20"/>
          <w:color w:val="auto"/>
        </w:rPr>
      </w:pPr>
      <w:r>
        <w:rPr>
          <w:rFonts w:ascii="Arial" w:cs="Arial" w:eastAsia="Arial" w:hAnsi="Arial"/>
          <w:sz w:val="12"/>
          <w:szCs w:val="12"/>
          <w:color w:val="auto"/>
        </w:rPr>
        <w:t>We have granted the underwriters an option for a period of 30 days to purchase an additional 1,611,000 ADSs. If the underwriters exercise the option in full, the total underwriting discounts and commissions payable by us will be $12,968,550 and the total proceeds to us, before expenses, will be $172,296,450.</w:t>
      </w:r>
    </w:p>
    <w:p>
      <w:pPr>
        <w:spacing w:after="0" w:line="43" w:lineRule="exact"/>
        <w:rPr>
          <w:sz w:val="24"/>
          <w:szCs w:val="24"/>
          <w:color w:val="auto"/>
        </w:rPr>
      </w:pPr>
    </w:p>
    <w:p>
      <w:pPr>
        <w:jc w:val="both"/>
        <w:ind w:left="1560" w:right="1439"/>
        <w:spacing w:after="0"/>
        <w:rPr>
          <w:sz w:val="20"/>
          <w:szCs w:val="20"/>
          <w:color w:val="auto"/>
        </w:rPr>
      </w:pPr>
      <w:r>
        <w:rPr>
          <w:rFonts w:ascii="Arial" w:cs="Arial" w:eastAsia="Arial" w:hAnsi="Arial"/>
          <w:sz w:val="17"/>
          <w:szCs w:val="17"/>
          <w:b w:val="1"/>
          <w:bCs w:val="1"/>
          <w:color w:val="auto"/>
        </w:rPr>
        <w:t>​ ​ ​ ​ ​ JefferiesSVB SecuritiesGuggenheim SecuritiesBMO Capital Markets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Prospectus dated February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181610</wp:posOffset>
            </wp:positionV>
            <wp:extent cx="4900295"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 w:name="page2"/>
    <w:bookmarkEnd w:id="1"/>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183515</wp:posOffset>
            </wp:positionV>
            <wp:extent cx="37331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PROSPECTUS</w:t>
      </w:r>
      <w:r>
        <w:rPr>
          <w:rFonts w:ascii="Arial" w:cs="Arial" w:eastAsia="Arial" w:hAnsi="Arial"/>
          <w:sz w:val="12"/>
          <w:szCs w:val="12"/>
          <w:color w:val="000000"/>
        </w:rPr>
        <w:t>​</w:t>
      </w:r>
      <w:r>
        <w:rPr>
          <w:rFonts w:ascii="Arial" w:cs="Arial" w:eastAsia="Arial" w:hAnsi="Arial"/>
          <w:sz w:val="12"/>
          <w:szCs w:val="12"/>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8997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9795" cy="635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RISK</w:t>
      </w:r>
      <w:r>
        <w:rPr>
          <w:rFonts w:ascii="Arial" w:cs="Arial" w:eastAsia="Arial" w:hAnsi="Arial"/>
          <w:sz w:val="12"/>
          <w:szCs w:val="12"/>
          <w:color w:val="000000"/>
        </w:rPr>
        <w:t>​</w:t>
      </w:r>
      <w:r>
        <w:rPr>
          <w:rFonts w:ascii="Arial" w:cs="Arial" w:eastAsia="Arial" w:hAnsi="Arial"/>
          <w:sz w:val="12"/>
          <w:szCs w:val="12"/>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5327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765" cy="635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SPECIAL</w:t>
      </w:r>
      <w:r>
        <w:rPr>
          <w:rFonts w:ascii="Arial" w:cs="Arial" w:eastAsia="Arial" w:hAnsi="Arial"/>
          <w:sz w:val="12"/>
          <w:szCs w:val="12"/>
          <w:color w:val="000000"/>
        </w:rPr>
        <w:t>​</w:t>
      </w:r>
      <w:r>
        <w:rPr>
          <w:rFonts w:ascii="Arial" w:cs="Arial" w:eastAsia="Arial" w:hAnsi="Arial"/>
          <w:sz w:val="12"/>
          <w:szCs w:val="12"/>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22440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4090" cy="635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MARKET</w:t>
      </w:r>
      <w:r>
        <w:rPr>
          <w:rFonts w:ascii="Arial" w:cs="Arial" w:eastAsia="Arial" w:hAnsi="Arial"/>
          <w:sz w:val="12"/>
          <w:szCs w:val="12"/>
          <w:color w:val="000000"/>
        </w:rPr>
        <w:t>​</w:t>
      </w:r>
      <w:r>
        <w:rPr>
          <w:rFonts w:ascii="Arial" w:cs="Arial" w:eastAsia="Arial" w:hAnsi="Arial"/>
          <w:sz w:val="12"/>
          <w:szCs w:val="12"/>
          <w:color w:val="0000EE"/>
        </w:rPr>
        <w:t xml:space="preserve"> AND INDUSTRY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10731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3150" cy="635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USE</w:t>
      </w:r>
      <w:r>
        <w:rPr>
          <w:rFonts w:ascii="Arial" w:cs="Arial" w:eastAsia="Arial" w:hAnsi="Arial"/>
          <w:sz w:val="12"/>
          <w:szCs w:val="12"/>
          <w:color w:val="000000"/>
        </w:rPr>
        <w:t>​</w:t>
      </w:r>
      <w:r>
        <w:rPr>
          <w:rFonts w:ascii="Arial" w:cs="Arial" w:eastAsia="Arial" w:hAnsi="Arial"/>
          <w:sz w:val="12"/>
          <w:szCs w:val="12"/>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7023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10" cy="635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DIVIDEND</w:t>
      </w:r>
      <w:r>
        <w:rPr>
          <w:rFonts w:ascii="Arial" w:cs="Arial" w:eastAsia="Arial" w:hAnsi="Arial"/>
          <w:sz w:val="12"/>
          <w:szCs w:val="12"/>
          <w:color w:val="000000"/>
        </w:rPr>
        <w:t>​</w:t>
      </w:r>
      <w:r>
        <w:rPr>
          <w:rFonts w:ascii="Arial" w:cs="Arial" w:eastAsia="Arial" w:hAnsi="Arial"/>
          <w:sz w:val="12"/>
          <w:szCs w:val="12"/>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6337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730" cy="635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u w:val="single" w:color="auto"/>
          <w:color w:val="0000EE"/>
        </w:rPr>
        <w:t>CAPITALIZATION</w:t>
      </w:r>
      <w:r>
        <w:rPr>
          <w:rFonts w:ascii="Arial" w:cs="Arial" w:eastAsia="Arial" w:hAnsi="Arial"/>
          <w:sz w:val="12"/>
          <w:szCs w:val="12"/>
          <w:color w:val="000000"/>
        </w:rPr>
        <w:t>​</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u w:val="single" w:color="auto"/>
          <w:color w:val="0000EE"/>
        </w:rPr>
        <w:t>DILUTION</w:t>
      </w:r>
      <w:r>
        <w:rPr>
          <w:rFonts w:ascii="Arial" w:cs="Arial" w:eastAsia="Arial" w:hAnsi="Arial"/>
          <w:sz w:val="12"/>
          <w:szCs w:val="12"/>
          <w:color w:val="000000"/>
        </w:rPr>
        <w:t>​</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0000EE"/>
        </w:rPr>
        <w:t>ENFORCEMENT</w:t>
      </w:r>
      <w:r>
        <w:rPr>
          <w:rFonts w:ascii="Arial" w:cs="Arial" w:eastAsia="Arial" w:hAnsi="Arial"/>
          <w:sz w:val="12"/>
          <w:szCs w:val="12"/>
          <w:color w:val="000000"/>
        </w:rPr>
        <w:t>​</w:t>
      </w:r>
      <w:r>
        <w:rPr>
          <w:rFonts w:ascii="Arial" w:cs="Arial" w:eastAsia="Arial" w:hAnsi="Arial"/>
          <w:sz w:val="12"/>
          <w:szCs w:val="12"/>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129984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9845" cy="6350"/>
                    </a:xfrm>
                    <a:prstGeom prst="rect">
                      <a:avLst/>
                    </a:prstGeom>
                    <a:noFill/>
                  </pic:spPr>
                </pic:pic>
              </a:graphicData>
            </a:graphic>
          </wp:anchor>
        </w:drawing>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1"/>
          <w:szCs w:val="11"/>
          <w:u w:val="single" w:color="auto"/>
          <w:color w:val="0000EE"/>
        </w:rPr>
        <w:t>MANAGEMENT’S DISCUSSION AND ANALYSIS OF FINANCIAL CONDITION AND RESULTS OF</w:t>
      </w:r>
    </w:p>
    <w:p>
      <w:pPr>
        <w:spacing w:after="0" w:line="28" w:lineRule="exact"/>
        <w:rPr>
          <w:sz w:val="20"/>
          <w:szCs w:val="20"/>
          <w:color w:val="auto"/>
        </w:rPr>
      </w:pPr>
    </w:p>
    <w:p>
      <w:pPr>
        <w:ind w:left="1680" w:hanging="115"/>
        <w:spacing w:after="0"/>
        <w:tabs>
          <w:tab w:leader="none" w:pos="1680"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0000EE"/>
        </w:rPr>
        <w:t>OPERATIONS</w:t>
      </w:r>
    </w:p>
    <w:p>
      <w:pPr>
        <w:spacing w:after="0" w:line="29" w:lineRule="exact"/>
        <w:rPr>
          <w:rFonts w:ascii="Arial" w:cs="Arial" w:eastAsia="Arial" w:hAnsi="Arial"/>
          <w:sz w:val="12"/>
          <w:szCs w:val="12"/>
          <w:color w:val="auto"/>
        </w:rPr>
      </w:pPr>
    </w:p>
    <w:p>
      <w:pPr>
        <w:ind w:left="1560" w:right="4200"/>
        <w:spacing w:after="0" w:line="348" w:lineRule="auto"/>
        <w:rPr>
          <w:rFonts w:ascii="Arial" w:cs="Arial" w:eastAsia="Arial" w:hAnsi="Arial"/>
          <w:sz w:val="12"/>
          <w:szCs w:val="12"/>
          <w:color w:val="auto"/>
        </w:rPr>
      </w:pPr>
      <w:r>
        <w:rPr>
          <w:rFonts w:ascii="Arial" w:cs="Arial" w:eastAsia="Arial" w:hAnsi="Arial"/>
          <w:sz w:val="11"/>
          <w:szCs w:val="11"/>
          <w:u w:val="single" w:color="auto"/>
          <w:color w:val="0000EE"/>
        </w:rPr>
        <w:t>BUSINESS</w:t>
      </w:r>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11"/>
          <w:szCs w:val="11"/>
          <w:u w:val="single" w:color="auto"/>
          <w:color w:val="0000EE"/>
        </w:rPr>
        <w:t>MANAGEMENT</w:t>
      </w:r>
      <w:r>
        <w:rPr>
          <w:rFonts w:ascii="Arial" w:cs="Arial" w:eastAsia="Arial" w:hAnsi="Arial"/>
          <w:sz w:val="11"/>
          <w:szCs w:val="11"/>
          <w:color w:val="000000"/>
        </w:rPr>
        <w:t>​</w:t>
      </w:r>
    </w:p>
    <w:p>
      <w:pPr>
        <w:ind w:left="1560"/>
        <w:spacing w:after="0"/>
        <w:rPr>
          <w:rFonts w:ascii="Arial" w:cs="Arial" w:eastAsia="Arial" w:hAnsi="Arial"/>
          <w:sz w:val="12"/>
          <w:szCs w:val="12"/>
          <w:color w:val="auto"/>
        </w:rPr>
      </w:pPr>
      <w:r>
        <w:rPr>
          <w:rFonts w:ascii="Arial" w:cs="Arial" w:eastAsia="Arial" w:hAnsi="Arial"/>
          <w:sz w:val="12"/>
          <w:szCs w:val="12"/>
          <w:color w:val="0000EE"/>
        </w:rPr>
        <w:t>EXECUTIVE</w:t>
      </w:r>
      <w:r>
        <w:rPr>
          <w:rFonts w:ascii="Arial" w:cs="Arial" w:eastAsia="Arial" w:hAnsi="Arial"/>
          <w:sz w:val="12"/>
          <w:szCs w:val="12"/>
          <w:color w:val="000000"/>
        </w:rPr>
        <w:t>​</w:t>
      </w:r>
      <w:r>
        <w:rPr>
          <w:rFonts w:ascii="Arial" w:cs="Arial" w:eastAsia="Arial" w:hAnsi="Arial"/>
          <w:sz w:val="12"/>
          <w:szCs w:val="12"/>
          <w:color w:val="0000EE"/>
        </w:rPr>
        <w:t xml:space="preserve"> AND DIRECTOR COMPENSATION</w:t>
      </w:r>
    </w:p>
    <w:p>
      <w:pPr>
        <w:spacing w:after="0" w:line="45" w:lineRule="exact"/>
        <w:rPr>
          <w:rFonts w:ascii="Arial" w:cs="Arial" w:eastAsia="Arial" w:hAnsi="Arial"/>
          <w:sz w:val="12"/>
          <w:szCs w:val="12"/>
          <w:color w:val="auto"/>
        </w:rPr>
      </w:pPr>
    </w:p>
    <w:p>
      <w:pPr>
        <w:ind w:left="1560"/>
        <w:spacing w:after="0"/>
        <w:rPr>
          <w:rFonts w:ascii="Arial" w:cs="Arial" w:eastAsia="Arial" w:hAnsi="Arial"/>
          <w:sz w:val="12"/>
          <w:szCs w:val="12"/>
          <w:color w:val="auto"/>
        </w:rPr>
      </w:pPr>
      <w:r>
        <w:rPr>
          <w:rFonts w:ascii="Arial" w:cs="Arial" w:eastAsia="Arial" w:hAnsi="Arial"/>
          <w:sz w:val="12"/>
          <w:szCs w:val="12"/>
          <w:color w:val="0000EE"/>
        </w:rPr>
        <w:t>CERTAIN</w:t>
      </w:r>
      <w:r>
        <w:rPr>
          <w:rFonts w:ascii="Arial" w:cs="Arial" w:eastAsia="Arial" w:hAnsi="Arial"/>
          <w:sz w:val="12"/>
          <w:szCs w:val="12"/>
          <w:color w:val="000000"/>
        </w:rPr>
        <w:t>​</w:t>
      </w:r>
      <w:r>
        <w:rPr>
          <w:rFonts w:ascii="Arial" w:cs="Arial" w:eastAsia="Arial" w:hAnsi="Arial"/>
          <w:sz w:val="12"/>
          <w:szCs w:val="12"/>
          <w:color w:val="0000EE"/>
        </w:rPr>
        <w:t xml:space="preserve"> RELATIONSHIPS AND RELATED PARTY TRANSACTIONS</w:t>
      </w:r>
    </w:p>
    <w:p>
      <w:pPr>
        <w:spacing w:after="0" w:line="45" w:lineRule="exact"/>
        <w:rPr>
          <w:rFonts w:ascii="Arial" w:cs="Arial" w:eastAsia="Arial" w:hAnsi="Arial"/>
          <w:sz w:val="12"/>
          <w:szCs w:val="12"/>
          <w:color w:val="auto"/>
        </w:rPr>
      </w:pPr>
    </w:p>
    <w:p>
      <w:pPr>
        <w:ind w:left="1560"/>
        <w:spacing w:after="0"/>
        <w:rPr>
          <w:rFonts w:ascii="Arial" w:cs="Arial" w:eastAsia="Arial" w:hAnsi="Arial"/>
          <w:sz w:val="12"/>
          <w:szCs w:val="12"/>
          <w:color w:val="auto"/>
        </w:rPr>
      </w:pPr>
      <w:r>
        <w:rPr>
          <w:rFonts w:ascii="Arial" w:cs="Arial" w:eastAsia="Arial" w:hAnsi="Arial"/>
          <w:sz w:val="12"/>
          <w:szCs w:val="12"/>
          <w:color w:val="0000EE"/>
        </w:rPr>
        <w:t>PRINCIPAL</w:t>
      </w:r>
      <w:r>
        <w:rPr>
          <w:rFonts w:ascii="Arial" w:cs="Arial" w:eastAsia="Arial" w:hAnsi="Arial"/>
          <w:sz w:val="12"/>
          <w:szCs w:val="12"/>
          <w:color w:val="000000"/>
        </w:rPr>
        <w:t>​</w:t>
      </w:r>
      <w:r>
        <w:rPr>
          <w:rFonts w:ascii="Arial" w:cs="Arial" w:eastAsia="Arial" w:hAnsi="Arial"/>
          <w:sz w:val="12"/>
          <w:szCs w:val="12"/>
          <w:color w:val="0000EE"/>
        </w:rPr>
        <w:t xml:space="preserve"> SHAREHOLDERS</w:t>
      </w:r>
    </w:p>
    <w:p>
      <w:pPr>
        <w:spacing w:after="0" w:line="45" w:lineRule="exact"/>
        <w:rPr>
          <w:rFonts w:ascii="Arial" w:cs="Arial" w:eastAsia="Arial" w:hAnsi="Arial"/>
          <w:sz w:val="12"/>
          <w:szCs w:val="12"/>
          <w:color w:val="auto"/>
        </w:rPr>
      </w:pPr>
    </w:p>
    <w:p>
      <w:pPr>
        <w:ind w:left="1560"/>
        <w:spacing w:after="0"/>
        <w:rPr>
          <w:rFonts w:ascii="Arial" w:cs="Arial" w:eastAsia="Arial" w:hAnsi="Arial"/>
          <w:sz w:val="12"/>
          <w:szCs w:val="12"/>
          <w:color w:val="auto"/>
        </w:rPr>
      </w:pPr>
      <w:r>
        <w:rPr>
          <w:rFonts w:ascii="Arial" w:cs="Arial" w:eastAsia="Arial" w:hAnsi="Arial"/>
          <w:sz w:val="12"/>
          <w:szCs w:val="12"/>
          <w:color w:val="0000EE"/>
        </w:rPr>
        <w:t>DESCRIPTION</w:t>
      </w:r>
      <w:r>
        <w:rPr>
          <w:rFonts w:ascii="Arial" w:cs="Arial" w:eastAsia="Arial" w:hAnsi="Arial"/>
          <w:sz w:val="12"/>
          <w:szCs w:val="12"/>
          <w:color w:val="000000"/>
        </w:rPr>
        <w:t>​</w:t>
      </w:r>
      <w:r>
        <w:rPr>
          <w:rFonts w:ascii="Arial" w:cs="Arial" w:eastAsia="Arial" w:hAnsi="Arial"/>
          <w:sz w:val="12"/>
          <w:szCs w:val="12"/>
          <w:color w:val="0000EE"/>
        </w:rPr>
        <w:t xml:space="preserve"> OF SHARE CAPITAL</w:t>
      </w:r>
    </w:p>
    <w:p>
      <w:pPr>
        <w:spacing w:after="0" w:line="45" w:lineRule="exact"/>
        <w:rPr>
          <w:rFonts w:ascii="Arial" w:cs="Arial" w:eastAsia="Arial" w:hAnsi="Arial"/>
          <w:sz w:val="12"/>
          <w:szCs w:val="12"/>
          <w:color w:val="auto"/>
        </w:rPr>
      </w:pPr>
    </w:p>
    <w:p>
      <w:pPr>
        <w:ind w:left="1560"/>
        <w:spacing w:after="0"/>
        <w:rPr>
          <w:rFonts w:ascii="Arial" w:cs="Arial" w:eastAsia="Arial" w:hAnsi="Arial"/>
          <w:sz w:val="12"/>
          <w:szCs w:val="12"/>
          <w:color w:val="auto"/>
        </w:rPr>
      </w:pPr>
      <w:r>
        <w:rPr>
          <w:rFonts w:ascii="Arial" w:cs="Arial" w:eastAsia="Arial" w:hAnsi="Arial"/>
          <w:sz w:val="12"/>
          <w:szCs w:val="12"/>
          <w:color w:val="0000EE"/>
        </w:rPr>
        <w:t>DESCRIPTION</w:t>
      </w:r>
      <w:r>
        <w:rPr>
          <w:rFonts w:ascii="Arial" w:cs="Arial" w:eastAsia="Arial" w:hAnsi="Arial"/>
          <w:sz w:val="12"/>
          <w:szCs w:val="12"/>
          <w:color w:val="000000"/>
        </w:rPr>
        <w:t>​</w:t>
      </w:r>
      <w:r>
        <w:rPr>
          <w:rFonts w:ascii="Arial" w:cs="Arial" w:eastAsia="Arial" w:hAnsi="Arial"/>
          <w:sz w:val="12"/>
          <w:szCs w:val="12"/>
          <w:color w:val="0000EE"/>
        </w:rPr>
        <w:t xml:space="preserve"> OF AMERICAN DEPOSITARY SHARES</w:t>
      </w:r>
    </w:p>
    <w:p>
      <w:pPr>
        <w:spacing w:after="0" w:line="45" w:lineRule="exact"/>
        <w:rPr>
          <w:rFonts w:ascii="Arial" w:cs="Arial" w:eastAsia="Arial" w:hAnsi="Arial"/>
          <w:sz w:val="12"/>
          <w:szCs w:val="12"/>
          <w:color w:val="auto"/>
        </w:rPr>
      </w:pPr>
    </w:p>
    <w:p>
      <w:pPr>
        <w:ind w:left="1560" w:right="120"/>
        <w:spacing w:after="0" w:line="319" w:lineRule="auto"/>
        <w:rPr>
          <w:rFonts w:ascii="Arial" w:cs="Arial" w:eastAsia="Arial" w:hAnsi="Arial"/>
          <w:sz w:val="12"/>
          <w:szCs w:val="12"/>
          <w:color w:val="auto"/>
        </w:rPr>
      </w:pPr>
      <w:r>
        <w:rPr>
          <w:rFonts w:ascii="Arial" w:cs="Arial" w:eastAsia="Arial" w:hAnsi="Arial"/>
          <w:sz w:val="12"/>
          <w:szCs w:val="12"/>
          <w:color w:val="0000EE"/>
        </w:rPr>
        <w:t>ORDINARY</w:t>
      </w:r>
      <w:r>
        <w:rPr>
          <w:rFonts w:ascii="Arial" w:cs="Arial" w:eastAsia="Arial" w:hAnsi="Arial"/>
          <w:sz w:val="12"/>
          <w:szCs w:val="12"/>
          <w:color w:val="000000"/>
        </w:rPr>
        <w:t>​</w:t>
      </w:r>
      <w:r>
        <w:rPr>
          <w:rFonts w:ascii="Arial" w:cs="Arial" w:eastAsia="Arial" w:hAnsi="Arial"/>
          <w:sz w:val="12"/>
          <w:szCs w:val="12"/>
          <w:color w:val="0000EE"/>
        </w:rPr>
        <w:t xml:space="preserve"> SHARES AND AMERICAN DEPOSITARY SHARES ELIGIBLE FOR FUTURE SALE </w:t>
      </w:r>
      <w:r>
        <w:rPr>
          <w:rFonts w:ascii="Arial" w:cs="Arial" w:eastAsia="Arial" w:hAnsi="Arial"/>
          <w:sz w:val="12"/>
          <w:szCs w:val="12"/>
          <w:u w:val="single" w:color="auto"/>
          <w:color w:val="0000EE"/>
        </w:rPr>
        <w:t>TAXATION</w:t>
      </w:r>
      <w:r>
        <w:rPr>
          <w:rFonts w:ascii="Arial" w:cs="Arial" w:eastAsia="Arial" w:hAnsi="Arial"/>
          <w:sz w:val="12"/>
          <w:szCs w:val="12"/>
          <w:color w:val="000000"/>
        </w:rPr>
        <w:t>​</w:t>
      </w:r>
    </w:p>
    <w:p>
      <w:pPr>
        <w:ind w:left="1560"/>
        <w:spacing w:after="0"/>
        <w:rPr>
          <w:rFonts w:ascii="Arial" w:cs="Arial" w:eastAsia="Arial" w:hAnsi="Arial"/>
          <w:sz w:val="12"/>
          <w:szCs w:val="12"/>
          <w:color w:val="auto"/>
        </w:rPr>
      </w:pPr>
      <w:r>
        <w:rPr>
          <w:rFonts w:ascii="Arial" w:cs="Arial" w:eastAsia="Arial" w:hAnsi="Arial"/>
          <w:sz w:val="12"/>
          <w:szCs w:val="12"/>
          <w:u w:val="single" w:color="auto"/>
          <w:color w:val="0000EE"/>
        </w:rPr>
        <w:t>UNDERWRITING</w:t>
      </w:r>
      <w:r>
        <w:rPr>
          <w:rFonts w:ascii="Arial" w:cs="Arial" w:eastAsia="Arial" w:hAnsi="Arial"/>
          <w:sz w:val="12"/>
          <w:szCs w:val="12"/>
          <w:color w:val="000000"/>
        </w:rPr>
        <w:t>​</w:t>
      </w:r>
    </w:p>
    <w:p>
      <w:pPr>
        <w:spacing w:after="0" w:line="45" w:lineRule="exact"/>
        <w:rPr>
          <w:rFonts w:ascii="Arial" w:cs="Arial" w:eastAsia="Arial" w:hAnsi="Arial"/>
          <w:sz w:val="12"/>
          <w:szCs w:val="12"/>
          <w:color w:val="auto"/>
        </w:rPr>
      </w:pPr>
    </w:p>
    <w:p>
      <w:pPr>
        <w:ind w:left="1560" w:right="4080"/>
        <w:spacing w:after="0" w:line="348" w:lineRule="auto"/>
        <w:rPr>
          <w:rFonts w:ascii="Arial" w:cs="Arial" w:eastAsia="Arial" w:hAnsi="Arial"/>
          <w:sz w:val="12"/>
          <w:szCs w:val="12"/>
          <w:color w:val="auto"/>
        </w:rPr>
      </w:pPr>
      <w:r>
        <w:rPr>
          <w:rFonts w:ascii="Arial" w:cs="Arial" w:eastAsia="Arial" w:hAnsi="Arial"/>
          <w:sz w:val="11"/>
          <w:szCs w:val="11"/>
          <w:color w:val="0000EE"/>
        </w:rPr>
        <w:t>LEGAL</w:t>
      </w:r>
      <w:r>
        <w:rPr>
          <w:rFonts w:ascii="Arial" w:cs="Arial" w:eastAsia="Arial" w:hAnsi="Arial"/>
          <w:sz w:val="11"/>
          <w:szCs w:val="11"/>
          <w:color w:val="000000"/>
        </w:rPr>
        <w:t>​</w:t>
      </w:r>
      <w:r>
        <w:rPr>
          <w:rFonts w:ascii="Arial" w:cs="Arial" w:eastAsia="Arial" w:hAnsi="Arial"/>
          <w:sz w:val="11"/>
          <w:szCs w:val="11"/>
          <w:color w:val="0000EE"/>
        </w:rPr>
        <w:t xml:space="preserve"> MATTERS </w:t>
      </w:r>
      <w:r>
        <w:rPr>
          <w:rFonts w:ascii="Arial" w:cs="Arial" w:eastAsia="Arial" w:hAnsi="Arial"/>
          <w:sz w:val="11"/>
          <w:szCs w:val="11"/>
          <w:u w:val="single" w:color="auto"/>
          <w:color w:val="0000EE"/>
        </w:rPr>
        <w:t>EXPERTS</w:t>
      </w:r>
      <w:r>
        <w:rPr>
          <w:rFonts w:ascii="Arial" w:cs="Arial" w:eastAsia="Arial" w:hAnsi="Arial"/>
          <w:sz w:val="11"/>
          <w:szCs w:val="11"/>
          <w:color w:val="000000"/>
        </w:rPr>
        <w:t>​</w:t>
      </w:r>
    </w:p>
    <w:p>
      <w:pPr>
        <w:ind w:left="1560" w:right="2200"/>
        <w:spacing w:after="0" w:line="326" w:lineRule="auto"/>
        <w:rPr>
          <w:rFonts w:ascii="Arial" w:cs="Arial" w:eastAsia="Arial" w:hAnsi="Arial"/>
          <w:sz w:val="12"/>
          <w:szCs w:val="12"/>
          <w:color w:val="auto"/>
        </w:rPr>
      </w:pPr>
      <w:r>
        <w:rPr>
          <w:rFonts w:ascii="Arial" w:cs="Arial" w:eastAsia="Arial" w:hAnsi="Arial"/>
          <w:sz w:val="11"/>
          <w:szCs w:val="11"/>
          <w:color w:val="0000EE"/>
        </w:rPr>
        <w:t>WHERE</w:t>
      </w:r>
      <w:r>
        <w:rPr>
          <w:rFonts w:ascii="Arial" w:cs="Arial" w:eastAsia="Arial" w:hAnsi="Arial"/>
          <w:sz w:val="11"/>
          <w:szCs w:val="11"/>
          <w:color w:val="000000"/>
        </w:rPr>
        <w:t>​</w:t>
      </w:r>
      <w:r>
        <w:rPr>
          <w:rFonts w:ascii="Arial" w:cs="Arial" w:eastAsia="Arial" w:hAnsi="Arial"/>
          <w:sz w:val="11"/>
          <w:szCs w:val="11"/>
          <w:color w:val="0000EE"/>
        </w:rPr>
        <w:t xml:space="preserve"> YOU CAN FIND ADDITIONAL INFORMATION </w:t>
      </w:r>
      <w:r>
        <w:rPr>
          <w:rFonts w:ascii="Arial" w:cs="Arial" w:eastAsia="Arial" w:hAnsi="Arial"/>
          <w:sz w:val="11"/>
          <w:szCs w:val="11"/>
          <w:u w:val="single" w:color="auto"/>
          <w:color w:val="0000EE"/>
        </w:rPr>
        <w:t>INDEX TO FINANCIAL STATEMENTS</w:t>
      </w:r>
    </w:p>
    <w:p>
      <w:pPr>
        <w:spacing w:after="0"/>
        <w:tabs>
          <w:tab w:leader="none" w:pos="0" w:val="left"/>
        </w:tabs>
        <w:numPr>
          <w:ilvl w:val="0"/>
          <w:numId w:val="2"/>
        </w:numPr>
        <w:rPr>
          <w:rFonts w:ascii="Arial" w:cs="Arial" w:eastAsia="Arial" w:hAnsi="Arial"/>
          <w:sz w:val="12"/>
          <w:szCs w:val="12"/>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5080</wp:posOffset>
            </wp:positionV>
            <wp:extent cx="373316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3165" cy="120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-1388110</wp:posOffset>
            </wp:positionV>
            <wp:extent cx="15944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448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-1271270</wp:posOffset>
            </wp:positionV>
            <wp:extent cx="228155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155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-1155065</wp:posOffset>
            </wp:positionV>
            <wp:extent cx="100457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457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-1038225</wp:posOffset>
            </wp:positionV>
            <wp:extent cx="12065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650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-921385</wp:posOffset>
            </wp:positionV>
            <wp:extent cx="182753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753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-805180</wp:posOffset>
            </wp:positionV>
            <wp:extent cx="312356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35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-454660</wp:posOffset>
            </wp:positionV>
            <wp:extent cx="59944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44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-221615</wp:posOffset>
            </wp:positionV>
            <wp:extent cx="17938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w:t>
      </w:r>
      <w:r>
        <w:rPr>
          <w:rFonts w:ascii="Arial" w:cs="Arial" w:eastAsia="Arial" w:hAnsi="Arial"/>
          <w:sz w:val="12"/>
          <w:szCs w:val="12"/>
          <w:b w:val="1"/>
          <w:bCs w:val="1"/>
          <w:u w:val="single" w:color="auto"/>
          <w:color w:val="auto"/>
        </w:rPr>
        <w:t>​</w:t>
      </w:r>
      <w:r>
        <w:rPr>
          <w:rFonts w:ascii="Arial" w:cs="Arial" w:eastAsia="Arial" w:hAnsi="Arial"/>
          <w:sz w:val="24"/>
          <w:szCs w:val="24"/>
          <w:b w:val="1"/>
          <w:bCs w:val="1"/>
          <w:u w:val="single" w:color="auto"/>
          <w:color w:val="auto"/>
          <w:vertAlign w:val="superscript"/>
        </w:rPr>
        <w:t>PAGE</w:t>
      </w:r>
      <w:r>
        <w:rPr>
          <w:rFonts w:ascii="Arial" w:cs="Arial" w:eastAsia="Arial" w:hAnsi="Arial"/>
          <w:sz w:val="12"/>
          <w:szCs w:val="12"/>
          <w:b w:val="1"/>
          <w:bCs w:val="1"/>
          <w:color w:val="auto"/>
        </w:rPr>
        <w:t>​</w:t>
      </w:r>
    </w:p>
    <w:tbl>
      <w:tblPr>
        <w:tblLayout w:type="fixed"/>
        <w:tblInd w:w="0" w:type="dxa"/>
        <w:tblCellMar>
          <w:top w:w="0" w:type="dxa"/>
          <w:left w:w="0" w:type="dxa"/>
          <w:bottom w:w="0" w:type="dxa"/>
          <w:right w:w="0" w:type="dxa"/>
        </w:tblCellMar>
      </w:tblPr>
      <w:tr>
        <w:trPr>
          <w:trHeight w:val="127"/>
        </w:trPr>
        <w:tc>
          <w:tcPr>
            <w:tcW w:w="260" w:type="dxa"/>
            <w:vAlign w:val="bottom"/>
          </w:tcPr>
          <w:p>
            <w:pPr>
              <w:spacing w:after="0" w:line="117" w:lineRule="exact"/>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0000EE"/>
            </w:tcBorders>
            <w:gridSpan w:val="2"/>
          </w:tcPr>
          <w:p>
            <w:pPr>
              <w:jc w:val="right"/>
              <w:spacing w:after="0" w:line="107" w:lineRule="exact"/>
              <w:rPr>
                <w:sz w:val="20"/>
                <w:szCs w:val="20"/>
                <w:color w:val="auto"/>
              </w:rPr>
            </w:pPr>
            <w:r>
              <w:rPr>
                <w:rFonts w:ascii="Arial" w:cs="Arial" w:eastAsia="Arial" w:hAnsi="Arial"/>
                <w:sz w:val="10"/>
                <w:szCs w:val="10"/>
                <w:color w:val="0000EE"/>
                <w:w w:val="71"/>
              </w:rPr>
              <w:t>1</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9"/>
              </w:rPr>
              <w:t>16</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9"/>
              </w:rPr>
              <w:t>91</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9"/>
              </w:rPr>
              <w:t>93</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9"/>
              </w:rPr>
              <w:t>94</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9"/>
              </w:rPr>
              <w:t>95</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89"/>
              </w:rPr>
              <w:t>96</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color w:val="0000EE"/>
                <w:w w:val="89"/>
              </w:rPr>
              <w:t>98</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100</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309"/>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40" w:type="dxa"/>
            <w:vAlign w:val="bottom"/>
            <w:gridSpan w:val="6"/>
          </w:tcPr>
          <w:p>
            <w:pPr>
              <w:jc w:val="right"/>
              <w:spacing w:after="0"/>
              <w:rPr>
                <w:sz w:val="20"/>
                <w:szCs w:val="20"/>
                <w:color w:val="auto"/>
              </w:rPr>
            </w:pPr>
            <w:r>
              <w:rPr>
                <w:rFonts w:ascii="Arial" w:cs="Arial" w:eastAsia="Arial" w:hAnsi="Arial"/>
                <w:sz w:val="12"/>
                <w:szCs w:val="12"/>
                <w:color w:val="0000EE"/>
              </w:rPr>
              <w:t>102</w:t>
            </w:r>
            <w:r>
              <w:rPr>
                <w:rFonts w:ascii="Arial" w:cs="Arial" w:eastAsia="Arial" w:hAnsi="Arial"/>
                <w:sz w:val="12"/>
                <w:szCs w:val="12"/>
                <w:b w:val="1"/>
                <w:bCs w:val="1"/>
                <w:color w:val="000000"/>
              </w:rPr>
              <w:t>​</w:t>
            </w:r>
          </w:p>
        </w:tc>
      </w:tr>
      <w:tr>
        <w:trPr>
          <w:trHeight w:val="15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Arial" w:cs="Arial" w:eastAsia="Arial" w:hAnsi="Arial"/>
                <w:sz w:val="12"/>
                <w:szCs w:val="12"/>
                <w:color w:val="0000EE"/>
                <w:w w:val="79"/>
              </w:rPr>
              <w:t>118</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175</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182</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197</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202</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205</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214</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229</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231</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238</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247</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247</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260" w:type="dxa"/>
            <w:vAlign w:val="bottom"/>
          </w:tcPr>
          <w:p>
            <w:pPr>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Arial" w:cs="Arial" w:eastAsia="Arial" w:hAnsi="Arial"/>
                <w:sz w:val="12"/>
                <w:szCs w:val="12"/>
                <w:color w:val="0000EE"/>
                <w:w w:val="89"/>
              </w:rPr>
              <w:t>247</w:t>
            </w: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42" w:lineRule="exact"/>
        <w:rPr>
          <w:sz w:val="20"/>
          <w:szCs w:val="20"/>
          <w:color w:val="auto"/>
        </w:rPr>
      </w:pPr>
    </w:p>
    <w:p>
      <w:pPr>
        <w:ind w:left="280" w:hanging="165"/>
        <w:spacing w:after="0"/>
        <w:tabs>
          <w:tab w:leader="none" w:pos="280" w:val="left"/>
        </w:tabs>
        <w:numPr>
          <w:ilvl w:val="1"/>
          <w:numId w:val="3"/>
        </w:numPr>
        <w:rPr>
          <w:rFonts w:ascii="Arial" w:cs="Arial" w:eastAsia="Arial" w:hAnsi="Arial"/>
          <w:sz w:val="12"/>
          <w:szCs w:val="12"/>
          <w:color w:val="auto"/>
        </w:rPr>
      </w:pPr>
      <w:r>
        <w:rPr>
          <w:rFonts w:ascii="Arial" w:cs="Arial" w:eastAsia="Arial" w:hAnsi="Arial"/>
          <w:sz w:val="12"/>
          <w:szCs w:val="12"/>
          <w:u w:val="single" w:color="auto"/>
          <w:color w:val="0000EE"/>
        </w:rPr>
        <w:t>F-1</w:t>
      </w:r>
    </w:p>
    <w:p>
      <w:pPr>
        <w:spacing w:after="0" w:line="22" w:lineRule="exact"/>
        <w:rPr>
          <w:rFonts w:ascii="Arial" w:cs="Arial" w:eastAsia="Arial" w:hAnsi="Arial"/>
          <w:sz w:val="12"/>
          <w:szCs w:val="12"/>
          <w:color w:val="auto"/>
        </w:rPr>
      </w:pPr>
    </w:p>
    <w:p>
      <w:pPr>
        <w:ind w:left="80" w:hanging="76"/>
        <w:spacing w:after="0"/>
        <w:tabs>
          <w:tab w:leader="none" w:pos="80"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p>
      <w:pPr>
        <w:spacing w:after="0" w:line="194" w:lineRule="exact"/>
        <w:rPr>
          <w:sz w:val="20"/>
          <w:szCs w:val="20"/>
          <w:color w:val="auto"/>
        </w:rPr>
      </w:pPr>
    </w:p>
    <w:p>
      <w:pPr>
        <w:sectPr>
          <w:pgSz w:w="11900" w:h="16838" w:orient="portrait"/>
          <w:cols w:equalWidth="0" w:num="2">
            <w:col w:w="6600" w:space="380"/>
            <w:col w:w="2039"/>
          </w:cols>
          <w:pgMar w:left="1440" w:top="109" w:right="1440" w:bottom="1440" w:gutter="0" w:footer="0" w:header="0"/>
          <w:type w:val="continuous"/>
        </w:sectPr>
      </w:pPr>
    </w:p>
    <w:p>
      <w:pPr>
        <w:ind w:left="1560" w:right="1579"/>
        <w:spacing w:after="0" w:line="261" w:lineRule="auto"/>
        <w:rPr>
          <w:sz w:val="20"/>
          <w:szCs w:val="20"/>
          <w:color w:val="auto"/>
        </w:rPr>
      </w:pPr>
      <w:r>
        <w:rPr>
          <w:rFonts w:ascii="Arial" w:cs="Arial" w:eastAsia="Arial" w:hAnsi="Arial"/>
          <w:sz w:val="12"/>
          <w:szCs w:val="12"/>
          <w:b w:val="1"/>
          <w:bCs w:val="1"/>
          <w:color w:val="auto"/>
        </w:rPr>
        <w:t>Through and including February 27, 2023 (the 25th day after the date of this prospectus), all dealers effecting transactions in our ADSs,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22"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We and the underwriters have not authorized anyone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our ADSs or ordinary shares only in jurisdictions where offers and sales are permitted. The information contained in this prospectus or in any applicable free writing prospectus is accurate only as of the date of this prospectus or any such free writing prospectus, as applicable, regardless of its time of delivery or of any sale of our ADSs or ordinary shares. Our business, financial condition, results of operations and future growth prospects may have changed since that date.</w:t>
      </w:r>
    </w:p>
    <w:p>
      <w:pPr>
        <w:spacing w:after="0" w:line="81" w:lineRule="exact"/>
        <w:rPr>
          <w:sz w:val="20"/>
          <w:szCs w:val="20"/>
          <w:color w:val="auto"/>
        </w:rPr>
      </w:pPr>
    </w:p>
    <w:p>
      <w:pPr>
        <w:ind w:left="1560" w:right="1659"/>
        <w:spacing w:after="0" w:line="278" w:lineRule="auto"/>
        <w:rPr>
          <w:sz w:val="20"/>
          <w:szCs w:val="20"/>
          <w:color w:val="auto"/>
        </w:rPr>
      </w:pPr>
      <w:r>
        <w:rPr>
          <w:rFonts w:ascii="Arial" w:cs="Arial" w:eastAsia="Arial" w:hAnsi="Arial"/>
          <w:sz w:val="12"/>
          <w:szCs w:val="12"/>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our ADSs or ordinary shares and the distribution of this prospectus outside of the United States.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 w:name="page3"/>
    <w:bookmarkEnd w:id="2"/>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925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54145" cy="592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PROSPECTUS SUMMARY</w:t>
      </w:r>
    </w:p>
    <w:p>
      <w:pPr>
        <w:spacing w:after="0" w:line="235" w:lineRule="exact"/>
        <w:rPr>
          <w:sz w:val="20"/>
          <w:szCs w:val="20"/>
          <w:color w:val="auto"/>
        </w:rPr>
      </w:pPr>
    </w:p>
    <w:p>
      <w:pPr>
        <w:ind w:left="1580" w:right="1639"/>
        <w:spacing w:after="0" w:line="252" w:lineRule="auto"/>
        <w:rPr>
          <w:sz w:val="20"/>
          <w:szCs w:val="20"/>
          <w:color w:val="auto"/>
        </w:rPr>
      </w:pPr>
      <w:r>
        <w:rPr>
          <w:rFonts w:ascii="Arial" w:cs="Arial" w:eastAsia="Arial" w:hAnsi="Arial"/>
          <w:sz w:val="12"/>
          <w:szCs w:val="12"/>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ADSs,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the “Company,” “Structure Therapeutics,” “we,” “us,” “our” and similar references in this prospectus refer to Structure Therapeutics Inc. and its subsidiaries.</w:t>
      </w:r>
    </w:p>
    <w:p>
      <w:pPr>
        <w:spacing w:after="0" w:line="30"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Overview</w:t>
      </w:r>
    </w:p>
    <w:p>
      <w:pPr>
        <w:spacing w:after="0" w:line="160" w:lineRule="exact"/>
        <w:rPr>
          <w:sz w:val="20"/>
          <w:szCs w:val="20"/>
          <w:color w:val="auto"/>
        </w:rPr>
      </w:pPr>
    </w:p>
    <w:p>
      <w:pPr>
        <w:ind w:left="1580" w:right="1599"/>
        <w:spacing w:after="0" w:line="266" w:lineRule="auto"/>
        <w:rPr>
          <w:sz w:val="20"/>
          <w:szCs w:val="20"/>
          <w:color w:val="auto"/>
        </w:rPr>
      </w:pPr>
      <w:r>
        <w:rPr>
          <w:rFonts w:ascii="Arial" w:cs="Arial" w:eastAsia="Arial" w:hAnsi="Arial"/>
          <w:sz w:val="12"/>
          <w:szCs w:val="12"/>
          <w:color w:val="auto"/>
        </w:rPr>
        <w:t>We are a clinical stage global biopharmaceutical company aiming to develop and deliver novel oral therapeutics to treat a wide range of chronic diseases with unmet medical needs.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w:t>
      </w:r>
    </w:p>
    <w:p>
      <w:pPr>
        <w:spacing w:after="0" w:line="76" w:lineRule="exact"/>
        <w:rPr>
          <w:sz w:val="20"/>
          <w:szCs w:val="20"/>
          <w:color w:val="auto"/>
        </w:rPr>
      </w:pPr>
    </w:p>
    <w:p>
      <w:pPr>
        <w:ind w:left="1580" w:right="1559"/>
        <w:spacing w:after="0" w:line="259" w:lineRule="auto"/>
        <w:rPr>
          <w:sz w:val="20"/>
          <w:szCs w:val="20"/>
          <w:color w:val="auto"/>
        </w:rPr>
      </w:pPr>
      <w:r>
        <w:rPr>
          <w:rFonts w:ascii="Arial" w:cs="Arial" w:eastAsia="Arial" w:hAnsi="Arial"/>
          <w:sz w:val="12"/>
          <w:szCs w:val="12"/>
          <w:color w:val="auto"/>
        </w:rPr>
        <w:t>Our initial focus is on G-protein-coupled receptors, or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glucagon-like-peptide-1 receptor, or GLP-1R, for the treatment of type-2 diabetes mellitus, or T2DM, and obesity. We completed our Phase 1 single ascending dose, or SAD, study of GSBR-1290 in September 2022. GSBR-1290 was generally well tolerated and demonstrated dose-dependent pharmacokinetics, or PK, and pharmacological, or PD, activity. We submitted an Investigational New Drug application, or IND, to the United States Food and Drug Administration, or FDA, to support initiation of a Phase 1b proof-of-concept study in T2DM and obesity and received FDA allowance in September 2022. We initiated the Phase 1b multiple ascending dose, or MAD, study in January 2023 and plan to submit a protocol amendment to the FDA to transition to a Phase 2a proof-of-concept study in T2DM and obesity with expected initiation in the second half of 2023. We expect to report topline data for the Phase 1b study and Phase 2a study in the second half of 2023. Beyond GSBR-1290, we are developing next generation GLP-1R candidates, including dual GLP-1R/GIPR agonists, each designed with customized properties to achieve additional benefit. In September 2022, we completed a Phase 1 SAD and MAD study evaluating ANPA-0073, our small molecule product candidate targeting the apelin receptor, or APJR, in which it was generally well tolerated in healthy human volunteers. ANPA-0073 is in development for the treatment of patients with idiopathic pulmonary fibrosis, or IPF, and pulmonary arterial hypertension, or PAH. We expect to conduct additional preclinical studies to be followed by a Phase 1 formulation bridging PK study in Australia. Moreover, we are advancing a differentiated lysophosphatidic acid 1 receptor, or LPA1R, antagonist for the treatment of IPF. We selected a development candidate in January 2023 and expect to initiate a first-in-human study in 2024.</w:t>
      </w:r>
    </w:p>
    <w:p>
      <w:pPr>
        <w:spacing w:after="0" w:line="249" w:lineRule="exact"/>
        <w:rPr>
          <w:sz w:val="20"/>
          <w:szCs w:val="20"/>
          <w:color w:val="auto"/>
        </w:rPr>
      </w:pPr>
    </w:p>
    <w:p>
      <w:pPr>
        <w:ind w:left="1580" w:right="1599"/>
        <w:spacing w:after="0" w:line="270" w:lineRule="auto"/>
        <w:rPr>
          <w:sz w:val="20"/>
          <w:szCs w:val="20"/>
          <w:color w:val="auto"/>
        </w:rPr>
      </w:pPr>
      <w:r>
        <w:rPr>
          <w:rFonts w:ascii="Arial" w:cs="Arial" w:eastAsia="Arial" w:hAnsi="Arial"/>
          <w:sz w:val="12"/>
          <w:szCs w:val="12"/>
          <w:color w:val="auto"/>
        </w:rPr>
        <w:t>A number of GPCR properties contribute to its importance as a drug target class, including interaction with a diverse set of signaling molecules, involvement in a vast array of physiological and pathological processes, and cell surface expression that enables extracellular drug binding. As such, GPCRs have emerged as the largest family of targets for approved drugs, have provided significant benefit to patients and have achieved blockbuster sales in a number of therapeutic indications, including diabetes (Victoza), bipolar disorders (Abilify, Seroquel), asthma (Singulair), hypertension (Diovan, Lopressor), and cardiovascular disease (Plavix). Despite this success, there remain a number of challenges to continued innovation in this target class, including (i) low expression levels on cell surfaces, (ii) the complexity of the multi-subunit peptide GPCR receptor, (iii) difficulties in obtaining relevant crystal structures as a basis for drug design, and</w:t>
      </w:r>
    </w:p>
    <w:p>
      <w:pPr>
        <w:spacing w:after="0" w:line="1" w:lineRule="exact"/>
        <w:rPr>
          <w:sz w:val="20"/>
          <w:szCs w:val="20"/>
          <w:color w:val="auto"/>
        </w:rPr>
      </w:pPr>
    </w:p>
    <w:p>
      <w:pPr>
        <w:ind w:left="1580" w:right="1599" w:hanging="2"/>
        <w:spacing w:after="0" w:line="274" w:lineRule="auto"/>
        <w:tabs>
          <w:tab w:leader="none" w:pos="1784"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non-specific signaling through multiple intracellular signaling pathways, a concept known as non-biased signaling, which can limit activity and increase side effects. We have developed a platform designed to address these key challenges, enabling us to discover small molecule drugs to effectively target GPCRs. Further, our platform has been designed to develop novel drugs against other targets where traditional drug discovery methods have not been adequate. Given our early stage of development, it will take several years before we complete development and seek</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 w:name="page4"/>
    <w:bookmarkEnd w:id="3"/>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10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54145" cy="571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80" w:right="1599"/>
        <w:spacing w:after="0" w:line="288" w:lineRule="auto"/>
        <w:rPr>
          <w:sz w:val="20"/>
          <w:szCs w:val="20"/>
          <w:color w:val="auto"/>
        </w:rPr>
      </w:pPr>
      <w:r>
        <w:rPr>
          <w:rFonts w:ascii="Arial" w:cs="Arial" w:eastAsia="Arial" w:hAnsi="Arial"/>
          <w:sz w:val="12"/>
          <w:szCs w:val="12"/>
          <w:color w:val="auto"/>
        </w:rPr>
        <w:t>regulatory approval of any of our product candidates, if at all. Even if we are successful in obtaining regulatory approval and commercialization of any of our product candidates, there can be no assurance that we will obtain the same success as other approved drugs.</w:t>
      </w:r>
    </w:p>
    <w:p>
      <w:pPr>
        <w:spacing w:after="0" w:line="64" w:lineRule="exact"/>
        <w:rPr>
          <w:sz w:val="20"/>
          <w:szCs w:val="20"/>
          <w:color w:val="auto"/>
        </w:rPr>
      </w:pPr>
    </w:p>
    <w:p>
      <w:pPr>
        <w:ind w:left="1580" w:right="1579"/>
        <w:spacing w:after="0" w:line="274" w:lineRule="auto"/>
        <w:rPr>
          <w:sz w:val="20"/>
          <w:szCs w:val="20"/>
          <w:color w:val="auto"/>
        </w:rPr>
      </w:pPr>
      <w:r>
        <w:rPr>
          <w:rFonts w:ascii="Arial" w:cs="Arial" w:eastAsia="Arial" w:hAnsi="Arial"/>
          <w:sz w:val="12"/>
          <w:szCs w:val="12"/>
          <w:color w:val="auto"/>
        </w:rPr>
        <w:t>Our next generation structure-based drug discovery platform is based on techniques that our founders have evolved for over 25 years, which enables us to generate small molecule product candidates designed to overcome the historical limitations of GPCR drug development. As shown below, we believe our insights and capability to visualize the three-dimensional protein structures of the target and the ligands combined with the computational chemistry capabilities of our co-founder and strategic partner, Schrödinger Inc., or Schrödinger, give us significant competitive advantages in highly efficient and rational drug design. We design our novel compounds using iterative structural information by visualizing the interactions of the target binding site with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80" w:right="1579"/>
        <w:spacing w:after="0" w:line="278" w:lineRule="auto"/>
        <w:rPr>
          <w:sz w:val="20"/>
          <w:szCs w:val="20"/>
          <w:color w:val="auto"/>
        </w:rPr>
      </w:pPr>
      <w:r>
        <w:rPr>
          <w:rFonts w:ascii="Arial" w:cs="Arial" w:eastAsia="Arial" w:hAnsi="Arial"/>
          <w:sz w:val="12"/>
          <w:szCs w:val="12"/>
          <w:color w:val="auto"/>
        </w:rPr>
        <w:t>We believe the strengths of our platform position us to develop oral small molecule drugs that can deliver biologic-like activity and specificity. Oral small molecules can address many of the key limitations of biologic and peptide drugs, thereby significantly improving patient access. We believe this is particularly important for the most prevalent chronic diseases including those involving the metabolic, cardiovascular, and pulmonary systems.</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Our Pipeline and Programs</w:t>
      </w:r>
    </w:p>
    <w:p>
      <w:pPr>
        <w:spacing w:after="0" w:line="169" w:lineRule="exact"/>
        <w:rPr>
          <w:sz w:val="20"/>
          <w:szCs w:val="20"/>
          <w:color w:val="auto"/>
        </w:rPr>
      </w:pPr>
    </w:p>
    <w:p>
      <w:pPr>
        <w:ind w:left="1580" w:right="1599"/>
        <w:spacing w:after="0" w:line="282" w:lineRule="auto"/>
        <w:rPr>
          <w:sz w:val="20"/>
          <w:szCs w:val="20"/>
          <w:color w:val="auto"/>
        </w:rPr>
      </w:pPr>
      <w:r>
        <w:rPr>
          <w:rFonts w:ascii="Arial" w:cs="Arial" w:eastAsia="Arial" w:hAnsi="Arial"/>
          <w:sz w:val="12"/>
          <w:szCs w:val="12"/>
          <w:color w:val="auto"/>
        </w:rPr>
        <w:t>We pursue opportunities to target GPCRs in human diseases on the basis of validated biology, safety, development feasibility and market potential. We are building a pipeline of wholly-owned oral small molecule drugs targeting chronic diseases with unmet medical need and commercial potential. Our initial focus is in areas of metabolic, cardiovascular and pulmonary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 w:name="page5"/>
    <w:bookmarkEnd w:id="4"/>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998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54145" cy="599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The following table summarizes key information on our current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80" w:right="1579"/>
        <w:spacing w:after="0" w:line="259" w:lineRule="auto"/>
        <w:rPr>
          <w:sz w:val="20"/>
          <w:szCs w:val="20"/>
          <w:color w:val="auto"/>
        </w:rPr>
      </w:pPr>
      <w:r>
        <w:rPr>
          <w:rFonts w:ascii="Arial" w:cs="Arial" w:eastAsia="Arial" w:hAnsi="Arial"/>
          <w:sz w:val="12"/>
          <w:szCs w:val="12"/>
          <w:color w:val="auto"/>
        </w:rPr>
        <w:t>Our lead product candidate, GSBR-1290, is an oral and biased small molecule agonist of GLP-1R, a validated GPCR drug target for T2DM and obesity. There are currently five marketed peptide molecules that target GLP-1R; collectively, these peptide therapies generated worldwide sales of  $13.2 billion in 2020. However, there are currently no approved oral small molecule therapies targeting GLP-1R. In non-human primate, or NHP, studies, GSBR-1290 demonstrated glucose-dependent insulin secretion and suppressed food intake, resulting in weight reduction. Given these findings and other compelling preclinical data, we completed a Phase 1 SAD study in healthy volunteers for GSBR-1290 in September 2022. GSBR-1290 was generally well tolerated and demonstrated dose-dependent PK and PD related activity. We submitted an IND to the FDA to support initiation of a Phase 1b proof-of-concept study in T2DM and obesity and received FDA allowance in September 2022. We initiated the Phase 1b MAD study in January 2023 and plan to submit a protocol amendment to the FDA to transition to a Phase 2a proof-of-concept study in T2DM and obesity with expected initiation in the second half of 2023. We expect to report topline data for the Phase 1b study and Phase 2a study in the second half of 2023. Beyond GSBR-1290, we are developing next generation GLP-1R candidates, including dual GLP-1R/GIPR agonists, each designed with customized properties to achieve additional benefit.</w:t>
      </w:r>
    </w:p>
    <w:p>
      <w:pPr>
        <w:spacing w:after="0" w:line="87" w:lineRule="exact"/>
        <w:rPr>
          <w:sz w:val="20"/>
          <w:szCs w:val="20"/>
          <w:color w:val="auto"/>
        </w:rPr>
      </w:pPr>
    </w:p>
    <w:p>
      <w:pPr>
        <w:ind w:left="1580" w:right="1619"/>
        <w:spacing w:after="0" w:line="263" w:lineRule="auto"/>
        <w:rPr>
          <w:sz w:val="20"/>
          <w:szCs w:val="20"/>
          <w:color w:val="auto"/>
        </w:rPr>
      </w:pPr>
      <w:r>
        <w:rPr>
          <w:rFonts w:ascii="Arial" w:cs="Arial" w:eastAsia="Arial" w:hAnsi="Arial"/>
          <w:sz w:val="12"/>
          <w:szCs w:val="12"/>
          <w:color w:val="auto"/>
        </w:rPr>
        <w:t>We are also developing oral small molecule therapeutics targeting other GPCRs for the treatment of pulmonary and cardiovascular diseases. Specifically, we are advancing ANPA-0073, our biased agonist, targeting APJR, a GPCR that has been implicated in IPF and PAH. In September 2022, we completed a Phase 1 SAD and MAD study evaluating ANPA-0073 in healthy human volunteers, in which it was generally well tolerated. We expect to conduct additional preclinical studies to be followed by a Phase 1 formulation bridging PK study in Australia. Additionally, we are advancing an antagonist that targets LPA1R, a GPCR implicated in responses to tissue injury and pro-fibrotic processes. We have demonstrated substantial anti-fibrotic activity of our LPA1R antagonists in mouse models of fibrotic lung disease and selected a development candidate in January 2023 and expect to initiate a first-in-human study in 2024.</w:t>
      </w:r>
    </w:p>
    <w:p>
      <w:pPr>
        <w:spacing w:after="0" w:line="80" w:lineRule="exact"/>
        <w:rPr>
          <w:sz w:val="20"/>
          <w:szCs w:val="20"/>
          <w:color w:val="auto"/>
        </w:rPr>
      </w:pPr>
    </w:p>
    <w:p>
      <w:pPr>
        <w:ind w:left="1580" w:right="1599"/>
        <w:spacing w:after="0" w:line="266" w:lineRule="auto"/>
        <w:rPr>
          <w:sz w:val="20"/>
          <w:szCs w:val="20"/>
          <w:color w:val="auto"/>
        </w:rPr>
      </w:pPr>
      <w:r>
        <w:rPr>
          <w:rFonts w:ascii="Arial" w:cs="Arial" w:eastAsia="Arial" w:hAnsi="Arial"/>
          <w:sz w:val="12"/>
          <w:szCs w:val="12"/>
          <w:color w:val="auto"/>
        </w:rPr>
        <w:t>At Basecamp Bio Inc., or Basecamp Bio, our wholly owned subsidiary dedicated to fueling our pipeline and pursuing drug discovery partnerships, we leverage the power of cryo-electron microscopy, or cryo-EM, machine learning and X-ray crystallography, as the basis for our molecular designs. We employ state-of-the-art small molecule hit identification, including DNA encoded library technology and affinity mass spectrometry selections for membrane proteins.</w:t>
      </w:r>
    </w:p>
    <w:p>
      <w:pPr>
        <w:spacing w:after="0" w:line="137"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Our Management Team and Investors</w:t>
      </w:r>
    </w:p>
    <w:p>
      <w:pPr>
        <w:spacing w:after="0" w:line="160" w:lineRule="exact"/>
        <w:rPr>
          <w:sz w:val="20"/>
          <w:szCs w:val="20"/>
          <w:color w:val="auto"/>
        </w:rPr>
      </w:pPr>
    </w:p>
    <w:p>
      <w:pPr>
        <w:ind w:left="1580" w:right="1619"/>
        <w:spacing w:after="0" w:line="264" w:lineRule="auto"/>
        <w:rPr>
          <w:sz w:val="20"/>
          <w:szCs w:val="20"/>
          <w:color w:val="auto"/>
        </w:rPr>
      </w:pPr>
      <w:r>
        <w:rPr>
          <w:rFonts w:ascii="Arial" w:cs="Arial" w:eastAsia="Arial" w:hAnsi="Arial"/>
          <w:sz w:val="12"/>
          <w:szCs w:val="12"/>
          <w:color w:val="auto"/>
        </w:rPr>
        <w:t>We were co-founded by our Chief Executive Officer, Raymond Stevens, Ph.D., a world-renowned pioneer in the field of structure-based drug discovery, and by Schrödinger, a pioneering company in computational physics-based drug design. While at Scripps Research (formerly the Scripps Research Institute),</w:t>
      </w:r>
    </w:p>
    <w:p>
      <w:pPr>
        <w:spacing w:after="0" w:line="1" w:lineRule="exact"/>
        <w:rPr>
          <w:sz w:val="20"/>
          <w:szCs w:val="20"/>
          <w:color w:val="auto"/>
        </w:rPr>
      </w:pPr>
    </w:p>
    <w:p>
      <w:pPr>
        <w:ind w:left="1580" w:right="1699"/>
        <w:spacing w:after="0" w:line="264" w:lineRule="auto"/>
        <w:rPr>
          <w:sz w:val="20"/>
          <w:szCs w:val="20"/>
          <w:color w:val="auto"/>
        </w:rPr>
      </w:pPr>
      <w:r>
        <w:rPr>
          <w:rFonts w:ascii="Arial" w:cs="Arial" w:eastAsia="Arial" w:hAnsi="Arial"/>
          <w:sz w:val="12"/>
          <w:szCs w:val="12"/>
          <w:color w:val="auto"/>
        </w:rPr>
        <w:t>Dr. Stevens’ lab solved the first structure of a human GPCR in 2007, as well as many of the unique human GPCRs that have been structurally determined in the human proteome. This unparalleled track record of GPCR structure-based design forms one of the core elements enabling us to continually advance our platform technology.</w:t>
      </w:r>
    </w:p>
    <w:p>
      <w:pPr>
        <w:spacing w:after="0" w:line="77" w:lineRule="exact"/>
        <w:rPr>
          <w:sz w:val="20"/>
          <w:szCs w:val="20"/>
          <w:color w:val="auto"/>
        </w:rPr>
      </w:pPr>
    </w:p>
    <w:p>
      <w:pPr>
        <w:ind w:left="1580" w:right="1899"/>
        <w:spacing w:after="0" w:line="280" w:lineRule="auto"/>
        <w:rPr>
          <w:sz w:val="20"/>
          <w:szCs w:val="20"/>
          <w:color w:val="auto"/>
        </w:rPr>
      </w:pPr>
      <w:r>
        <w:rPr>
          <w:rFonts w:ascii="Arial" w:cs="Arial" w:eastAsia="Arial" w:hAnsi="Arial"/>
          <w:sz w:val="12"/>
          <w:szCs w:val="12"/>
          <w:color w:val="auto"/>
        </w:rPr>
        <w:t>Dr. Stevens has founded successful structure-based drug discovery companies, many of which have developed approved drugs, including Syrrx, Inc. (acquired by Takeda Pharmaceutical Co. in 2005) that developed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 w:name="page6"/>
    <w:bookmarkEnd w:id="5"/>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47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54145" cy="574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right="1579"/>
        <w:spacing w:after="0" w:line="263" w:lineRule="auto"/>
        <w:rPr>
          <w:sz w:val="20"/>
          <w:szCs w:val="20"/>
          <w:color w:val="auto"/>
        </w:rPr>
      </w:pPr>
      <w:r>
        <w:rPr>
          <w:rFonts w:ascii="Arial" w:cs="Arial" w:eastAsia="Arial" w:hAnsi="Arial"/>
          <w:sz w:val="12"/>
          <w:szCs w:val="12"/>
          <w:color w:val="auto"/>
        </w:rPr>
        <w:t>alogliptin (Nesina), a dipeptidyl peptidase 4 inhibitor for T2DM, and Receptos (acquired by Celgene Corporation in 2015) that developed the small molecule sphingosine-1-phosphate receptor 1, or S1P1, agonist ozanimod (Zeposia), approved for ulcerative colitis and multiple sclerosis. Prior to founding Structure Therapeutics, Dr. Stevens founded The Bridge Institute at the University of Southern California and the iHuman Institute at ShanghaiTech University. He is also the founder of the GPCR Consortium, a public-private global collaboration advancing GPCR research.</w:t>
      </w:r>
    </w:p>
    <w:p>
      <w:pPr>
        <w:spacing w:after="0" w:line="79" w:lineRule="exact"/>
        <w:rPr>
          <w:sz w:val="20"/>
          <w:szCs w:val="20"/>
          <w:color w:val="auto"/>
        </w:rPr>
      </w:pPr>
    </w:p>
    <w:p>
      <w:pPr>
        <w:ind w:left="1580" w:right="1619"/>
        <w:spacing w:after="0" w:line="261" w:lineRule="auto"/>
        <w:rPr>
          <w:sz w:val="20"/>
          <w:szCs w:val="20"/>
          <w:color w:val="auto"/>
        </w:rPr>
      </w:pPr>
      <w:r>
        <w:rPr>
          <w:rFonts w:ascii="Arial" w:cs="Arial" w:eastAsia="Arial" w:hAnsi="Arial"/>
          <w:sz w:val="12"/>
          <w:szCs w:val="12"/>
          <w:color w:val="auto"/>
        </w:rPr>
        <w:t>In addition, we have assembled an exceptional global management team with extensive experience in drug discovery and development, business and commercial development, and capital markets activities. Mark Bach, M.D., Ph.D., our Chief Medical Officer, has over 30 years of clinical research and pharmaceutical development experience in both Asia and the United States at Janssen Pharmaceuticals and Merck &amp; Co, Inc. Xichen Lin, Ph.D., our Chief Scientific Officer and General Manager of Shanghai ShouTi Biotechnology Co., Ltd brings 20 years of experience in drug discovery and development at Novo Nordisk A/S and GlaxoSmithKline plc, or GSK. Yingli Ma, Ph.D., our Chief Technology Officer, brings close to 15 years of research, technology, and drug discovery experience at Amgen Inc., or Amgen, and GSK. Melita Sun Jung, our Chief Business Officer, has over 20 years of life sciences corporate strategy, business development and commercial experience at Sangamo Therapeutics, Inc., Adamas Pharmaceuticals, Inc., and Ipsen Ltd. Jun Yoon, our Chief Financial Officer and co-founder, has over 20 years of industry operating experience at Cellerant Therapeutics, Inc., VIA Pharmaceuticals, Inc. and Syrrx, Inc.</w:t>
      </w:r>
    </w:p>
    <w:p>
      <w:pPr>
        <w:spacing w:after="0" w:line="85" w:lineRule="exact"/>
        <w:rPr>
          <w:sz w:val="20"/>
          <w:szCs w:val="20"/>
          <w:color w:val="auto"/>
        </w:rPr>
      </w:pPr>
    </w:p>
    <w:p>
      <w:pPr>
        <w:ind w:left="1580" w:right="1799"/>
        <w:spacing w:after="0" w:line="280" w:lineRule="auto"/>
        <w:rPr>
          <w:sz w:val="20"/>
          <w:szCs w:val="20"/>
          <w:color w:val="auto"/>
        </w:rPr>
      </w:pPr>
      <w:r>
        <w:rPr>
          <w:rFonts w:ascii="Arial" w:cs="Arial" w:eastAsia="Arial" w:hAnsi="Arial"/>
          <w:sz w:val="12"/>
          <w:szCs w:val="12"/>
          <w:color w:val="auto"/>
        </w:rPr>
        <w:t>Since our inception, we have raised $198.0 million, supported by a syndicate of leading global investors, including BVF Partners, Deep Track Capital, Eight Roads Ventures, F-Prime Capital Partners, Qiming Venture Partners, and Sequoia Capital China.</w:t>
      </w:r>
    </w:p>
    <w:p>
      <w:pPr>
        <w:spacing w:after="0" w:line="119"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Our Strategy</w:t>
      </w:r>
    </w:p>
    <w:p>
      <w:pPr>
        <w:spacing w:after="0" w:line="160" w:lineRule="exact"/>
        <w:rPr>
          <w:sz w:val="20"/>
          <w:szCs w:val="20"/>
          <w:color w:val="auto"/>
        </w:rPr>
      </w:pPr>
    </w:p>
    <w:p>
      <w:pPr>
        <w:ind w:left="1580" w:right="1639"/>
        <w:spacing w:after="0" w:line="280" w:lineRule="auto"/>
        <w:rPr>
          <w:sz w:val="20"/>
          <w:szCs w:val="20"/>
          <w:color w:val="auto"/>
        </w:rPr>
      </w:pPr>
      <w:r>
        <w:rPr>
          <w:rFonts w:ascii="Arial" w:cs="Arial" w:eastAsia="Arial" w:hAnsi="Arial"/>
          <w:sz w:val="12"/>
          <w:szCs w:val="12"/>
          <w:color w:val="auto"/>
        </w:rPr>
        <w:t>Our mission is to discover and develop broadly accessible oral therapeutics to treat a wide range of chronic diseases with unmet medical need through advancements in structure-based drug discovery and computational chemistry. The key pillars of our business strategy to achieve this mission include:</w:t>
      </w:r>
    </w:p>
    <w:p>
      <w:pPr>
        <w:spacing w:after="0" w:line="20" w:lineRule="exact"/>
        <w:rPr>
          <w:sz w:val="20"/>
          <w:szCs w:val="20"/>
          <w:color w:val="auto"/>
        </w:rPr>
      </w:pPr>
    </w:p>
    <w:p>
      <w:pPr>
        <w:ind w:left="2000" w:right="2119" w:hanging="165"/>
        <w:spacing w:after="0" w:line="308" w:lineRule="auto"/>
        <w:tabs>
          <w:tab w:leader="none" w:pos="2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Invest in and leverage our next generation structure-based drug discovery platform to drive innovations in GPCR targeted therapies and beyond.</w:t>
      </w:r>
    </w:p>
    <w:p>
      <w:pPr>
        <w:spacing w:after="0" w:line="3" w:lineRule="exact"/>
        <w:rPr>
          <w:rFonts w:ascii="Arial" w:cs="Arial" w:eastAsia="Arial" w:hAnsi="Arial"/>
          <w:sz w:val="12"/>
          <w:szCs w:val="12"/>
          <w:color w:val="auto"/>
        </w:rPr>
      </w:pPr>
    </w:p>
    <w:p>
      <w:pPr>
        <w:ind w:left="2000" w:right="1639" w:hanging="165"/>
        <w:spacing w:after="0" w:line="302" w:lineRule="auto"/>
        <w:tabs>
          <w:tab w:leader="none" w:pos="2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Advance our GLP-1R franchise of metabolic focused assets, establishing a foundation for additional opportunities.</w:t>
      </w:r>
    </w:p>
    <w:p>
      <w:pPr>
        <w:ind w:left="2000" w:hanging="165"/>
        <w:spacing w:after="0"/>
        <w:tabs>
          <w:tab w:leader="none" w:pos="2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Pursue additional opportunities in chronic diseases.</w:t>
      </w:r>
    </w:p>
    <w:p>
      <w:pPr>
        <w:spacing w:after="0" w:line="55" w:lineRule="exact"/>
        <w:rPr>
          <w:rFonts w:ascii="Arial" w:cs="Arial" w:eastAsia="Arial" w:hAnsi="Arial"/>
          <w:sz w:val="12"/>
          <w:szCs w:val="12"/>
          <w:color w:val="auto"/>
        </w:rPr>
      </w:pPr>
    </w:p>
    <w:p>
      <w:pPr>
        <w:ind w:left="2000" w:hanging="165"/>
        <w:spacing w:after="0"/>
        <w:tabs>
          <w:tab w:leader="none" w:pos="2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Maximize the potential of our platform and portfolio through strategic partnerships.</w:t>
      </w:r>
    </w:p>
    <w:p>
      <w:pPr>
        <w:spacing w:after="0" w:line="164"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Risks Associated with Our Business</w:t>
      </w:r>
    </w:p>
    <w:p>
      <w:pPr>
        <w:spacing w:after="0" w:line="169" w:lineRule="exact"/>
        <w:rPr>
          <w:sz w:val="20"/>
          <w:szCs w:val="20"/>
          <w:color w:val="auto"/>
        </w:rPr>
      </w:pPr>
    </w:p>
    <w:p>
      <w:pPr>
        <w:ind w:left="2000" w:right="2079" w:hanging="165"/>
        <w:spacing w:after="0" w:line="302" w:lineRule="auto"/>
        <w:tabs>
          <w:tab w:leader="none" w:pos="2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have a limited operating history and have incurred significant operating losses since our inception and expect to incur significant losses for the foreseeable future.</w:t>
      </w:r>
    </w:p>
    <w:p>
      <w:pPr>
        <w:ind w:left="2000" w:right="1959" w:hanging="165"/>
        <w:spacing w:after="0" w:line="282" w:lineRule="auto"/>
        <w:tabs>
          <w:tab w:leader="none" w:pos="2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Even if this offering is successful, 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8" w:lineRule="exact"/>
        <w:rPr>
          <w:rFonts w:ascii="Arial" w:cs="Arial" w:eastAsia="Arial" w:hAnsi="Arial"/>
          <w:sz w:val="12"/>
          <w:szCs w:val="12"/>
          <w:color w:val="auto"/>
        </w:rPr>
      </w:pPr>
    </w:p>
    <w:p>
      <w:pPr>
        <w:ind w:left="2000" w:right="1639" w:hanging="165"/>
        <w:spacing w:after="0" w:line="302" w:lineRule="auto"/>
        <w:tabs>
          <w:tab w:leader="none" w:pos="2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approach to the discovery of product candidates based on our technology platform is unproven, and we do not know whether we will be able to develop any products of commercial value.</w:t>
      </w:r>
    </w:p>
    <w:p>
      <w:pPr>
        <w:ind w:left="2000" w:right="1779" w:hanging="165"/>
        <w:spacing w:after="0" w:line="278" w:lineRule="auto"/>
        <w:tabs>
          <w:tab w:leader="none" w:pos="2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22" w:lineRule="exact"/>
        <w:rPr>
          <w:rFonts w:ascii="Arial" w:cs="Arial" w:eastAsia="Arial" w:hAnsi="Arial"/>
          <w:sz w:val="12"/>
          <w:szCs w:val="12"/>
          <w:color w:val="auto"/>
        </w:rPr>
      </w:pPr>
    </w:p>
    <w:p>
      <w:pPr>
        <w:ind w:left="2000" w:right="1659" w:hanging="165"/>
        <w:spacing w:after="0" w:line="282" w:lineRule="auto"/>
        <w:tabs>
          <w:tab w:leader="none" w:pos="2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 w:name="page7"/>
    <w:bookmarkEnd w:id="6"/>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9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54145" cy="579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0" w:right="1799" w:hanging="165"/>
        <w:spacing w:after="0" w:line="30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an organization, we have never conducted later-stage clinical trials or submitted an NDA, and may be unable to do so for any of our product candidates.</w:t>
      </w:r>
    </w:p>
    <w:p>
      <w:pPr>
        <w:spacing w:after="0" w:line="3" w:lineRule="exact"/>
        <w:rPr>
          <w:rFonts w:ascii="Arial" w:cs="Arial" w:eastAsia="Arial" w:hAnsi="Arial"/>
          <w:sz w:val="12"/>
          <w:szCs w:val="12"/>
          <w:color w:val="auto"/>
        </w:rPr>
      </w:pPr>
    </w:p>
    <w:p>
      <w:pPr>
        <w:ind w:left="2000" w:right="1679" w:hanging="165"/>
        <w:spacing w:after="0" w:line="282"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have conducted, or plan to conduct, our initial clinical studies for GSBR-1290, ANPA-0073, and our other product candidates outside of the United States. However, the FDA and other foreign equivalents may not accept data from such trials, in which case our development plans will be delayed, which could materially harm our business.</w:t>
      </w:r>
    </w:p>
    <w:p>
      <w:pPr>
        <w:spacing w:after="0" w:line="18" w:lineRule="exact"/>
        <w:rPr>
          <w:rFonts w:ascii="Arial" w:cs="Arial" w:eastAsia="Arial" w:hAnsi="Arial"/>
          <w:sz w:val="12"/>
          <w:szCs w:val="12"/>
          <w:color w:val="auto"/>
        </w:rPr>
      </w:pPr>
    </w:p>
    <w:p>
      <w:pPr>
        <w:ind w:left="2000" w:right="1579" w:hanging="165"/>
        <w:spacing w:after="0" w:line="27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2" w:lineRule="exact"/>
        <w:rPr>
          <w:rFonts w:ascii="Arial" w:cs="Arial" w:eastAsia="Arial" w:hAnsi="Arial"/>
          <w:sz w:val="12"/>
          <w:szCs w:val="12"/>
          <w:color w:val="auto"/>
        </w:rPr>
      </w:pPr>
    </w:p>
    <w:p>
      <w:pPr>
        <w:ind w:left="2000" w:right="1619" w:hanging="165"/>
        <w:spacing w:after="0" w:line="276"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24" w:lineRule="exact"/>
        <w:rPr>
          <w:rFonts w:ascii="Arial" w:cs="Arial" w:eastAsia="Arial" w:hAnsi="Arial"/>
          <w:sz w:val="12"/>
          <w:szCs w:val="12"/>
          <w:color w:val="auto"/>
        </w:rPr>
      </w:pPr>
    </w:p>
    <w:p>
      <w:pPr>
        <w:ind w:left="2000" w:right="1679" w:hanging="165"/>
        <w:spacing w:after="0" w:line="28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existing discovery collaboration with Schrödinger is important to our business. If we are unable to maintain this collaboration, or if this collaboration is not successful, our business could be adversely affected.</w:t>
      </w:r>
    </w:p>
    <w:p>
      <w:pPr>
        <w:spacing w:after="0" w:line="15" w:lineRule="exact"/>
        <w:rPr>
          <w:rFonts w:ascii="Arial" w:cs="Arial" w:eastAsia="Arial" w:hAnsi="Arial"/>
          <w:sz w:val="12"/>
          <w:szCs w:val="12"/>
          <w:color w:val="auto"/>
        </w:rPr>
      </w:pPr>
    </w:p>
    <w:p>
      <w:pPr>
        <w:ind w:left="2000" w:right="2359" w:hanging="165"/>
        <w:spacing w:after="0" w:line="30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face substantial competition, which may result in others discovering, developing or commercializing products before or more successfully than us.</w:t>
      </w:r>
    </w:p>
    <w:p>
      <w:pPr>
        <w:spacing w:after="0" w:line="13" w:lineRule="exact"/>
        <w:rPr>
          <w:rFonts w:ascii="Arial" w:cs="Arial" w:eastAsia="Arial" w:hAnsi="Arial"/>
          <w:sz w:val="12"/>
          <w:szCs w:val="12"/>
          <w:color w:val="auto"/>
        </w:rPr>
      </w:pPr>
    </w:p>
    <w:p>
      <w:pPr>
        <w:ind w:left="2000" w:right="1679" w:hanging="165"/>
        <w:spacing w:after="0" w:line="28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business and the business or operations of third parties with whom we conduct business could be adversely affected by the effects of health epidemics, including the COVID-19 pandemic, in regions where we or third parties on which we rely have business operations.</w:t>
      </w:r>
    </w:p>
    <w:p>
      <w:pPr>
        <w:spacing w:after="0" w:line="15" w:lineRule="exact"/>
        <w:rPr>
          <w:rFonts w:ascii="Arial" w:cs="Arial" w:eastAsia="Arial" w:hAnsi="Arial"/>
          <w:sz w:val="12"/>
          <w:szCs w:val="12"/>
          <w:color w:val="auto"/>
        </w:rPr>
      </w:pPr>
    </w:p>
    <w:p>
      <w:pPr>
        <w:ind w:left="2000" w:right="1699" w:hanging="165"/>
        <w:spacing w:after="0" w:line="28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are highly dependent on the services of our senior management team and if we are not able to retain these members of our management team and recruit and retain additional management, clinical and scientific personnel, our business will be harmed.</w:t>
      </w:r>
    </w:p>
    <w:p>
      <w:pPr>
        <w:spacing w:after="0" w:line="15" w:lineRule="exact"/>
        <w:rPr>
          <w:rFonts w:ascii="Arial" w:cs="Arial" w:eastAsia="Arial" w:hAnsi="Arial"/>
          <w:sz w:val="12"/>
          <w:szCs w:val="12"/>
          <w:color w:val="auto"/>
        </w:rPr>
      </w:pPr>
    </w:p>
    <w:p>
      <w:pPr>
        <w:ind w:left="2000" w:right="1599" w:hanging="165"/>
        <w:spacing w:after="0" w:line="282"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our business and results of operations could suffer.</w:t>
      </w:r>
    </w:p>
    <w:p>
      <w:pPr>
        <w:spacing w:after="0" w:line="18" w:lineRule="exact"/>
        <w:rPr>
          <w:rFonts w:ascii="Arial" w:cs="Arial" w:eastAsia="Arial" w:hAnsi="Arial"/>
          <w:sz w:val="12"/>
          <w:szCs w:val="12"/>
          <w:color w:val="auto"/>
        </w:rPr>
      </w:pPr>
    </w:p>
    <w:p>
      <w:pPr>
        <w:ind w:left="2000" w:right="1619" w:hanging="165"/>
        <w:spacing w:after="0" w:line="308"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a company with operations and business relationships outside of the United States, our business is subject to economic, political, regulatory and other risks associated with international operations.</w:t>
      </w:r>
    </w:p>
    <w:p>
      <w:pPr>
        <w:spacing w:after="0" w:line="3" w:lineRule="exact"/>
        <w:rPr>
          <w:rFonts w:ascii="Arial" w:cs="Arial" w:eastAsia="Arial" w:hAnsi="Arial"/>
          <w:sz w:val="12"/>
          <w:szCs w:val="12"/>
          <w:color w:val="auto"/>
        </w:rPr>
      </w:pPr>
    </w:p>
    <w:p>
      <w:pPr>
        <w:ind w:left="2000" w:right="1699" w:hanging="165"/>
        <w:spacing w:after="0" w:line="282"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8" w:lineRule="exact"/>
        <w:rPr>
          <w:rFonts w:ascii="Arial" w:cs="Arial" w:eastAsia="Arial" w:hAnsi="Arial"/>
          <w:sz w:val="12"/>
          <w:szCs w:val="12"/>
          <w:color w:val="auto"/>
        </w:rPr>
      </w:pPr>
    </w:p>
    <w:p>
      <w:pPr>
        <w:ind w:left="2000" w:right="1579" w:hanging="165"/>
        <w:spacing w:after="0" w:line="273"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Although the audit report included in this prospectus is prepared by auditors who are currently subject to inspection by the Public Company Accounting Oversight Board, or the PCAOB, there is no guarantee that future audit reports will be prepared by auditors subject to inspection by the PCAOB and, as such, future investors may be deprived of the benefits of such inspection. Furthermore, trading in our securities may be prohibited under the Holding Foreign Companies Accountable Act or the Accelerating Holding Foreign Companies Accountable Act if the SEC subsequently identifies that our audit work is performed by an auditor that the PCAOB is unable to inspect or investigate completely, and as a result, U.S. national securities exchanges, such as the Nasdaq, may delist our securities. As of the date of this prospectus, PricewaterhouseCoopers LLP is not subject to the determinations announced by the PCAOB on December 16, 2021.</w:t>
      </w:r>
    </w:p>
    <w:p>
      <w:pPr>
        <w:spacing w:after="0" w:line="25" w:lineRule="exact"/>
        <w:rPr>
          <w:rFonts w:ascii="Arial" w:cs="Arial" w:eastAsia="Arial" w:hAnsi="Arial"/>
          <w:sz w:val="12"/>
          <w:szCs w:val="12"/>
          <w:color w:val="auto"/>
        </w:rPr>
      </w:pPr>
    </w:p>
    <w:p>
      <w:pPr>
        <w:ind w:left="2000" w:right="1659" w:hanging="165"/>
        <w:spacing w:after="0" w:line="282" w:lineRule="auto"/>
        <w:tabs>
          <w:tab w:leader="none" w:pos="2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have identified material weaknesses in our internal control over financial reporting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 w:name="page8"/>
    <w:bookmarkEnd w:id="7"/>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863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54145" cy="586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0" w:right="1619" w:hanging="165"/>
        <w:spacing w:after="0" w:line="288" w:lineRule="auto"/>
        <w:tabs>
          <w:tab w:leader="none" w:pos="2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significant portion of our total outstanding shares are restricted from immediate resale, but may be sold into the market in the near future. This could cause the market price of our ADSs to drop significantly, even if our business is doing well.</w:t>
      </w:r>
    </w:p>
    <w:p>
      <w:pPr>
        <w:spacing w:after="0" w:line="15" w:lineRule="exact"/>
        <w:rPr>
          <w:rFonts w:ascii="Arial" w:cs="Arial" w:eastAsia="Arial" w:hAnsi="Arial"/>
          <w:sz w:val="12"/>
          <w:szCs w:val="12"/>
          <w:color w:val="auto"/>
        </w:rPr>
      </w:pPr>
    </w:p>
    <w:p>
      <w:pPr>
        <w:ind w:left="2000" w:right="1599" w:hanging="165"/>
        <w:spacing w:after="0" w:line="308" w:lineRule="auto"/>
        <w:tabs>
          <w:tab w:leader="none" w:pos="2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Holders of our ADSs have fewer rights than our shareholders and must act through the depositary to exercise their rights.</w:t>
      </w:r>
    </w:p>
    <w:p>
      <w:pPr>
        <w:spacing w:after="0" w:line="3" w:lineRule="exact"/>
        <w:rPr>
          <w:rFonts w:ascii="Arial" w:cs="Arial" w:eastAsia="Arial" w:hAnsi="Arial"/>
          <w:sz w:val="12"/>
          <w:szCs w:val="12"/>
          <w:color w:val="auto"/>
        </w:rPr>
      </w:pPr>
    </w:p>
    <w:p>
      <w:pPr>
        <w:ind w:left="2000" w:right="1559" w:hanging="165"/>
        <w:spacing w:after="0" w:line="282" w:lineRule="auto"/>
        <w:tabs>
          <w:tab w:leader="none" w:pos="2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Chinese government may intervene in or influence our operations at any time, which could result in a change in our operations and impact the value of our ADSs. For additional information regarding the risks associated with having operations in China, please see the section titled “Risk Factors— Risks Related to Doing Business in China and Our International Operations”.</w:t>
      </w:r>
    </w:p>
    <w:p>
      <w:pPr>
        <w:spacing w:after="0" w:line="18" w:lineRule="exact"/>
        <w:rPr>
          <w:rFonts w:ascii="Arial" w:cs="Arial" w:eastAsia="Arial" w:hAnsi="Arial"/>
          <w:sz w:val="12"/>
          <w:szCs w:val="12"/>
          <w:color w:val="auto"/>
        </w:rPr>
      </w:pPr>
    </w:p>
    <w:p>
      <w:pPr>
        <w:ind w:left="2000" w:right="1619" w:hanging="165"/>
        <w:spacing w:after="0" w:line="278" w:lineRule="auto"/>
        <w:tabs>
          <w:tab w:leader="none" w:pos="2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Both recent and future economic, political and social conditions, as well as governmental policies and regulatory actions implemented in China, could affect our ability to operate our business. Due to our operations in China, any future Chinese, U.S. or other rules and regulations that place restrictions on capital raising or other activities by companies with operations in China could affect our business, results of operations and the market price of our ADSs.</w:t>
      </w:r>
    </w:p>
    <w:p>
      <w:pPr>
        <w:spacing w:after="0" w:line="32" w:lineRule="exact"/>
        <w:rPr>
          <w:rFonts w:ascii="Arial" w:cs="Arial" w:eastAsia="Arial" w:hAnsi="Arial"/>
          <w:sz w:val="12"/>
          <w:szCs w:val="12"/>
          <w:color w:val="auto"/>
        </w:rPr>
      </w:pPr>
    </w:p>
    <w:p>
      <w:pPr>
        <w:ind w:left="2000" w:right="1579" w:hanging="165"/>
        <w:spacing w:after="0" w:line="271" w:lineRule="auto"/>
        <w:tabs>
          <w:tab w:leader="none" w:pos="2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the date of this prospectus, we are not required to obtain approval or prior permission of this offering from the China Securities Regulatory Commission, or the CSRC, or any other Chinese regulatory authority under the Chinese laws and regulations currently in effect. As of the date of this prospectus, neither we nor any of our subsidiaries, including but not limited to our operating company subsidiaries, have been informed by the CSRC, Cybersecurity Administration of China, or the CAC, or any other Chinese regulatory authority of any requirements, approvals or permissions that we should obtain prior to this offering. However, as there are uncertainties with respect to the Chinese legal system and changes in laws, regulations and policies, including how those laws and regulations will be interpreted or implemented, there can be no assurance that we will not be subject to such requirements, approvals or permissions in the future. If our Chinese subsidiaries do not receive or maintain permissions or approvals or inadvertently conclude that permissions or approvals needed for their business are not required, or if there are changes in applicable laws (including regulations) or interpretations of laws, and our Chinese subsidiaries are required but unable to obtain any permissions or approvals in the future, then such changes or need for approvals (if not obtained) could adversely affect the operations of our Chinese subsidiaries, including limiting or prohibiting the ability of our Chinese subsidiaries to operate, and potentially cause the value of our ADSs or ordinary shares to decline.</w:t>
      </w:r>
    </w:p>
    <w:p>
      <w:pPr>
        <w:spacing w:after="0" w:line="128"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Regulatory Requirements in China</w:t>
      </w:r>
    </w:p>
    <w:p>
      <w:pPr>
        <w:spacing w:after="0" w:line="160" w:lineRule="exact"/>
        <w:rPr>
          <w:sz w:val="20"/>
          <w:szCs w:val="20"/>
          <w:color w:val="auto"/>
        </w:rPr>
      </w:pPr>
    </w:p>
    <w:p>
      <w:pPr>
        <w:ind w:left="1580"/>
        <w:spacing w:after="0"/>
        <w:rPr>
          <w:sz w:val="20"/>
          <w:szCs w:val="20"/>
          <w:color w:val="auto"/>
        </w:rPr>
      </w:pPr>
      <w:r>
        <w:rPr>
          <w:rFonts w:ascii="Arial" w:cs="Arial" w:eastAsia="Arial" w:hAnsi="Arial"/>
          <w:sz w:val="12"/>
          <w:szCs w:val="12"/>
          <w:b w:val="1"/>
          <w:bCs w:val="1"/>
          <w:color w:val="auto"/>
        </w:rPr>
        <w:t>Revised Cybersecurity Review Measures</w:t>
      </w:r>
    </w:p>
    <w:p>
      <w:pPr>
        <w:spacing w:after="0" w:line="75" w:lineRule="exact"/>
        <w:rPr>
          <w:sz w:val="20"/>
          <w:szCs w:val="20"/>
          <w:color w:val="auto"/>
        </w:rPr>
      </w:pPr>
    </w:p>
    <w:p>
      <w:pPr>
        <w:ind w:left="1580" w:right="1579"/>
        <w:spacing w:after="0" w:line="271" w:lineRule="auto"/>
        <w:rPr>
          <w:sz w:val="20"/>
          <w:szCs w:val="20"/>
          <w:color w:val="auto"/>
        </w:rPr>
      </w:pPr>
      <w:r>
        <w:rPr>
          <w:rFonts w:ascii="Arial" w:cs="Arial" w:eastAsia="Arial" w:hAnsi="Arial"/>
          <w:sz w:val="12"/>
          <w:szCs w:val="12"/>
          <w:color w:val="auto"/>
        </w:rPr>
        <w:t>On July 10, 2021, the CAC published a draft revision to the existing Cybersecurity Review Measures for public comment, or the Revised Draft CAC Measures. On January 4, 2022, together with 12 other Chinese regulatory authorities, the CAC released the final version of the Revised Draft CAC Measures, or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or the Draft Management Regulations, under which data processors refer to individuals and organizations who determine the data processing activities in terms of the purpose and methods at their discretion. The Draft Management Regulations reiterate that data processors shall be subject to cybersecurity review if  (i) they process personal information of more than one million persons and they are aiming to list on foreign stock markets, or (ii) their data processing activities affect or may affect Chinese national security. The Draft Management Regulations also request data processors seeking to list on foreign stock markets to annually assess their data security by themselves or through data security service organizations, and submit the assessment reports to relevant competent authorities. As the Draft Management Regulations are released only for public comment, the final version and the effective date thereof is subject to change.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 w:name="page9"/>
    <w:bookmarkEnd w:id="8"/>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826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54145" cy="582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right="1559"/>
        <w:spacing w:after="0" w:line="259" w:lineRule="auto"/>
        <w:rPr>
          <w:sz w:val="20"/>
          <w:szCs w:val="20"/>
          <w:color w:val="auto"/>
        </w:rPr>
      </w:pPr>
      <w:r>
        <w:rPr>
          <w:rFonts w:ascii="Arial" w:cs="Arial" w:eastAsia="Arial" w:hAnsi="Arial"/>
          <w:sz w:val="12"/>
          <w:szCs w:val="12"/>
          <w:color w:val="auto"/>
        </w:rPr>
        <w:t>As of the date of this prospectus, we have not received any notice from any Chinese regulatory authority identifying us as a “critical information infrastructure operator,” “online platform operator” or “data processor,” or requiring us to go through the cybersecurity review procedures pursuant to the Revised CAC Measures and the Draft Management Regulations. Based on our understanding of the Revised CAC Measures, and the Draft Management Regulations if enacted as currently proposed, we do not expect to become subject to cybersecurity review by the CAC for issuing securities to foreign investors because: (i) the clinical and preclinical data we handle in our business operations, either by its nature or in scale, do not normally trigger significant concerns over Chinese national security; and (ii) we have not processed, and do not anticipate to process in the foreseeable future, personal information for more than one million users or persons. However, there remains uncertainty as to how the Revised CAC Measures, and the Draft Management Regulations if enacted as currently proposed, will be interpreted or implemented. For example, neither the Revised CAC Measures nor the Draft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Draft Management Regulations or other laws and regulations related to privacy, data protection and information security. For additional information, see the sections titled “Risk Factors–– Risks Related to Doing Business in China and Our International Operations––Compliance with China’s new Data Security Law, Cybersecurity Review Measures, Personal Information Protection Law, regulations and guidelines relating to the multi-level protection scheme on cyber security and any other future laws and regulations may entail significant expenses and could affect our business,” and “Risk Factors––Risks Related to Doing Business in China and Our International Operations––The approval of, filing or other procedures with the CSRC or other Chinese regulatory agencies may be required in connection with this offering under Chinese law, and, if required, we cannot predict whether we will be able, or how long it will take us, to obtain such approval or complete such filing or other procedures.”</w:t>
      </w:r>
    </w:p>
    <w:p>
      <w:pPr>
        <w:spacing w:after="0" w:line="280"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CRSC Regulation on Securities Offerings and Listings Outside of China</w:t>
      </w:r>
    </w:p>
    <w:p>
      <w:pPr>
        <w:spacing w:after="0" w:line="34" w:lineRule="exact"/>
        <w:rPr>
          <w:sz w:val="20"/>
          <w:szCs w:val="20"/>
          <w:color w:val="auto"/>
        </w:rPr>
      </w:pPr>
    </w:p>
    <w:p>
      <w:pPr>
        <w:ind w:left="1580" w:right="1679"/>
        <w:spacing w:after="0" w:line="266" w:lineRule="auto"/>
        <w:rPr>
          <w:sz w:val="20"/>
          <w:szCs w:val="20"/>
          <w:color w:val="auto"/>
        </w:rPr>
      </w:pPr>
      <w:r>
        <w:rPr>
          <w:rFonts w:ascii="Arial" w:cs="Arial" w:eastAsia="Arial" w:hAnsi="Arial"/>
          <w:sz w:val="12"/>
          <w:szCs w:val="12"/>
          <w:color w:val="auto"/>
        </w:rPr>
        <w:t>On July 6, 2021, the General Office of the Communist Party of China Central Committee and the General Office of the State Council jointly issued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spacing w:after="0" w:line="78" w:lineRule="exact"/>
        <w:rPr>
          <w:sz w:val="20"/>
          <w:szCs w:val="20"/>
          <w:color w:val="auto"/>
        </w:rPr>
      </w:pPr>
    </w:p>
    <w:p>
      <w:pPr>
        <w:ind w:left="1580" w:right="1619"/>
        <w:spacing w:after="0" w:line="262" w:lineRule="auto"/>
        <w:rPr>
          <w:sz w:val="20"/>
          <w:szCs w:val="20"/>
          <w:color w:val="auto"/>
        </w:rPr>
      </w:pPr>
      <w:r>
        <w:rPr>
          <w:rFonts w:ascii="Arial" w:cs="Arial" w:eastAsia="Arial" w:hAnsi="Arial"/>
          <w:sz w:val="12"/>
          <w:szCs w:val="12"/>
          <w:color w:val="auto"/>
        </w:rPr>
        <w:t>On December 24, 2021, the CSRC promulgated the Provisions of the State Council on the Administration of Overseas Securities Offering and Listing by Domestic Companies (Draft for Comments) and the Administrative Measures for the Filing of Overseas Securities Offering and Listing by Domestic Companies (Draft for Comments), or collectively, the Drafts for Comments, which, among others, require certain companies to fulfill a filing procedure in respect of its offering and listing in the stock markets outside of the People’s Republic of Chinia, or PRC, if such companies meet the criteria set forth in the Drafts for Comments. As the Drafts for Comments were released only for public comment, the final version and the effective date thereof is subject to change. For more details, see the section titled “Business—Regulation— Other Significant Chinese Regulation Affecting Our Business Activities in China—Regulations on Securities Offering and Listing Outside of China.”</w:t>
      </w:r>
    </w:p>
    <w:p>
      <w:pPr>
        <w:spacing w:after="0" w:line="79" w:lineRule="exact"/>
        <w:rPr>
          <w:sz w:val="20"/>
          <w:szCs w:val="20"/>
          <w:color w:val="auto"/>
        </w:rPr>
      </w:pPr>
    </w:p>
    <w:p>
      <w:pPr>
        <w:ind w:left="1580" w:right="1579"/>
        <w:spacing w:after="0" w:line="262" w:lineRule="auto"/>
        <w:rPr>
          <w:sz w:val="20"/>
          <w:szCs w:val="20"/>
          <w:color w:val="auto"/>
        </w:rPr>
      </w:pPr>
      <w:r>
        <w:rPr>
          <w:rFonts w:ascii="Arial" w:cs="Arial" w:eastAsia="Arial" w:hAnsi="Arial"/>
          <w:sz w:val="12"/>
          <w:szCs w:val="12"/>
          <w:color w:val="auto"/>
        </w:rPr>
        <w:t>As of the date of this prospectus, (i) we have not received any inquiry, notice, warning, sanction or any regulatory objections to this offering from the CSRC, the CAC or any other Chinese regulatory authorities that have jurisdiction over our operations; and (ii) based on our understanding of the currently effective PRC laws and regulations, we are not required to obtain approval or permission from the CSRC, the CAC or other Chinese regulatory authorities to conduct this offering. However, we cannot assure you that the relevant Chinese regulatory authorities, including the CSRC and the CAC, would reach the same conclusion as us. If such an approval, filing or other procedure is required, it is uncertain whether we will be able to obtain and how long it will take for us to obtain the approval or complete the filing or other procedures, despite our best efforts. If our Chinese subsidiaries do not receive or maintain permissions or approvals or inadvertently conclude that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 w:name="page10"/>
    <w:bookmarkEnd w:id="9"/>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851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54145" cy="585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80" w:right="1619"/>
        <w:spacing w:after="0" w:line="273" w:lineRule="auto"/>
        <w:rPr>
          <w:sz w:val="20"/>
          <w:szCs w:val="20"/>
          <w:color w:val="auto"/>
        </w:rPr>
      </w:pPr>
      <w:r>
        <w:rPr>
          <w:rFonts w:ascii="Arial" w:cs="Arial" w:eastAsia="Arial" w:hAnsi="Arial"/>
          <w:sz w:val="12"/>
          <w:szCs w:val="12"/>
          <w:color w:val="auto"/>
        </w:rPr>
        <w:t>permissions or approvals needed for their business are not required, or if there are changes in applicable laws (including regulations) or interpretations of laws, and our Chinese subsidiaries are required but unable to obtain any permissions or approvals in the future, then such changes or need for approvals (if not obtained) could adversely affect the operations of our Chinese subsidiaries, including limiting or prohibiting the ability of our Chinese subsidiaries to operate, and potentially cause the value of our ADSs or ordinary shares to decline.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this offering into China or take other actions that could have an adverse effect on our business, financial condition, results of operations and prospects, as well as the trading price of the ADSs.</w:t>
      </w:r>
    </w:p>
    <w:p>
      <w:pPr>
        <w:spacing w:after="0" w:line="72" w:lineRule="exact"/>
        <w:rPr>
          <w:sz w:val="20"/>
          <w:szCs w:val="20"/>
          <w:color w:val="auto"/>
        </w:rPr>
      </w:pPr>
    </w:p>
    <w:p>
      <w:pPr>
        <w:ind w:left="1580" w:right="1579"/>
        <w:spacing w:after="0" w:line="275" w:lineRule="auto"/>
        <w:rPr>
          <w:sz w:val="20"/>
          <w:szCs w:val="20"/>
          <w:color w:val="auto"/>
        </w:rPr>
      </w:pPr>
      <w:r>
        <w:rPr>
          <w:rFonts w:ascii="Arial" w:cs="Arial" w:eastAsia="Arial" w:hAnsi="Arial"/>
          <w:sz w:val="12"/>
          <w:szCs w:val="12"/>
          <w:color w:val="auto"/>
        </w:rPr>
        <w:t>If the CSRC or other Chinese regulatory authorities later promulgate new rules or explanations requiring that we obtain their approvals or complete filing or other procedures for this offering, we may be unable to obtain a waiver of such requirements, if and when procedures are established to obtain such a waiver. Even after the completion of this offering, our listing status and the trading of our ADSs and ordinary shares may be affected if the CSRC or other Chinese regulatory authorities determine that we were or are non-compliant with any PRC laws or regulations. Any uncertainties and/or negative publicity regarding such approval requirement could have an adverse effect on the trading price of the ADSs.</w:t>
      </w:r>
    </w:p>
    <w:p>
      <w:pPr>
        <w:spacing w:after="0" w:line="82" w:lineRule="exact"/>
        <w:rPr>
          <w:sz w:val="20"/>
          <w:szCs w:val="20"/>
          <w:color w:val="auto"/>
        </w:rPr>
      </w:pPr>
    </w:p>
    <w:p>
      <w:pPr>
        <w:ind w:left="1580" w:right="1739"/>
        <w:spacing w:after="0" w:line="278" w:lineRule="auto"/>
        <w:rPr>
          <w:sz w:val="20"/>
          <w:szCs w:val="20"/>
          <w:color w:val="auto"/>
        </w:rPr>
      </w:pPr>
      <w:r>
        <w:rPr>
          <w:rFonts w:ascii="Arial" w:cs="Arial" w:eastAsia="Arial" w:hAnsi="Arial"/>
          <w:sz w:val="12"/>
          <w:szCs w:val="12"/>
          <w:color w:val="auto"/>
        </w:rPr>
        <w:t>For additional information, see the section titled “Risk Factors—Risks Related to Doing Business in China and our International Operations—The approval of, filing or other procedures with the CSRC or other Chinese regulatory authorities may be required in connection with this offering under Chinese law, and, if required, we cannot predict whether we will be able, or how long it will take us, to obtain such approval or complete such filing or other procedures.”</w:t>
      </w:r>
    </w:p>
    <w:p>
      <w:pPr>
        <w:spacing w:after="0" w:line="119" w:lineRule="exact"/>
        <w:rPr>
          <w:sz w:val="20"/>
          <w:szCs w:val="20"/>
          <w:color w:val="auto"/>
        </w:rPr>
      </w:pPr>
    </w:p>
    <w:p>
      <w:pPr>
        <w:ind w:left="1580"/>
        <w:spacing w:after="0"/>
        <w:rPr>
          <w:sz w:val="20"/>
          <w:szCs w:val="20"/>
          <w:color w:val="auto"/>
        </w:rPr>
      </w:pPr>
      <w:r>
        <w:rPr>
          <w:rFonts w:ascii="Arial" w:cs="Arial" w:eastAsia="Arial" w:hAnsi="Arial"/>
          <w:sz w:val="12"/>
          <w:szCs w:val="12"/>
          <w:b w:val="1"/>
          <w:bCs w:val="1"/>
          <w:color w:val="auto"/>
        </w:rPr>
        <w:t>Other</w:t>
      </w:r>
    </w:p>
    <w:p>
      <w:pPr>
        <w:spacing w:after="0" w:line="75" w:lineRule="exact"/>
        <w:rPr>
          <w:sz w:val="20"/>
          <w:szCs w:val="20"/>
          <w:color w:val="auto"/>
        </w:rPr>
      </w:pPr>
    </w:p>
    <w:p>
      <w:pPr>
        <w:ind w:left="1580" w:right="1599"/>
        <w:spacing w:after="0" w:line="282" w:lineRule="auto"/>
        <w:rPr>
          <w:sz w:val="20"/>
          <w:szCs w:val="20"/>
          <w:color w:val="auto"/>
        </w:rPr>
      </w:pPr>
      <w:r>
        <w:rPr>
          <w:rFonts w:ascii="Arial" w:cs="Arial" w:eastAsia="Arial" w:hAnsi="Arial"/>
          <w:sz w:val="12"/>
          <w:szCs w:val="12"/>
          <w:color w:val="auto"/>
        </w:rPr>
        <w:t>To operate our general business activities currently conducted in China, each of our Chinese subsidiaries is required to obtain a business license from the State Administration for Market Regulation, or SAMR. Each of our Chinese subsidiaries has obtained a valid business license from the SAMR, and no application for any such license has been denied.</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Dividends, Distributions and Other Transfers</w:t>
      </w:r>
    </w:p>
    <w:p>
      <w:pPr>
        <w:spacing w:after="0" w:line="44" w:lineRule="exact"/>
        <w:rPr>
          <w:sz w:val="20"/>
          <w:szCs w:val="20"/>
          <w:color w:val="auto"/>
        </w:rPr>
      </w:pPr>
    </w:p>
    <w:p>
      <w:pPr>
        <w:ind w:left="1580" w:right="1599"/>
        <w:spacing w:after="0" w:line="275" w:lineRule="auto"/>
        <w:rPr>
          <w:sz w:val="20"/>
          <w:szCs w:val="20"/>
          <w:color w:val="auto"/>
        </w:rPr>
      </w:pPr>
      <w:r>
        <w:rPr>
          <w:rFonts w:ascii="Arial" w:cs="Arial" w:eastAsia="Arial" w:hAnsi="Arial"/>
          <w:sz w:val="12"/>
          <w:szCs w:val="12"/>
          <w:color w:val="auto"/>
        </w:rPr>
        <w:t>To date, there have not been and we do not plan to have any dividends or other distributions from our Chinese subsidiaries to our subsidiaries located outside of China. In addition, as of the date of this prospectus, none of our subsidiaries have ever issued any dividends or distributions to us or their respective shareholders outside of China. As of the date of this prospectus, neither we nor any of our subsidiaries have ever paid or plan to pay any dividends or made distributions to U.S. investors. In the future, cash proceeds raised from overseas financing activities, including this offering, may be transferred by us to our Chinese subsidiaries via capital contribution or shareholder loans, as the case may be.</w:t>
      </w:r>
    </w:p>
    <w:p>
      <w:pPr>
        <w:spacing w:after="0" w:line="73" w:lineRule="exact"/>
        <w:rPr>
          <w:sz w:val="20"/>
          <w:szCs w:val="20"/>
          <w:color w:val="auto"/>
        </w:rPr>
      </w:pPr>
    </w:p>
    <w:p>
      <w:pPr>
        <w:ind w:left="1580" w:right="1599"/>
        <w:spacing w:after="0" w:line="271" w:lineRule="auto"/>
        <w:rPr>
          <w:sz w:val="20"/>
          <w:szCs w:val="20"/>
          <w:color w:val="auto"/>
        </w:rPr>
      </w:pPr>
      <w:r>
        <w:rPr>
          <w:rFonts w:ascii="Arial" w:cs="Arial" w:eastAsia="Arial" w:hAnsi="Arial"/>
          <w:sz w:val="12"/>
          <w:szCs w:val="12"/>
          <w:color w:val="auto"/>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royalties acquired, compensation or indemnity legally obtained, and income from liquidation, made or derived within the territory of China in renminbi, or RMB, or any foreign currency, and any entity or individual shall not illegally restrict such transfer in terms of the currency, amount and frequency. According to the Company Law of the People’s Republic of China and other Chinese laws and regulations, our Chinese subsidiaries may pay dividends only out of their respective accumulated profits as determined in accordance with Chinese accounting standards and regulations. In addition, each of our Chinese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Chinese subsidiary incurred in the previous financial year, such Chinese subsidiary's current financial year’s accumulated after-tax profits shall first be used to cover the loss before any statutory reserve fund is drawn therefrom. Such statutory reserve funds and the accumulated after-tax profits that are used for covering the loss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 w:name="page11"/>
    <w:bookmarkEnd w:id="10"/>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04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54145" cy="570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right="1639"/>
        <w:spacing w:after="0" w:line="291" w:lineRule="auto"/>
        <w:rPr>
          <w:sz w:val="20"/>
          <w:szCs w:val="20"/>
          <w:color w:val="auto"/>
        </w:rPr>
      </w:pPr>
      <w:r>
        <w:rPr>
          <w:rFonts w:ascii="Arial" w:cs="Arial" w:eastAsia="Arial" w:hAnsi="Arial"/>
          <w:sz w:val="12"/>
          <w:szCs w:val="12"/>
          <w:color w:val="auto"/>
        </w:rPr>
        <w:t>cannot be distributed to us as dividends. At their discretion, our Chinese subsidiaries may allocate a portion of their after-tax profits based on Chinese accounting standards to a discretionary reserve fund.</w:t>
      </w:r>
    </w:p>
    <w:p>
      <w:pPr>
        <w:spacing w:after="0" w:line="62" w:lineRule="exact"/>
        <w:rPr>
          <w:sz w:val="20"/>
          <w:szCs w:val="20"/>
          <w:color w:val="auto"/>
        </w:rPr>
      </w:pPr>
    </w:p>
    <w:p>
      <w:pPr>
        <w:ind w:left="1580" w:right="1559"/>
        <w:spacing w:after="0" w:line="266" w:lineRule="auto"/>
        <w:rPr>
          <w:sz w:val="20"/>
          <w:szCs w:val="20"/>
          <w:color w:val="auto"/>
        </w:rPr>
      </w:pPr>
      <w:r>
        <w:rPr>
          <w:rFonts w:ascii="Arial" w:cs="Arial" w:eastAsia="Arial" w:hAnsi="Arial"/>
          <w:sz w:val="12"/>
          <w:szCs w:val="12"/>
          <w:color w:val="auto"/>
        </w:rPr>
        <w:t>Within our company, registered capital contributions to our Chinese subsidiary Shanghai ShouTi Biotechnology Co., Ltd. are made by our Hong Kong subsidiary ShouTi Hong Kong Limited, and to Shanghai Basecamp Biotechnology Co., Ltd. by Basecamp Bio Hong Kong Limited. Payments for intercompany services which include research and development and administrative expenses are made directly to our Chinese subsidiaries by our non-Chinese subsidiaries.</w:t>
      </w:r>
    </w:p>
    <w:p>
      <w:pPr>
        <w:spacing w:after="0" w:line="76" w:lineRule="exact"/>
        <w:rPr>
          <w:sz w:val="20"/>
          <w:szCs w:val="20"/>
          <w:color w:val="auto"/>
        </w:rPr>
      </w:pPr>
    </w:p>
    <w:p>
      <w:pPr>
        <w:ind w:left="1580" w:right="1579"/>
        <w:spacing w:after="0" w:line="260" w:lineRule="auto"/>
        <w:rPr>
          <w:sz w:val="20"/>
          <w:szCs w:val="20"/>
          <w:color w:val="auto"/>
        </w:rPr>
      </w:pPr>
      <w:r>
        <w:rPr>
          <w:rFonts w:ascii="Arial" w:cs="Arial" w:eastAsia="Arial" w:hAnsi="Arial"/>
          <w:sz w:val="12"/>
          <w:szCs w:val="12"/>
          <w:color w:val="auto"/>
        </w:rPr>
        <w:t>RMB is not freely convertible into other currencies. As a result, any restriction on currency exchange may limit the ability of our Chinese subsidiaries to use their potential future RMB revenues to pay dividends to us. The Chinese government imposes controls on the convertibility of RMB into foreign currencies and, in certain cases, the remittance of currency out of China. Shortages in availability of foreign currency may then restrict the ability of our Chinese subsidiaries to remit sufficient foreign currency to our offshore entities for our offshore entities to pay dividends or make other payments or otherwise to satisfy our foreign-currency-denominated obligations. The RMB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Chinese subsidiaries may purchase foreign currency for settlement of “current account transactions,” including payment of dividends to us, without the approval of the State Administration of Foreign Exchange of China, or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China or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ADS holders may potentially be subject to Chinese taxes on dividends paid by us in the event we are deemed a Chinese resident enterprise for Chinese tax purposes. See “Taxation—PRC Taxation” for more details.</w:t>
      </w:r>
    </w:p>
    <w:p>
      <w:pPr>
        <w:spacing w:after="0" w:line="132"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Financial Update</w:t>
      </w:r>
    </w:p>
    <w:p>
      <w:pPr>
        <w:spacing w:after="0" w:line="160" w:lineRule="exact"/>
        <w:rPr>
          <w:sz w:val="20"/>
          <w:szCs w:val="20"/>
          <w:color w:val="auto"/>
        </w:rPr>
      </w:pPr>
    </w:p>
    <w:p>
      <w:pPr>
        <w:ind w:left="1580" w:right="1639"/>
        <w:spacing w:after="0" w:line="264" w:lineRule="auto"/>
        <w:rPr>
          <w:sz w:val="20"/>
          <w:szCs w:val="20"/>
          <w:color w:val="auto"/>
        </w:rPr>
      </w:pPr>
      <w:r>
        <w:rPr>
          <w:rFonts w:ascii="Arial" w:cs="Arial" w:eastAsia="Arial" w:hAnsi="Arial"/>
          <w:sz w:val="12"/>
          <w:szCs w:val="12"/>
          <w:color w:val="auto"/>
        </w:rPr>
        <w:t>While we have not finalized our financial closing procedures as of and for the year ended December 31, 2022, we expect to report that we had approximately $90.8 million of cash, cash equivalents and short-term investments as of December 31, 2022. This amount is unaudited and preliminary and is subject to completion of financial closing procedures. As a result, this amount may differ from the amount that will be reflected in our consolidated financial statements as of and for the year ended December 31, 2022. Our consolidated financial statements for the year ended December 31, 2022 will not be available until after this offering is completed, and consequently will not be available to you prior to investing in this offering.</w:t>
      </w:r>
    </w:p>
    <w:p>
      <w:pPr>
        <w:spacing w:after="0" w:line="78" w:lineRule="exact"/>
        <w:rPr>
          <w:sz w:val="20"/>
          <w:szCs w:val="20"/>
          <w:color w:val="auto"/>
        </w:rPr>
      </w:pPr>
    </w:p>
    <w:p>
      <w:pPr>
        <w:ind w:left="1580" w:right="1759"/>
        <w:spacing w:after="0" w:line="270" w:lineRule="auto"/>
        <w:rPr>
          <w:sz w:val="20"/>
          <w:szCs w:val="20"/>
          <w:color w:val="auto"/>
        </w:rPr>
      </w:pPr>
      <w:r>
        <w:rPr>
          <w:rFonts w:ascii="Arial" w:cs="Arial" w:eastAsia="Arial" w:hAnsi="Arial"/>
          <w:sz w:val="12"/>
          <w:szCs w:val="12"/>
          <w:color w:val="auto"/>
        </w:rPr>
        <w:t>The preliminary financial data included in this registration statement has been prepared by, and is the responsibility of,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spacing w:after="0" w:line="125"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60" w:lineRule="exact"/>
        <w:rPr>
          <w:sz w:val="20"/>
          <w:szCs w:val="20"/>
          <w:color w:val="auto"/>
        </w:rPr>
      </w:pPr>
    </w:p>
    <w:p>
      <w:pPr>
        <w:ind w:left="1580" w:right="1579"/>
        <w:spacing w:after="0" w:line="264" w:lineRule="auto"/>
        <w:rPr>
          <w:sz w:val="20"/>
          <w:szCs w:val="20"/>
          <w:color w:val="auto"/>
        </w:rPr>
      </w:pPr>
      <w:r>
        <w:rPr>
          <w:rFonts w:ascii="Arial" w:cs="Arial" w:eastAsia="Arial" w:hAnsi="Arial"/>
          <w:sz w:val="12"/>
          <w:szCs w:val="12"/>
          <w:color w:val="auto"/>
        </w:rPr>
        <w:t>We are a Cayman Islands exempted company incorporated with limited liability. We were initially formed as a Delaware corporation in 2016 under the name ShouTi Inc., and reorganized as a Cayman Islands exempted company in 2019. Our principal executive office is located at 611 Gateway Blvd., Suite 223, South San Francisco, California 94080 and our telephone number is (628) 229-9277. The principal executive office of our research and development operations is located at Unit 02, F5, No. 1, Lane 2889, Jinke Road, China (Shanghai) Free Trade Zone, Shanghai, People’s Republic of China, 201203. Our telephone number at this address is 86 21 61215839. Our current registered office in the Cayman Islands is located at the offices of</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 w:name="page12"/>
    <w:bookmarkEnd w:id="11"/>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10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54145" cy="571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80" w:right="1699"/>
        <w:spacing w:after="0" w:line="308" w:lineRule="auto"/>
        <w:rPr>
          <w:sz w:val="20"/>
          <w:szCs w:val="20"/>
          <w:color w:val="auto"/>
        </w:rPr>
      </w:pPr>
      <w:r>
        <w:rPr>
          <w:rFonts w:ascii="Arial" w:cs="Arial" w:eastAsia="Arial" w:hAnsi="Arial"/>
          <w:sz w:val="12"/>
          <w:szCs w:val="12"/>
          <w:color w:val="auto"/>
        </w:rPr>
        <w:t>International Corporation Services Ltd., P.O, Box 472, 2nd Floor, Harbour Place, 103 South Church Street, George Town, Grand Cayman KY1-1106, Cayman Islands.</w:t>
      </w:r>
    </w:p>
    <w:p>
      <w:pPr>
        <w:spacing w:after="0" w:line="52" w:lineRule="exact"/>
        <w:rPr>
          <w:sz w:val="20"/>
          <w:szCs w:val="20"/>
          <w:color w:val="auto"/>
        </w:rPr>
      </w:pPr>
    </w:p>
    <w:p>
      <w:pPr>
        <w:ind w:left="1580" w:right="1679"/>
        <w:spacing w:after="0" w:line="288" w:lineRule="auto"/>
        <w:rPr>
          <w:sz w:val="20"/>
          <w:szCs w:val="20"/>
          <w:color w:val="auto"/>
        </w:rPr>
      </w:pPr>
      <w:r>
        <w:rPr>
          <w:rFonts w:ascii="Arial" w:cs="Arial" w:eastAsia="Arial" w:hAnsi="Arial"/>
          <w:sz w:val="12"/>
          <w:szCs w:val="12"/>
          <w:color w:val="auto"/>
        </w:rPr>
        <w:t>Our website is www.structuretx.com.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w:t>
      </w:r>
    </w:p>
    <w:p>
      <w:pPr>
        <w:spacing w:after="0" w:line="114"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Trademarks and Service Marks</w:t>
      </w:r>
    </w:p>
    <w:p>
      <w:pPr>
        <w:spacing w:after="0" w:line="179" w:lineRule="exact"/>
        <w:rPr>
          <w:sz w:val="20"/>
          <w:szCs w:val="20"/>
          <w:color w:val="auto"/>
        </w:rPr>
      </w:pPr>
    </w:p>
    <w:p>
      <w:pPr>
        <w:ind w:left="1580" w:right="1599"/>
        <w:spacing w:after="0" w:line="278" w:lineRule="auto"/>
        <w:rPr>
          <w:sz w:val="20"/>
          <w:szCs w:val="20"/>
          <w:color w:val="auto"/>
        </w:rPr>
      </w:pPr>
      <w:r>
        <w:rPr>
          <w:rFonts w:ascii="Arial" w:cs="Arial" w:eastAsia="Arial" w:hAnsi="Arial"/>
          <w:sz w:val="12"/>
          <w:szCs w:val="12"/>
          <w:color w:val="auto"/>
        </w:rPr>
        <w:t>We use the name Structure Therapeutics, the Structure Therapeutics logo and marks in the United States and other countries. This prospectus contains references to our trademarks, trade names and service marks and to those belonging to other entities.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2"/>
          <w:szCs w:val="12"/>
          <w:b w:val="1"/>
          <w:bCs w:val="1"/>
          <w:i w:val="1"/>
          <w:iCs w:val="1"/>
          <w:color w:val="auto"/>
        </w:rPr>
        <w:t>Implications of Being an Emerging Growth Company and Smaller Reporting Company</w:t>
      </w:r>
    </w:p>
    <w:p>
      <w:pPr>
        <w:spacing w:after="0" w:line="169" w:lineRule="exact"/>
        <w:rPr>
          <w:sz w:val="20"/>
          <w:szCs w:val="20"/>
          <w:color w:val="auto"/>
        </w:rPr>
      </w:pPr>
    </w:p>
    <w:p>
      <w:pPr>
        <w:ind w:left="1580" w:right="1559"/>
        <w:spacing w:after="0" w:line="272" w:lineRule="auto"/>
        <w:rPr>
          <w:sz w:val="20"/>
          <w:szCs w:val="20"/>
          <w:color w:val="auto"/>
        </w:rPr>
      </w:pPr>
      <w:r>
        <w:rPr>
          <w:rFonts w:ascii="Arial" w:cs="Arial" w:eastAsia="Arial" w:hAnsi="Arial"/>
          <w:sz w:val="12"/>
          <w:szCs w:val="12"/>
          <w:color w:val="auto"/>
        </w:rPr>
        <w:t>We are an “emerging growth company” as defined in the Jumpstart Our Business Startups Act, or JOBS Act, enacted in April 2012, and we may remain an emerging growth company for up to five years following the completion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or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shares.</w:t>
      </w:r>
    </w:p>
    <w:p>
      <w:pPr>
        <w:spacing w:after="0" w:line="84" w:lineRule="exact"/>
        <w:rPr>
          <w:sz w:val="20"/>
          <w:szCs w:val="20"/>
          <w:color w:val="auto"/>
        </w:rPr>
      </w:pPr>
    </w:p>
    <w:p>
      <w:pPr>
        <w:ind w:left="1580" w:right="1599"/>
        <w:spacing w:after="0" w:line="272" w:lineRule="auto"/>
        <w:rPr>
          <w:sz w:val="20"/>
          <w:szCs w:val="20"/>
          <w:color w:val="auto"/>
        </w:rPr>
      </w:pPr>
      <w:r>
        <w:rPr>
          <w:rFonts w:ascii="Arial" w:cs="Arial" w:eastAsia="Arial" w:hAnsi="Arial"/>
          <w:sz w:val="12"/>
          <w:szCs w:val="12"/>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Securities and Exchange Commission, or SEC; (iii) the date on which we have, in any three-year period, issued more than $1.0 billion in non-convertible debt securities; and (iv) the last day of the fiscal year ending after the fifth anniversary of this offering.</w:t>
      </w:r>
    </w:p>
    <w:p>
      <w:pPr>
        <w:spacing w:after="0" w:line="76" w:lineRule="exact"/>
        <w:rPr>
          <w:sz w:val="20"/>
          <w:szCs w:val="20"/>
          <w:color w:val="auto"/>
        </w:rPr>
      </w:pPr>
    </w:p>
    <w:p>
      <w:pPr>
        <w:ind w:left="1580" w:right="1619"/>
        <w:spacing w:after="0" w:line="274" w:lineRule="auto"/>
        <w:rPr>
          <w:sz w:val="20"/>
          <w:szCs w:val="20"/>
          <w:color w:val="auto"/>
        </w:rPr>
      </w:pPr>
      <w:r>
        <w:rPr>
          <w:rFonts w:ascii="Arial" w:cs="Arial" w:eastAsia="Arial" w:hAnsi="Arial"/>
          <w:sz w:val="12"/>
          <w:szCs w:val="12"/>
          <w:color w:val="auto"/>
        </w:rPr>
        <w:t>We are also a “smaller reporting company” as defined in the Securities Exchange Act of 1934, as amended, or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ordinary shares held by non-affiliates is less than $250.0 million measured on the last business day of our second fiscal quarter, or our annual revenue is less than $100.0 million during the most recently completed fiscal year and our ordinary shares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 w:name="page13"/>
    <w:bookmarkEnd w:id="12"/>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9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54145" cy="579628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280"/>
        <w:spacing w:after="0"/>
        <w:rPr>
          <w:sz w:val="20"/>
          <w:szCs w:val="20"/>
          <w:color w:val="auto"/>
        </w:rPr>
      </w:pPr>
      <w:r>
        <w:rPr>
          <w:rFonts w:ascii="Arial" w:cs="Arial" w:eastAsia="Arial" w:hAnsi="Arial"/>
          <w:sz w:val="12"/>
          <w:szCs w:val="12"/>
          <w:color w:val="auto"/>
        </w:rPr>
        <w:t>ADSs to be offered</w:t>
      </w:r>
    </w:p>
    <w:p>
      <w:pPr>
        <w:spacing w:after="0" w:line="200" w:lineRule="exact"/>
        <w:rPr>
          <w:sz w:val="20"/>
          <w:szCs w:val="20"/>
          <w:color w:val="auto"/>
        </w:rPr>
      </w:pPr>
    </w:p>
    <w:p>
      <w:pPr>
        <w:spacing w:after="0" w:line="203" w:lineRule="exact"/>
        <w:rPr>
          <w:sz w:val="20"/>
          <w:szCs w:val="20"/>
          <w:color w:val="auto"/>
        </w:rPr>
      </w:pPr>
    </w:p>
    <w:p>
      <w:pPr>
        <w:ind w:left="1700" w:hanging="128"/>
        <w:spacing w:after="0" w:line="308" w:lineRule="auto"/>
        <w:rPr>
          <w:sz w:val="20"/>
          <w:szCs w:val="20"/>
          <w:color w:val="auto"/>
        </w:rPr>
      </w:pPr>
      <w:r>
        <w:rPr>
          <w:rFonts w:ascii="Arial" w:cs="Arial" w:eastAsia="Arial" w:hAnsi="Arial"/>
          <w:sz w:val="12"/>
          <w:szCs w:val="12"/>
          <w:color w:val="auto"/>
        </w:rPr>
        <w:t>Underwriters’ option to purchase additional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Offering</w:t>
      </w:r>
    </w:p>
    <w:p>
      <w:pPr>
        <w:spacing w:after="0" w:line="88" w:lineRule="exact"/>
        <w:rPr>
          <w:sz w:val="20"/>
          <w:szCs w:val="20"/>
          <w:color w:val="auto"/>
        </w:rPr>
      </w:pPr>
    </w:p>
    <w:p>
      <w:pPr>
        <w:ind w:left="100" w:right="1779"/>
        <w:spacing w:after="0" w:line="308" w:lineRule="auto"/>
        <w:rPr>
          <w:sz w:val="20"/>
          <w:szCs w:val="20"/>
          <w:color w:val="auto"/>
        </w:rPr>
      </w:pPr>
      <w:r>
        <w:rPr>
          <w:rFonts w:ascii="Arial" w:cs="Arial" w:eastAsia="Arial" w:hAnsi="Arial"/>
          <w:sz w:val="12"/>
          <w:szCs w:val="12"/>
          <w:color w:val="auto"/>
        </w:rPr>
        <w:t>10,740,000 ADSs, each ADS representing three ordinary shares.</w:t>
      </w:r>
    </w:p>
    <w:p>
      <w:pPr>
        <w:spacing w:after="0" w:line="342" w:lineRule="exact"/>
        <w:rPr>
          <w:sz w:val="20"/>
          <w:szCs w:val="20"/>
          <w:color w:val="auto"/>
        </w:rPr>
      </w:pPr>
    </w:p>
    <w:p>
      <w:pPr>
        <w:jc w:val="both"/>
        <w:ind w:left="100" w:right="1639"/>
        <w:spacing w:after="0" w:line="288" w:lineRule="auto"/>
        <w:rPr>
          <w:sz w:val="20"/>
          <w:szCs w:val="20"/>
          <w:color w:val="auto"/>
        </w:rPr>
      </w:pPr>
      <w:r>
        <w:rPr>
          <w:rFonts w:ascii="Arial" w:cs="Arial" w:eastAsia="Arial" w:hAnsi="Arial"/>
          <w:sz w:val="12"/>
          <w:szCs w:val="12"/>
          <w:color w:val="auto"/>
        </w:rPr>
        <w:t>We have granted the underwriters an option for a period of 30 days from the date of this prospectus to purchase up to an aggregate of 1,611,000 additional ADSs.</w:t>
      </w:r>
    </w:p>
    <w:p>
      <w:pPr>
        <w:spacing w:after="0" w:line="190" w:lineRule="exact"/>
        <w:rPr>
          <w:sz w:val="20"/>
          <w:szCs w:val="20"/>
          <w:color w:val="auto"/>
        </w:rPr>
      </w:pPr>
    </w:p>
    <w:p>
      <w:pPr>
        <w:sectPr>
          <w:pgSz w:w="11900" w:h="16838" w:orient="portrait"/>
          <w:cols w:equalWidth="0" w:num="2">
            <w:col w:w="3900" w:space="200"/>
            <w:col w:w="4919"/>
          </w:cols>
          <w:pgMar w:left="1440" w:top="109" w:right="1440" w:bottom="1440" w:gutter="0" w:footer="0" w:header="0"/>
          <w:type w:val="continuous"/>
        </w:sectPr>
      </w:pPr>
    </w:p>
    <w:p>
      <w:pPr>
        <w:ind w:left="1700" w:hanging="128"/>
        <w:spacing w:after="0" w:line="291" w:lineRule="auto"/>
        <w:rPr>
          <w:sz w:val="20"/>
          <w:szCs w:val="20"/>
          <w:color w:val="auto"/>
        </w:rPr>
      </w:pPr>
      <w:r>
        <w:rPr>
          <w:rFonts w:ascii="Arial" w:cs="Arial" w:eastAsia="Arial" w:hAnsi="Arial"/>
          <w:sz w:val="12"/>
          <w:szCs w:val="12"/>
          <w:color w:val="auto"/>
        </w:rPr>
        <w:t>ADSs to be outstanding immediately after this offering</w:t>
      </w:r>
    </w:p>
    <w:p>
      <w:pPr>
        <w:spacing w:after="0" w:line="352"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Ordinary shares to be outstanding</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immediately after completion of this</w:t>
      </w:r>
    </w:p>
    <w:p>
      <w:pPr>
        <w:spacing w:after="0" w:line="11"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offering</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1739"/>
        <w:spacing w:after="0" w:line="358" w:lineRule="auto"/>
        <w:rPr>
          <w:sz w:val="20"/>
          <w:szCs w:val="20"/>
          <w:color w:val="auto"/>
        </w:rPr>
      </w:pPr>
      <w:r>
        <w:rPr>
          <w:rFonts w:ascii="Arial" w:cs="Arial" w:eastAsia="Arial" w:hAnsi="Arial"/>
          <w:sz w:val="11"/>
          <w:szCs w:val="11"/>
          <w:color w:val="auto"/>
        </w:rPr>
        <w:t>10,740,000 ADSs (or 12,351,000 ADSs if the underwriters exercise their option to purchase additional ADSs in full).</w:t>
      </w:r>
    </w:p>
    <w:p>
      <w:pPr>
        <w:spacing w:after="0" w:line="200" w:lineRule="exact"/>
        <w:rPr>
          <w:sz w:val="20"/>
          <w:szCs w:val="20"/>
          <w:color w:val="auto"/>
        </w:rPr>
      </w:pPr>
    </w:p>
    <w:p>
      <w:pPr>
        <w:spacing w:after="0" w:line="264" w:lineRule="exact"/>
        <w:rPr>
          <w:sz w:val="20"/>
          <w:szCs w:val="20"/>
          <w:color w:val="auto"/>
        </w:rPr>
      </w:pPr>
    </w:p>
    <w:p>
      <w:pPr>
        <w:ind w:right="1579"/>
        <w:spacing w:after="0" w:line="271" w:lineRule="auto"/>
        <w:rPr>
          <w:sz w:val="20"/>
          <w:szCs w:val="20"/>
          <w:color w:val="auto"/>
        </w:rPr>
      </w:pPr>
      <w:r>
        <w:rPr>
          <w:rFonts w:ascii="Arial" w:cs="Arial" w:eastAsia="Arial" w:hAnsi="Arial"/>
          <w:sz w:val="12"/>
          <w:szCs w:val="12"/>
          <w:color w:val="auto"/>
        </w:rPr>
        <w:t>109,764,741 ordinary shares (or 114,597,741 ordinary shares if the underwriters exercise their option to purchase additional ADSs in full). Immediately after completion of this offering and assuming the underwriters do not exercise their option to purchase additional ADSs, approximately</w:t>
      </w:r>
    </w:p>
    <w:p>
      <w:pPr>
        <w:spacing w:after="0" w:line="1" w:lineRule="exact"/>
        <w:rPr>
          <w:sz w:val="20"/>
          <w:szCs w:val="20"/>
          <w:color w:val="auto"/>
        </w:rPr>
      </w:pPr>
    </w:p>
    <w:p>
      <w:pPr>
        <w:ind w:right="1679"/>
        <w:spacing w:after="0" w:line="298" w:lineRule="auto"/>
        <w:rPr>
          <w:sz w:val="20"/>
          <w:szCs w:val="20"/>
          <w:color w:val="auto"/>
        </w:rPr>
      </w:pPr>
      <w:r>
        <w:rPr>
          <w:rFonts w:ascii="Arial" w:cs="Arial" w:eastAsia="Arial" w:hAnsi="Arial"/>
          <w:sz w:val="12"/>
          <w:szCs w:val="12"/>
          <w:color w:val="auto"/>
        </w:rPr>
        <w:t>29.4% of our ordinary shares represented by ADSs will be held by our public shareholders.</w:t>
      </w:r>
    </w:p>
    <w:p>
      <w:pPr>
        <w:spacing w:after="0" w:line="183" w:lineRule="exact"/>
        <w:rPr>
          <w:sz w:val="20"/>
          <w:szCs w:val="20"/>
          <w:color w:val="auto"/>
        </w:rPr>
      </w:pPr>
    </w:p>
    <w:p>
      <w:pPr>
        <w:sectPr>
          <w:pgSz w:w="11900" w:h="16838" w:orient="portrait"/>
          <w:cols w:equalWidth="0" w:num="2">
            <w:col w:w="3820" w:space="380"/>
            <w:col w:w="4819"/>
          </w:cols>
          <w:pgMar w:left="1440" w:top="109" w:right="1440" w:bottom="1440" w:gutter="0" w:footer="0" w:header="0"/>
          <w:type w:val="continuous"/>
        </w:sectPr>
      </w:pPr>
    </w:p>
    <w:tbl>
      <w:tblPr>
        <w:tblLayout w:type="fixed"/>
        <w:tblInd w:w="660" w:type="dxa"/>
        <w:tblCellMar>
          <w:top w:w="0" w:type="dxa"/>
          <w:left w:w="0" w:type="dxa"/>
          <w:bottom w:w="0" w:type="dxa"/>
          <w:right w:w="0" w:type="dxa"/>
        </w:tblCellMar>
      </w:tblPr>
      <w:tr>
        <w:trPr>
          <w:trHeight w:val="164"/>
        </w:trPr>
        <w:tc>
          <w:tcPr>
            <w:tcW w:w="74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Arial" w:cs="Arial" w:eastAsia="Arial" w:hAnsi="Arial"/>
                <w:sz w:val="12"/>
                <w:szCs w:val="12"/>
                <w:color w:val="auto"/>
              </w:rPr>
              <w:t>The ADSs</w:t>
            </w:r>
          </w:p>
        </w:tc>
        <w:tc>
          <w:tcPr>
            <w:tcW w:w="4460" w:type="dxa"/>
            <w:vAlign w:val="bottom"/>
          </w:tcPr>
          <w:p>
            <w:pPr>
              <w:ind w:left="1020"/>
              <w:spacing w:after="0"/>
              <w:rPr>
                <w:sz w:val="20"/>
                <w:szCs w:val="20"/>
                <w:color w:val="auto"/>
              </w:rPr>
            </w:pPr>
            <w:r>
              <w:rPr>
                <w:rFonts w:ascii="Arial" w:cs="Arial" w:eastAsia="Arial" w:hAnsi="Arial"/>
                <w:sz w:val="12"/>
                <w:szCs w:val="12"/>
                <w:color w:val="auto"/>
              </w:rPr>
              <w:t>Each ADS represents three ordinary shares. The ADSs</w:t>
            </w:r>
          </w:p>
        </w:tc>
        <w:tc>
          <w:tcPr>
            <w:tcW w:w="700" w:type="dxa"/>
            <w:vAlign w:val="bottom"/>
          </w:tcPr>
          <w:p>
            <w:pPr>
              <w:spacing w:after="0"/>
              <w:rPr>
                <w:sz w:val="14"/>
                <w:szCs w:val="14"/>
                <w:color w:val="auto"/>
              </w:rPr>
            </w:pPr>
          </w:p>
        </w:tc>
      </w:tr>
      <w:tr>
        <w:trPr>
          <w:trHeight w:val="161"/>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may be evidenced by American depositary receipts.</w:t>
            </w:r>
          </w:p>
        </w:tc>
        <w:tc>
          <w:tcPr>
            <w:tcW w:w="700" w:type="dxa"/>
            <w:vAlign w:val="bottom"/>
          </w:tcPr>
          <w:p>
            <w:pPr>
              <w:spacing w:after="0"/>
              <w:rPr>
                <w:sz w:val="13"/>
                <w:szCs w:val="13"/>
                <w:color w:val="auto"/>
              </w:rPr>
            </w:pPr>
          </w:p>
        </w:tc>
      </w:tr>
      <w:tr>
        <w:trPr>
          <w:trHeight w:val="236"/>
        </w:trPr>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The depositary will hold the ordinary shares underlying your</w:t>
            </w:r>
          </w:p>
        </w:tc>
        <w:tc>
          <w:tcPr>
            <w:tcW w:w="700" w:type="dxa"/>
            <w:vAlign w:val="bottom"/>
          </w:tcPr>
          <w:p>
            <w:pPr>
              <w:spacing w:after="0"/>
              <w:rPr>
                <w:sz w:val="20"/>
                <w:szCs w:val="20"/>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ADSs, and you will have the rights of an ADS holder as</w:t>
            </w:r>
          </w:p>
        </w:tc>
        <w:tc>
          <w:tcPr>
            <w:tcW w:w="700" w:type="dxa"/>
            <w:vAlign w:val="bottom"/>
          </w:tcPr>
          <w:p>
            <w:pPr>
              <w:spacing w:after="0"/>
              <w:rPr>
                <w:sz w:val="12"/>
                <w:szCs w:val="12"/>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provided in the deposit agreement among us, the</w:t>
            </w:r>
          </w:p>
        </w:tc>
        <w:tc>
          <w:tcPr>
            <w:tcW w:w="700" w:type="dxa"/>
            <w:vAlign w:val="bottom"/>
          </w:tcPr>
          <w:p>
            <w:pPr>
              <w:spacing w:after="0"/>
              <w:rPr>
                <w:sz w:val="12"/>
                <w:szCs w:val="12"/>
                <w:color w:val="auto"/>
              </w:rPr>
            </w:pPr>
          </w:p>
        </w:tc>
      </w:tr>
      <w:tr>
        <w:trPr>
          <w:trHeight w:val="161"/>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depositary and the holders and beneficial owners of ADSs.</w:t>
            </w:r>
          </w:p>
        </w:tc>
        <w:tc>
          <w:tcPr>
            <w:tcW w:w="700" w:type="dxa"/>
            <w:vAlign w:val="bottom"/>
          </w:tcPr>
          <w:p>
            <w:pPr>
              <w:spacing w:after="0"/>
              <w:rPr>
                <w:sz w:val="13"/>
                <w:szCs w:val="13"/>
                <w:color w:val="auto"/>
              </w:rPr>
            </w:pPr>
          </w:p>
        </w:tc>
      </w:tr>
      <w:tr>
        <w:trPr>
          <w:trHeight w:val="245"/>
        </w:trPr>
        <w:tc>
          <w:tcPr>
            <w:tcW w:w="7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We do not expect to pay any dividends on our ADSs in the</w:t>
            </w:r>
          </w:p>
        </w:tc>
        <w:tc>
          <w:tcPr>
            <w:tcW w:w="700" w:type="dxa"/>
            <w:vAlign w:val="bottom"/>
          </w:tcPr>
          <w:p>
            <w:pPr>
              <w:spacing w:after="0"/>
              <w:rPr>
                <w:sz w:val="21"/>
                <w:szCs w:val="21"/>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foreseeable future. If we declare dividends on our ordinary</w:t>
            </w:r>
          </w:p>
        </w:tc>
        <w:tc>
          <w:tcPr>
            <w:tcW w:w="700" w:type="dxa"/>
            <w:vAlign w:val="bottom"/>
          </w:tcPr>
          <w:p>
            <w:pPr>
              <w:spacing w:after="0"/>
              <w:rPr>
                <w:sz w:val="12"/>
                <w:szCs w:val="12"/>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shares, the depositary will distribute to holders of ADSs the</w:t>
            </w:r>
          </w:p>
        </w:tc>
        <w:tc>
          <w:tcPr>
            <w:tcW w:w="700" w:type="dxa"/>
            <w:vAlign w:val="bottom"/>
          </w:tcPr>
          <w:p>
            <w:pPr>
              <w:spacing w:after="0"/>
              <w:rPr>
                <w:sz w:val="12"/>
                <w:szCs w:val="12"/>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cash dividends and other distributions it receives on the</w:t>
            </w:r>
          </w:p>
        </w:tc>
        <w:tc>
          <w:tcPr>
            <w:tcW w:w="700" w:type="dxa"/>
            <w:vAlign w:val="bottom"/>
          </w:tcPr>
          <w:p>
            <w:pPr>
              <w:spacing w:after="0"/>
              <w:rPr>
                <w:sz w:val="13"/>
                <w:szCs w:val="13"/>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underlying ordinary shares, after deducting its fees and</w:t>
            </w:r>
          </w:p>
        </w:tc>
        <w:tc>
          <w:tcPr>
            <w:tcW w:w="700" w:type="dxa"/>
            <w:vAlign w:val="bottom"/>
          </w:tcPr>
          <w:p>
            <w:pPr>
              <w:spacing w:after="0"/>
              <w:rPr>
                <w:sz w:val="12"/>
                <w:szCs w:val="12"/>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expenses in accordance with the terms set forth in the</w:t>
            </w:r>
          </w:p>
        </w:tc>
        <w:tc>
          <w:tcPr>
            <w:tcW w:w="700" w:type="dxa"/>
            <w:vAlign w:val="bottom"/>
          </w:tcPr>
          <w:p>
            <w:pPr>
              <w:spacing w:after="0"/>
              <w:rPr>
                <w:sz w:val="12"/>
                <w:szCs w:val="12"/>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deposit agreement. See the section titled “Dividend Policy”</w:t>
            </w:r>
          </w:p>
        </w:tc>
        <w:tc>
          <w:tcPr>
            <w:tcW w:w="700" w:type="dxa"/>
            <w:vAlign w:val="bottom"/>
          </w:tcPr>
          <w:p>
            <w:pPr>
              <w:spacing w:after="0"/>
              <w:rPr>
                <w:sz w:val="13"/>
                <w:szCs w:val="13"/>
                <w:color w:val="auto"/>
              </w:rPr>
            </w:pPr>
          </w:p>
        </w:tc>
      </w:tr>
      <w:tr>
        <w:trPr>
          <w:trHeight w:val="161"/>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for additional information.</w:t>
            </w:r>
          </w:p>
        </w:tc>
        <w:tc>
          <w:tcPr>
            <w:tcW w:w="700" w:type="dxa"/>
            <w:vAlign w:val="bottom"/>
          </w:tcPr>
          <w:p>
            <w:pPr>
              <w:spacing w:after="0"/>
              <w:rPr>
                <w:sz w:val="13"/>
                <w:szCs w:val="13"/>
                <w:color w:val="auto"/>
              </w:rPr>
            </w:pPr>
          </w:p>
        </w:tc>
      </w:tr>
      <w:tr>
        <w:trPr>
          <w:trHeight w:val="236"/>
        </w:trPr>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You may turn in your ADSs to the depositary for</w:t>
            </w:r>
          </w:p>
        </w:tc>
        <w:tc>
          <w:tcPr>
            <w:tcW w:w="700" w:type="dxa"/>
            <w:vAlign w:val="bottom"/>
          </w:tcPr>
          <w:p>
            <w:pPr>
              <w:spacing w:after="0"/>
              <w:rPr>
                <w:sz w:val="20"/>
                <w:szCs w:val="20"/>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cancellation and receipt of the corresponding ordinary</w:t>
            </w:r>
          </w:p>
        </w:tc>
        <w:tc>
          <w:tcPr>
            <w:tcW w:w="700" w:type="dxa"/>
            <w:vAlign w:val="bottom"/>
          </w:tcPr>
          <w:p>
            <w:pPr>
              <w:spacing w:after="0"/>
              <w:rPr>
                <w:sz w:val="12"/>
                <w:szCs w:val="12"/>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shares. The depositary will charge you fees for the</w:t>
            </w:r>
          </w:p>
        </w:tc>
        <w:tc>
          <w:tcPr>
            <w:tcW w:w="700" w:type="dxa"/>
            <w:vAlign w:val="bottom"/>
          </w:tcPr>
          <w:p>
            <w:pPr>
              <w:spacing w:after="0"/>
              <w:rPr>
                <w:sz w:val="13"/>
                <w:szCs w:val="13"/>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cancellation of ADSs and delivery of the corresponding</w:t>
            </w:r>
          </w:p>
        </w:tc>
        <w:tc>
          <w:tcPr>
            <w:tcW w:w="700" w:type="dxa"/>
            <w:vAlign w:val="bottom"/>
          </w:tcPr>
          <w:p>
            <w:pPr>
              <w:spacing w:after="0"/>
              <w:rPr>
                <w:sz w:val="12"/>
                <w:szCs w:val="12"/>
                <w:color w:val="auto"/>
              </w:rPr>
            </w:pPr>
          </w:p>
        </w:tc>
      </w:tr>
      <w:tr>
        <w:trPr>
          <w:trHeight w:val="161"/>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ordinary shares.</w:t>
            </w:r>
          </w:p>
        </w:tc>
        <w:tc>
          <w:tcPr>
            <w:tcW w:w="700" w:type="dxa"/>
            <w:vAlign w:val="bottom"/>
          </w:tcPr>
          <w:p>
            <w:pPr>
              <w:spacing w:after="0"/>
              <w:rPr>
                <w:sz w:val="13"/>
                <w:szCs w:val="13"/>
                <w:color w:val="auto"/>
              </w:rPr>
            </w:pPr>
          </w:p>
        </w:tc>
      </w:tr>
      <w:tr>
        <w:trPr>
          <w:trHeight w:val="236"/>
        </w:trPr>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We may amend or terminate the deposit agreement without</w:t>
            </w:r>
          </w:p>
        </w:tc>
        <w:tc>
          <w:tcPr>
            <w:tcW w:w="700" w:type="dxa"/>
            <w:vAlign w:val="bottom"/>
          </w:tcPr>
          <w:p>
            <w:pPr>
              <w:spacing w:after="0"/>
              <w:rPr>
                <w:sz w:val="20"/>
                <w:szCs w:val="20"/>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your consent. If an amendment becomes effective and you</w:t>
            </w:r>
          </w:p>
        </w:tc>
        <w:tc>
          <w:tcPr>
            <w:tcW w:w="700" w:type="dxa"/>
            <w:vAlign w:val="bottom"/>
          </w:tcPr>
          <w:p>
            <w:pPr>
              <w:spacing w:after="0"/>
              <w:rPr>
                <w:sz w:val="13"/>
                <w:szCs w:val="13"/>
                <w:color w:val="auto"/>
              </w:rPr>
            </w:pPr>
          </w:p>
        </w:tc>
      </w:tr>
      <w:tr>
        <w:trPr>
          <w:trHeight w:val="145"/>
        </w:trPr>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continue to hold your ADSs, you will be bound by the</w:t>
            </w:r>
          </w:p>
        </w:tc>
        <w:tc>
          <w:tcPr>
            <w:tcW w:w="700" w:type="dxa"/>
            <w:vAlign w:val="bottom"/>
          </w:tcPr>
          <w:p>
            <w:pPr>
              <w:spacing w:after="0"/>
              <w:rPr>
                <w:sz w:val="12"/>
                <w:szCs w:val="12"/>
                <w:color w:val="auto"/>
              </w:rPr>
            </w:pPr>
          </w:p>
        </w:tc>
      </w:tr>
      <w:tr>
        <w:trPr>
          <w:trHeight w:val="161"/>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deposit agreement as amended.</w:t>
            </w:r>
          </w:p>
        </w:tc>
        <w:tc>
          <w:tcPr>
            <w:tcW w:w="700" w:type="dxa"/>
            <w:vAlign w:val="bottom"/>
          </w:tcPr>
          <w:p>
            <w:pPr>
              <w:spacing w:after="0"/>
              <w:rPr>
                <w:sz w:val="13"/>
                <w:szCs w:val="13"/>
                <w:color w:val="auto"/>
              </w:rPr>
            </w:pPr>
          </w:p>
        </w:tc>
      </w:tr>
      <w:tr>
        <w:trPr>
          <w:trHeight w:val="255"/>
        </w:trPr>
        <w:tc>
          <w:tcPr>
            <w:tcW w:w="7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To better understand the terms of the ADSs, you should</w:t>
            </w:r>
          </w:p>
        </w:tc>
        <w:tc>
          <w:tcPr>
            <w:tcW w:w="700" w:type="dxa"/>
            <w:vAlign w:val="bottom"/>
          </w:tcPr>
          <w:p>
            <w:pPr>
              <w:spacing w:after="0"/>
              <w:rPr>
                <w:sz w:val="22"/>
                <w:szCs w:val="22"/>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carefully read the section titled “Description of American</w:t>
            </w:r>
          </w:p>
        </w:tc>
        <w:tc>
          <w:tcPr>
            <w:tcW w:w="700" w:type="dxa"/>
            <w:vAlign w:val="bottom"/>
          </w:tcPr>
          <w:p>
            <w:pPr>
              <w:spacing w:after="0"/>
              <w:rPr>
                <w:sz w:val="13"/>
                <w:szCs w:val="13"/>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Depositary Shares.” You should also read the deposit</w:t>
            </w:r>
          </w:p>
        </w:tc>
        <w:tc>
          <w:tcPr>
            <w:tcW w:w="700" w:type="dxa"/>
            <w:vAlign w:val="bottom"/>
          </w:tcPr>
          <w:p>
            <w:pPr>
              <w:spacing w:after="0"/>
              <w:rPr>
                <w:sz w:val="13"/>
                <w:szCs w:val="13"/>
                <w:color w:val="auto"/>
              </w:rPr>
            </w:pPr>
          </w:p>
        </w:tc>
      </w:tr>
      <w:tr>
        <w:trPr>
          <w:trHeight w:val="155"/>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agreement, which is filed as an exhibit to the registration</w:t>
            </w:r>
          </w:p>
        </w:tc>
        <w:tc>
          <w:tcPr>
            <w:tcW w:w="700" w:type="dxa"/>
            <w:vAlign w:val="bottom"/>
          </w:tcPr>
          <w:p>
            <w:pPr>
              <w:spacing w:after="0"/>
              <w:rPr>
                <w:sz w:val="13"/>
                <w:szCs w:val="13"/>
                <w:color w:val="auto"/>
              </w:rPr>
            </w:pPr>
          </w:p>
        </w:tc>
      </w:tr>
      <w:tr>
        <w:trPr>
          <w:trHeight w:val="161"/>
        </w:trPr>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60" w:type="dxa"/>
            <w:vAlign w:val="bottom"/>
          </w:tcPr>
          <w:p>
            <w:pPr>
              <w:ind w:left="1020"/>
              <w:spacing w:after="0"/>
              <w:rPr>
                <w:sz w:val="20"/>
                <w:szCs w:val="20"/>
                <w:color w:val="auto"/>
              </w:rPr>
            </w:pPr>
            <w:r>
              <w:rPr>
                <w:rFonts w:ascii="Arial" w:cs="Arial" w:eastAsia="Arial" w:hAnsi="Arial"/>
                <w:sz w:val="12"/>
                <w:szCs w:val="12"/>
                <w:color w:val="auto"/>
              </w:rPr>
              <w:t>statement of which this prospectus forms a part.</w:t>
            </w:r>
          </w:p>
        </w:tc>
        <w:tc>
          <w:tcPr>
            <w:tcW w:w="700" w:type="dxa"/>
            <w:vAlign w:val="bottom"/>
          </w:tcPr>
          <w:p>
            <w:pPr>
              <w:spacing w:after="0"/>
              <w:rPr>
                <w:sz w:val="13"/>
                <w:szCs w:val="13"/>
                <w:color w:val="auto"/>
              </w:rPr>
            </w:pPr>
          </w:p>
        </w:tc>
      </w:tr>
      <w:tr>
        <w:trPr>
          <w:trHeight w:val="228"/>
        </w:trPr>
        <w:tc>
          <w:tcPr>
            <w:tcW w:w="74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15"/>
        </w:trPr>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60" w:type="dxa"/>
            <w:vAlign w:val="bottom"/>
          </w:tcPr>
          <w:p>
            <w:pPr>
              <w:ind w:left="1260"/>
              <w:spacing w:after="0"/>
              <w:rPr>
                <w:sz w:val="20"/>
                <w:szCs w:val="20"/>
                <w:color w:val="auto"/>
              </w:rPr>
            </w:pPr>
            <w:r>
              <w:rPr>
                <w:rFonts w:ascii="Arial" w:cs="Arial" w:eastAsia="Arial" w:hAnsi="Arial"/>
                <w:sz w:val="12"/>
                <w:szCs w:val="12"/>
                <w:color w:val="auto"/>
              </w:rPr>
              <w:t>11</w:t>
            </w:r>
          </w:p>
        </w:tc>
        <w:tc>
          <w:tcPr>
            <w:tcW w:w="700" w:type="dxa"/>
            <w:vAlign w:val="bottom"/>
          </w:tcPr>
          <w:p>
            <w:pPr>
              <w:spacing w:after="0"/>
              <w:rPr>
                <w:sz w:val="18"/>
                <w:szCs w:val="18"/>
                <w:color w:val="auto"/>
              </w:rPr>
            </w:pPr>
          </w:p>
        </w:tc>
      </w:tr>
      <w:tr>
        <w:trPr>
          <w:trHeight w:val="273"/>
        </w:trPr>
        <w:tc>
          <w:tcPr>
            <w:tcW w:w="7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4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-24130</wp:posOffset>
            </wp:positionV>
            <wp:extent cx="3175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-24130</wp:posOffset>
            </wp:positionV>
            <wp:extent cx="3175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13" w:name="page14"/>
    <w:bookmarkEnd w:id="13"/>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851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54145" cy="585152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Depositary</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Nasdaq Global Market symbol</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599"/>
        <w:spacing w:after="0" w:line="276" w:lineRule="auto"/>
        <w:rPr>
          <w:sz w:val="20"/>
          <w:szCs w:val="20"/>
          <w:color w:val="auto"/>
        </w:rPr>
      </w:pPr>
      <w:r>
        <w:rPr>
          <w:rFonts w:ascii="Arial" w:cs="Arial" w:eastAsia="Arial" w:hAnsi="Arial"/>
          <w:sz w:val="12"/>
          <w:szCs w:val="12"/>
          <w:color w:val="auto"/>
        </w:rPr>
        <w:t>We estimate that the net proceeds from this offering will be approximately $144.8 million (or approximately $167.2 million if the underwriters exercise in full their option to purchase up to 1,611,000 additional ADSs), after deducting the underwriting discounts and commissions and estimated offering expenses payable by us.</w:t>
      </w:r>
    </w:p>
    <w:p>
      <w:pPr>
        <w:spacing w:after="0" w:line="63" w:lineRule="exact"/>
        <w:rPr>
          <w:sz w:val="20"/>
          <w:szCs w:val="20"/>
          <w:color w:val="auto"/>
        </w:rPr>
      </w:pPr>
    </w:p>
    <w:p>
      <w:pPr>
        <w:ind w:right="1559"/>
        <w:spacing w:after="0" w:line="260" w:lineRule="auto"/>
        <w:rPr>
          <w:sz w:val="20"/>
          <w:szCs w:val="20"/>
          <w:color w:val="auto"/>
        </w:rPr>
      </w:pPr>
      <w:r>
        <w:rPr>
          <w:rFonts w:ascii="Arial" w:cs="Arial" w:eastAsia="Arial" w:hAnsi="Arial"/>
          <w:sz w:val="12"/>
          <w:szCs w:val="12"/>
          <w:color w:val="auto"/>
        </w:rPr>
        <w:t>We intend to use the net proceeds from this offering, along with our existing cash, cash equivalents and short-term investments: (i) to advance the development of our GLP-1R franchise, including the completion of a Phase 1b MAD study and Phase 2a proof-of-concept study, and next generation GLP-1R candidates, including dual GLP-1R/GIPR agonists; (ii) (a) to advance the development of our APJR agonist program, including through the initiation of a Phase 1 formulation bridging PK study as well as additional preclinical studies in IPF and PAH, and (b) to advance the development of our LPA1R antagonist program, including preclinical development and the initiation of our first-in-human study in IPF; and (iii) the remaining proceeds to fund our other research and development programs and general corporate purposes, including hiring additional personnel, capital expenditures and operating costs. See the section titled “Use of Proceeds” for additional information.</w:t>
      </w:r>
    </w:p>
    <w:p>
      <w:pPr>
        <w:spacing w:after="0" w:line="369" w:lineRule="exact"/>
        <w:rPr>
          <w:sz w:val="20"/>
          <w:szCs w:val="20"/>
          <w:color w:val="auto"/>
        </w:rPr>
      </w:pPr>
    </w:p>
    <w:p>
      <w:pPr>
        <w:ind w:right="1659"/>
        <w:spacing w:after="0" w:line="282" w:lineRule="auto"/>
        <w:rPr>
          <w:sz w:val="20"/>
          <w:szCs w:val="20"/>
          <w:color w:val="auto"/>
        </w:rPr>
      </w:pPr>
      <w:r>
        <w:rPr>
          <w:rFonts w:ascii="Arial" w:cs="Arial" w:eastAsia="Arial" w:hAnsi="Arial"/>
          <w:sz w:val="12"/>
          <w:szCs w:val="12"/>
          <w:color w:val="auto"/>
        </w:rPr>
        <w:t>You should read the section titled “Risk Factors” for a discussion of factors to consider carefully, together with all the other information included in this prospectus, before deciding to invest in our ADSs.</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JPMorgan Chase Bank, N.A.</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“GPCR”</w:t>
      </w:r>
    </w:p>
    <w:p>
      <w:pPr>
        <w:spacing w:after="0" w:line="249" w:lineRule="exact"/>
        <w:rPr>
          <w:sz w:val="20"/>
          <w:szCs w:val="20"/>
          <w:color w:val="auto"/>
        </w:rPr>
      </w:pPr>
    </w:p>
    <w:p>
      <w:pPr>
        <w:ind w:right="1579"/>
        <w:spacing w:after="0" w:line="272" w:lineRule="auto"/>
        <w:rPr>
          <w:sz w:val="20"/>
          <w:szCs w:val="20"/>
          <w:color w:val="auto"/>
        </w:rPr>
      </w:pPr>
      <w:r>
        <w:rPr>
          <w:rFonts w:ascii="Arial" w:cs="Arial" w:eastAsia="Arial" w:hAnsi="Arial"/>
          <w:sz w:val="12"/>
          <w:szCs w:val="12"/>
          <w:color w:val="auto"/>
        </w:rPr>
        <w:t>At our request, the underwriters have reserved up to 5% of the ADSs offered by this prospectus, excluding the additional ADSs that the underwriters have a 30-day option to purchase, for sale, at the initial public offering price, to certain of our directors, officers, employees, and other persons related to us. If purchased by our directors and officers, these ADSs will be subject to a 180-day lock-up restriction. The number of ADSs available for sale to the general public will be reduced to the extent these individuals purchase such reserved shares. Any reserved ADSs that are not so purchased will be offered by the underwriters to the general public on the same basis as the other shares offered by this prospectus. See the section titled “Underwriting—Directed Share Program” for additional information.</w:t>
      </w:r>
    </w:p>
    <w:p>
      <w:pPr>
        <w:spacing w:after="0" w:line="200" w:lineRule="exact"/>
        <w:rPr>
          <w:sz w:val="20"/>
          <w:szCs w:val="20"/>
          <w:color w:val="auto"/>
        </w:rPr>
      </w:pPr>
    </w:p>
    <w:p>
      <w:pPr>
        <w:sectPr>
          <w:pgSz w:w="11900" w:h="16838" w:orient="portrait"/>
          <w:cols w:equalWidth="0" w:num="2">
            <w:col w:w="3480" w:space="720"/>
            <w:col w:w="4819"/>
          </w:cols>
          <w:pgMar w:left="1440" w:top="109" w:right="1440" w:bottom="1440" w:gutter="0" w:footer="0" w:header="0"/>
          <w:type w:val="continuous"/>
        </w:sectPr>
      </w:pPr>
    </w:p>
    <w:p>
      <w:pPr>
        <w:spacing w:after="0" w:line="163" w:lineRule="exact"/>
        <w:rPr>
          <w:sz w:val="20"/>
          <w:szCs w:val="20"/>
          <w:color w:val="auto"/>
        </w:rPr>
      </w:pPr>
    </w:p>
    <w:p>
      <w:pPr>
        <w:ind w:left="1580" w:right="1579"/>
        <w:spacing w:after="0" w:line="282" w:lineRule="auto"/>
        <w:rPr>
          <w:sz w:val="20"/>
          <w:szCs w:val="20"/>
          <w:color w:val="auto"/>
        </w:rPr>
      </w:pPr>
      <w:r>
        <w:rPr>
          <w:rFonts w:ascii="Arial" w:cs="Arial" w:eastAsia="Arial" w:hAnsi="Arial"/>
          <w:sz w:val="12"/>
          <w:szCs w:val="12"/>
          <w:color w:val="auto"/>
        </w:rPr>
        <w:t>The number of ordinary shares to be outstanding after this offering is based on 77,544,741 ordinary shares outstanding as of September 30, 2022 (including 572,742 restricted ordinary shares that remained subject to repurchase rights as of such date, and assuming or after giving effect to the automatic conversion of all of our preferred shares outstanding), and excludes: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14" w:name="page15"/>
    <w:bookmarkEnd w:id="14"/>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10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54145" cy="571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0" w:right="1759" w:hanging="165"/>
        <w:spacing w:after="0" w:line="308" w:lineRule="auto"/>
        <w:tabs>
          <w:tab w:leader="none" w:pos="2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7,329,664 ordinary shares issuable upon the exercise of outstanding options as of September 30, 2022, with a weighted-average exercise price of  $1.55 per share;</w:t>
      </w:r>
    </w:p>
    <w:p>
      <w:pPr>
        <w:spacing w:after="0" w:line="3" w:lineRule="exact"/>
        <w:rPr>
          <w:rFonts w:ascii="Arial" w:cs="Arial" w:eastAsia="Arial" w:hAnsi="Arial"/>
          <w:sz w:val="12"/>
          <w:szCs w:val="12"/>
          <w:color w:val="auto"/>
        </w:rPr>
      </w:pPr>
    </w:p>
    <w:p>
      <w:pPr>
        <w:ind w:left="2000" w:right="1739" w:hanging="165"/>
        <w:spacing w:after="0" w:line="308" w:lineRule="auto"/>
        <w:tabs>
          <w:tab w:leader="none" w:pos="2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397,500 ordinary shares issuable upon the exercise of outstanding options granted subsequent to September 30, 2022, with a weighted-average exercise price of  $3.06 per share;</w:t>
      </w:r>
    </w:p>
    <w:p>
      <w:pPr>
        <w:spacing w:after="0" w:line="3" w:lineRule="exact"/>
        <w:rPr>
          <w:rFonts w:ascii="Arial" w:cs="Arial" w:eastAsia="Arial" w:hAnsi="Arial"/>
          <w:sz w:val="12"/>
          <w:szCs w:val="12"/>
          <w:color w:val="auto"/>
        </w:rPr>
      </w:pPr>
    </w:p>
    <w:p>
      <w:pPr>
        <w:ind w:left="2000" w:right="1799" w:hanging="165"/>
        <w:spacing w:after="0" w:line="308" w:lineRule="auto"/>
        <w:tabs>
          <w:tab w:leader="none" w:pos="2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112,279 ordinary shares issuable upon the exercise of outstanding warrants as of September 30, 2022, with a weighted-average exercise price of  $0.48 per share;</w:t>
      </w:r>
    </w:p>
    <w:p>
      <w:pPr>
        <w:spacing w:after="0" w:line="13" w:lineRule="exact"/>
        <w:rPr>
          <w:rFonts w:ascii="Arial" w:cs="Arial" w:eastAsia="Arial" w:hAnsi="Arial"/>
          <w:sz w:val="12"/>
          <w:szCs w:val="12"/>
          <w:color w:val="auto"/>
        </w:rPr>
      </w:pPr>
    </w:p>
    <w:p>
      <w:pPr>
        <w:ind w:left="2000" w:right="1679" w:hanging="165"/>
        <w:spacing w:after="0" w:line="276" w:lineRule="auto"/>
        <w:tabs>
          <w:tab w:leader="none" w:pos="2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13,259,933 ordinary shares reserved for future issuance under our 2023 Equity Incentive Plan, or 2023 Plan, as well as any automatic increases in the number of ordinary shares reserved for future issuance under the 2023 Plan, which became effective immediately prior to the execution of the underwriting agreement for this offering (including 1,259,933 ordinary shares reserved for issuance under our 2019 Equity Incentive Plan, or 2019 Plan, which shares have been added to the 2023 Plan); and</w:t>
      </w:r>
    </w:p>
    <w:p>
      <w:pPr>
        <w:spacing w:after="0" w:line="24" w:lineRule="exact"/>
        <w:rPr>
          <w:rFonts w:ascii="Arial" w:cs="Arial" w:eastAsia="Arial" w:hAnsi="Arial"/>
          <w:sz w:val="12"/>
          <w:szCs w:val="12"/>
          <w:color w:val="auto"/>
        </w:rPr>
      </w:pPr>
    </w:p>
    <w:p>
      <w:pPr>
        <w:ind w:left="2000" w:right="1699" w:hanging="165"/>
        <w:spacing w:after="0" w:line="282" w:lineRule="auto"/>
        <w:tabs>
          <w:tab w:leader="none" w:pos="2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1,000,000 ordinary shares reserved for future issuance under our 2023 Employee Share Purchase Plan, or ESPP, as well as any automatic increases in the number of ordinary shares reserved for future issuance under the ESPP, which became effective immediately prior to the execution of the underwriting agreement for this offering.</w:t>
      </w:r>
    </w:p>
    <w:p>
      <w:pPr>
        <w:spacing w:after="0" w:line="77" w:lineRule="exact"/>
        <w:rPr>
          <w:sz w:val="20"/>
          <w:szCs w:val="20"/>
          <w:color w:val="auto"/>
        </w:rPr>
      </w:pPr>
    </w:p>
    <w:p>
      <w:pPr>
        <w:ind w:left="1580" w:right="1779"/>
        <w:spacing w:after="0" w:line="308" w:lineRule="auto"/>
        <w:rPr>
          <w:sz w:val="20"/>
          <w:szCs w:val="20"/>
          <w:color w:val="auto"/>
        </w:rPr>
      </w:pPr>
      <w:r>
        <w:rPr>
          <w:rFonts w:ascii="Arial" w:cs="Arial" w:eastAsia="Arial" w:hAnsi="Arial"/>
          <w:sz w:val="12"/>
          <w:szCs w:val="12"/>
          <w:color w:val="auto"/>
        </w:rPr>
        <w:t>Unless otherwise indicated, all information contained in this prospectus, including the number of ordinary shares that will be outstanding after this offering, assumes or gives effect to:</w:t>
      </w:r>
    </w:p>
    <w:p>
      <w:pPr>
        <w:spacing w:after="0" w:line="4" w:lineRule="exact"/>
        <w:rPr>
          <w:sz w:val="20"/>
          <w:szCs w:val="20"/>
          <w:color w:val="auto"/>
        </w:rPr>
      </w:pPr>
    </w:p>
    <w:p>
      <w:pPr>
        <w:ind w:left="2000" w:right="1699" w:hanging="165"/>
        <w:spacing w:after="0" w:line="308" w:lineRule="auto"/>
        <w:tabs>
          <w:tab w:leader="none" w:pos="2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conversion of all outstanding preferred shares into an aggregate of 67,018,087 ordinary shares immediately upon the closing of this offering;</w:t>
      </w:r>
    </w:p>
    <w:p>
      <w:pPr>
        <w:spacing w:after="0" w:line="3" w:lineRule="exact"/>
        <w:rPr>
          <w:rFonts w:ascii="Arial" w:cs="Arial" w:eastAsia="Arial" w:hAnsi="Arial"/>
          <w:sz w:val="12"/>
          <w:szCs w:val="12"/>
          <w:color w:val="auto"/>
        </w:rPr>
      </w:pPr>
    </w:p>
    <w:p>
      <w:pPr>
        <w:ind w:left="2000" w:hanging="165"/>
        <w:spacing w:after="0"/>
        <w:tabs>
          <w:tab w:leader="none" w:pos="2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up to 1,611,000 additional ADSs;</w:t>
      </w:r>
    </w:p>
    <w:p>
      <w:pPr>
        <w:spacing w:after="0" w:line="74" w:lineRule="exact"/>
        <w:rPr>
          <w:rFonts w:ascii="Arial" w:cs="Arial" w:eastAsia="Arial" w:hAnsi="Arial"/>
          <w:sz w:val="12"/>
          <w:szCs w:val="12"/>
          <w:color w:val="auto"/>
        </w:rPr>
      </w:pPr>
    </w:p>
    <w:p>
      <w:pPr>
        <w:ind w:left="2000" w:hanging="165"/>
        <w:spacing w:after="0"/>
        <w:tabs>
          <w:tab w:leader="none" w:pos="2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no exercise of the outstanding options described above; and</w:t>
      </w:r>
    </w:p>
    <w:p>
      <w:pPr>
        <w:spacing w:after="0" w:line="65" w:lineRule="exact"/>
        <w:rPr>
          <w:rFonts w:ascii="Arial" w:cs="Arial" w:eastAsia="Arial" w:hAnsi="Arial"/>
          <w:sz w:val="12"/>
          <w:szCs w:val="12"/>
          <w:color w:val="auto"/>
        </w:rPr>
      </w:pPr>
    </w:p>
    <w:p>
      <w:pPr>
        <w:ind w:left="2000" w:right="1699" w:hanging="165"/>
        <w:spacing w:after="0" w:line="308" w:lineRule="auto"/>
        <w:tabs>
          <w:tab w:leader="none" w:pos="2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effectiveness of our amended and restated memorandum and articles of association, which will occur immediately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 w:name="page16"/>
    <w:bookmarkEnd w:id="15"/>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814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54145" cy="581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Summary Consolidated Financial Data</w:t>
      </w:r>
    </w:p>
    <w:p>
      <w:pPr>
        <w:spacing w:after="0" w:line="243" w:lineRule="exact"/>
        <w:rPr>
          <w:sz w:val="20"/>
          <w:szCs w:val="20"/>
          <w:color w:val="auto"/>
        </w:rPr>
      </w:pPr>
    </w:p>
    <w:p>
      <w:pPr>
        <w:ind w:left="1580" w:right="1599"/>
        <w:spacing w:after="0" w:line="271" w:lineRule="auto"/>
        <w:rPr>
          <w:sz w:val="20"/>
          <w:szCs w:val="20"/>
          <w:color w:val="auto"/>
        </w:rPr>
      </w:pPr>
      <w:r>
        <w:rPr>
          <w:rFonts w:ascii="Arial" w:cs="Arial" w:eastAsia="Arial" w:hAnsi="Arial"/>
          <w:sz w:val="12"/>
          <w:szCs w:val="12"/>
          <w:color w:val="auto"/>
        </w:rPr>
        <w:t>The following tables set forth a summary of our consolidated financial data as of, and for the periods ended on, the dates indicated. We have derived the summary consolidated statements of operations and comprehensive loss data for the years ended December 31, 2020 and 2021, from our audited consolidated financial statements included elsewhere in this prospectus. We have derived the summary condensed consolidated statements of operations and comprehensive loss data for the nine months ended September 30, 2021 and 2022, and the summary condensed consolidated balance sheet data as of September 30, 2022, from our unaudited condensed consolidated financial statements included elsewhere in this prospectus. Our consolidated financial statements and condensed consolidated financial statements appearing elsewhere in this prospectus have been prepared in accordance with U.S. generally accepted accounting principles, or GAAP. Our unaudited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results that should be expected in any future period. You should read the following summary consolidated financial data together with our consolidated financial statements and condensed consolidated financial statements and related notes included elsewhere in this prospectus and in the section titled “Management’s Discussion and Analysis of Financial Condition and Results of Operations.”</w:t>
      </w:r>
    </w:p>
    <w:p>
      <w:pPr>
        <w:spacing w:after="0" w:line="262" w:lineRule="exact"/>
        <w:rPr>
          <w:sz w:val="20"/>
          <w:szCs w:val="20"/>
          <w:color w:val="auto"/>
        </w:rPr>
      </w:pPr>
    </w:p>
    <w:tbl>
      <w:tblPr>
        <w:tblLayout w:type="fixed"/>
        <w:tblInd w:w="158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6"/>
          </w:tcPr>
          <w:p>
            <w:pPr>
              <w:jc w:val="center"/>
              <w:spacing w:after="0"/>
              <w:rPr>
                <w:sz w:val="20"/>
                <w:szCs w:val="20"/>
                <w:color w:val="auto"/>
              </w:rPr>
            </w:pPr>
            <w:r>
              <w:rPr>
                <w:rFonts w:ascii="Arial" w:cs="Arial" w:eastAsia="Arial" w:hAnsi="Arial"/>
                <w:sz w:val="10"/>
                <w:szCs w:val="10"/>
                <w:b w:val="1"/>
                <w:bCs w:val="1"/>
                <w:color w:val="auto"/>
              </w:rPr>
              <w:t>YEAR ENDED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6"/>
          </w:tcPr>
          <w:p>
            <w:pPr>
              <w:ind w:left="20"/>
              <w:spacing w:after="0"/>
              <w:rPr>
                <w:sz w:val="20"/>
                <w:szCs w:val="20"/>
                <w:color w:val="auto"/>
              </w:rPr>
            </w:pPr>
            <w:r>
              <w:rPr>
                <w:rFonts w:ascii="Arial" w:cs="Arial" w:eastAsia="Arial" w:hAnsi="Arial"/>
                <w:sz w:val="10"/>
                <w:szCs w:val="10"/>
                <w:b w:val="1"/>
                <w:bCs w:val="1"/>
                <w:color w:val="auto"/>
              </w:rPr>
              <w:t>NINE MONTHS ENDED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160" w:type="dxa"/>
            <w:vAlign w:val="bottom"/>
          </w:tcPr>
          <w:p>
            <w:pPr>
              <w:spacing w:after="0"/>
              <w:rPr>
                <w:sz w:val="13"/>
                <w:szCs w:val="13"/>
                <w:color w:val="auto"/>
              </w:rPr>
            </w:pPr>
          </w:p>
        </w:tc>
        <w:tc>
          <w:tcPr>
            <w:tcW w:w="1160" w:type="dxa"/>
            <w:vAlign w:val="bottom"/>
            <w:gridSpan w:val="6"/>
          </w:tcPr>
          <w:p>
            <w:pPr>
              <w:jc w:val="center"/>
              <w:ind w:left="3"/>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13"/>
                <w:szCs w:val="13"/>
                <w:color w:val="auto"/>
              </w:rPr>
            </w:pPr>
          </w:p>
        </w:tc>
        <w:tc>
          <w:tcPr>
            <w:tcW w:w="160" w:type="dxa"/>
            <w:vAlign w:val="bottom"/>
          </w:tcPr>
          <w:p>
            <w:pPr>
              <w:jc w:val="center"/>
              <w:spacing w:after="0"/>
              <w:rPr>
                <w:sz w:val="20"/>
                <w:szCs w:val="20"/>
                <w:color w:val="auto"/>
              </w:rPr>
            </w:pPr>
            <w:r>
              <w:rPr>
                <w:rFonts w:ascii="Arial" w:cs="Arial" w:eastAsia="Arial" w:hAnsi="Arial"/>
                <w:sz w:val="10"/>
                <w:szCs w:val="10"/>
                <w:b w:val="1"/>
                <w:bCs w:val="1"/>
                <w:color w:val="auto"/>
              </w:rPr>
              <w:t>​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6"/>
          </w:tcPr>
          <w:p>
            <w:pPr>
              <w:ind w:left="200"/>
              <w:spacing w:after="0"/>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1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13"/>
                <w:szCs w:val="13"/>
                <w:color w:val="auto"/>
              </w:rPr>
            </w:pPr>
          </w:p>
        </w:tc>
        <w:tc>
          <w:tcPr>
            <w:tcW w:w="160" w:type="dxa"/>
            <w:vAlign w:val="bottom"/>
          </w:tcPr>
          <w:p>
            <w:pPr>
              <w:jc w:val="center"/>
              <w:spacing w:after="0"/>
              <w:rPr>
                <w:sz w:val="20"/>
                <w:szCs w:val="20"/>
                <w:color w:val="auto"/>
              </w:rPr>
            </w:pPr>
            <w:r>
              <w:rPr>
                <w:rFonts w:ascii="Arial" w:cs="Arial" w:eastAsia="Arial" w:hAnsi="Arial"/>
                <w:sz w:val="10"/>
                <w:szCs w:val="10"/>
                <w:b w:val="1"/>
                <w:bCs w:val="1"/>
                <w:color w:val="auto"/>
              </w:rPr>
              <w:t>​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13"/>
                <w:szCs w:val="13"/>
                <w:color w:val="auto"/>
              </w:rPr>
            </w:pPr>
          </w:p>
        </w:tc>
        <w:tc>
          <w:tcPr>
            <w:tcW w:w="180" w:type="dxa"/>
            <w:vAlign w:val="bottom"/>
          </w:tcPr>
          <w:p>
            <w:pPr>
              <w:jc w:val="right"/>
              <w:ind w:right="4"/>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160" w:type="dxa"/>
            <w:vAlign w:val="bottom"/>
            <w:tcBorders>
              <w:top w:val="single" w:sz="8" w:color="auto"/>
            </w:tcBorders>
          </w:tcPr>
          <w:p>
            <w:pPr>
              <w:spacing w:after="0"/>
              <w:rPr>
                <w:sz w:val="10"/>
                <w:szCs w:val="10"/>
                <w:color w:val="auto"/>
              </w:rPr>
            </w:pPr>
          </w:p>
        </w:tc>
        <w:tc>
          <w:tcPr>
            <w:tcW w:w="2900" w:type="dxa"/>
            <w:vAlign w:val="bottom"/>
            <w:tcBorders>
              <w:top w:val="single" w:sz="8" w:color="auto"/>
            </w:tcBorders>
            <w:gridSpan w:val="16"/>
          </w:tcPr>
          <w:p>
            <w:pPr>
              <w:jc w:val="center"/>
              <w:spacing w:after="0"/>
              <w:rPr>
                <w:sz w:val="20"/>
                <w:szCs w:val="20"/>
                <w:color w:val="auto"/>
              </w:rPr>
            </w:pPr>
            <w:r>
              <w:rPr>
                <w:rFonts w:ascii="Arial" w:cs="Arial" w:eastAsia="Arial" w:hAnsi="Arial"/>
                <w:sz w:val="10"/>
                <w:szCs w:val="10"/>
                <w:b w:val="1"/>
                <w:bCs w:val="1"/>
                <w:color w:val="auto"/>
              </w:rPr>
              <w:t>(IN THOUSANDS, EXCEPT PER SHARE AMOUNTS)</w:t>
            </w: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0"/>
        </w:trPr>
        <w:tc>
          <w:tcPr>
            <w:tcW w:w="246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Statements of Operations and</w:t>
            </w: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200"/>
              <w:spacing w:after="0"/>
              <w:rPr>
                <w:sz w:val="20"/>
                <w:szCs w:val="20"/>
                <w:color w:val="auto"/>
              </w:rPr>
            </w:pPr>
            <w:r>
              <w:rPr>
                <w:rFonts w:ascii="Arial" w:cs="Arial" w:eastAsia="Arial" w:hAnsi="Arial"/>
                <w:sz w:val="12"/>
                <w:szCs w:val="12"/>
                <w:b w:val="1"/>
                <w:bCs w:val="1"/>
                <w:i w:val="1"/>
                <w:iCs w:val="1"/>
                <w:color w:val="auto"/>
              </w:rPr>
              <w:t>​</w:t>
            </w: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2"/>
                <w:szCs w:val="12"/>
                <w:b w:val="1"/>
                <w:bCs w:val="1"/>
                <w:i w:val="1"/>
                <w:iCs w:val="1"/>
                <w:color w:val="auto"/>
              </w:rPr>
              <w:t>​</w:t>
            </w:r>
          </w:p>
        </w:tc>
        <w:tc>
          <w:tcPr>
            <w:tcW w:w="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120"/>
              <w:spacing w:after="0"/>
              <w:rPr>
                <w:sz w:val="20"/>
                <w:szCs w:val="20"/>
                <w:color w:val="auto"/>
              </w:rPr>
            </w:pPr>
            <w:r>
              <w:rPr>
                <w:rFonts w:ascii="Arial" w:cs="Arial" w:eastAsia="Arial" w:hAnsi="Arial"/>
                <w:sz w:val="12"/>
                <w:szCs w:val="12"/>
                <w:b w:val="1"/>
                <w:bCs w:val="1"/>
                <w:i w:val="1"/>
                <w:iCs w:val="1"/>
                <w:color w:val="auto"/>
              </w:rPr>
              <w:t>Comprehensive Loss Data:</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 ​​ ​</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i w:val="1"/>
                <w:iCs w:val="1"/>
                <w:color w:val="auto"/>
              </w:rPr>
              <w:t>​​ ​​ ​</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20"/>
                <w:szCs w:val="20"/>
                <w:color w:val="auto"/>
              </w:rPr>
            </w:pPr>
            <w:r>
              <w:rPr>
                <w:rFonts w:ascii="Arial" w:cs="Arial" w:eastAsia="Arial" w:hAnsi="Arial"/>
                <w:sz w:val="12"/>
                <w:szCs w:val="12"/>
                <w:color w:val="auto"/>
              </w:rPr>
              <w:t>Operating expenses:</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12,364​​ ​​$</w:t>
            </w:r>
          </w:p>
        </w:tc>
        <w:tc>
          <w:tcPr>
            <w:tcW w:w="10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29,111​​ ​​$</w:t>
            </w:r>
          </w:p>
        </w:tc>
        <w:tc>
          <w:tcPr>
            <w:tcW w:w="6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19,204​​ ​​$</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27,833</w:t>
            </w:r>
          </w:p>
        </w:tc>
        <w:tc>
          <w:tcPr>
            <w:tcW w:w="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320" w:type="dxa"/>
            <w:vAlign w:val="bottom"/>
            <w:gridSpan w:val="2"/>
          </w:tcPr>
          <w:p>
            <w:pPr>
              <w:ind w:left="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860" w:type="dxa"/>
            <w:vAlign w:val="bottom"/>
            <w:gridSpan w:val="5"/>
          </w:tcPr>
          <w:p>
            <w:pPr>
              <w:jc w:val="right"/>
              <w:spacing w:after="0" w:line="193" w:lineRule="exact"/>
              <w:rPr>
                <w:sz w:val="20"/>
                <w:szCs w:val="20"/>
                <w:color w:val="auto"/>
              </w:rPr>
            </w:pPr>
            <w:r>
              <w:rPr>
                <w:rFonts w:ascii="Arial" w:cs="Arial" w:eastAsia="Arial" w:hAnsi="Arial"/>
                <w:sz w:val="12"/>
                <w:szCs w:val="12"/>
                <w:color w:val="auto"/>
              </w:rPr>
              <w:t>3,542</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820" w:type="dxa"/>
            <w:vAlign w:val="bottom"/>
            <w:gridSpan w:val="5"/>
          </w:tcPr>
          <w:p>
            <w:pPr>
              <w:jc w:val="right"/>
              <w:spacing w:after="0" w:line="193" w:lineRule="exact"/>
              <w:rPr>
                <w:sz w:val="20"/>
                <w:szCs w:val="20"/>
                <w:color w:val="auto"/>
              </w:rPr>
            </w:pPr>
            <w:r>
              <w:rPr>
                <w:rFonts w:ascii="Arial" w:cs="Arial" w:eastAsia="Arial" w:hAnsi="Arial"/>
                <w:sz w:val="12"/>
                <w:szCs w:val="12"/>
                <w:color w:val="auto"/>
              </w:rPr>
              <w:t>8,585</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880" w:type="dxa"/>
            <w:vAlign w:val="bottom"/>
            <w:gridSpan w:val="5"/>
          </w:tcPr>
          <w:p>
            <w:pPr>
              <w:jc w:val="right"/>
              <w:spacing w:after="0" w:line="193" w:lineRule="exact"/>
              <w:rPr>
                <w:sz w:val="20"/>
                <w:szCs w:val="20"/>
                <w:color w:val="auto"/>
              </w:rPr>
            </w:pPr>
            <w:r>
              <w:rPr>
                <w:rFonts w:ascii="Arial" w:cs="Arial" w:eastAsia="Arial" w:hAnsi="Arial"/>
                <w:sz w:val="12"/>
                <w:szCs w:val="12"/>
                <w:color w:val="auto"/>
              </w:rPr>
              <w:t>5,218</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580" w:type="dxa"/>
            <w:vAlign w:val="bottom"/>
            <w:gridSpan w:val="4"/>
          </w:tcPr>
          <w:p>
            <w:pPr>
              <w:jc w:val="right"/>
              <w:spacing w:after="0" w:line="193" w:lineRule="exact"/>
              <w:rPr>
                <w:sz w:val="20"/>
                <w:szCs w:val="20"/>
                <w:color w:val="auto"/>
              </w:rPr>
            </w:pPr>
            <w:r>
              <w:rPr>
                <w:rFonts w:ascii="Arial" w:cs="Arial" w:eastAsia="Arial" w:hAnsi="Arial"/>
                <w:sz w:val="12"/>
                <w:szCs w:val="12"/>
                <w:color w:val="auto"/>
              </w:rPr>
              <w:t>11,772</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operating expenses</w:t>
            </w:r>
          </w:p>
        </w:tc>
        <w:tc>
          <w:tcPr>
            <w:tcW w:w="320" w:type="dxa"/>
            <w:vAlign w:val="bottom"/>
            <w:gridSpan w:val="2"/>
            <w:shd w:val="clear" w:color="auto" w:fill="CCEEFF"/>
          </w:tcPr>
          <w:p>
            <w:pPr>
              <w:ind w:left="40"/>
              <w:spacing w:after="0" w:line="173"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0"/>
                <w:szCs w:val="20"/>
                <w:color w:val="auto"/>
                <w:vertAlign w:val="superscript"/>
              </w:rPr>
              <w:t>​</w:t>
            </w:r>
          </w:p>
        </w:tc>
        <w:tc>
          <w:tcPr>
            <w:tcW w:w="860" w:type="dxa"/>
            <w:vAlign w:val="bottom"/>
            <w:gridSpan w:val="5"/>
            <w:shd w:val="clear" w:color="auto" w:fill="CCEEFF"/>
          </w:tcPr>
          <w:p>
            <w:pPr>
              <w:jc w:val="right"/>
              <w:spacing w:after="0" w:line="173" w:lineRule="exact"/>
              <w:rPr>
                <w:sz w:val="20"/>
                <w:szCs w:val="20"/>
                <w:color w:val="auto"/>
              </w:rPr>
            </w:pPr>
            <w:r>
              <w:rPr>
                <w:rFonts w:ascii="Arial" w:cs="Arial" w:eastAsia="Arial" w:hAnsi="Arial"/>
                <w:sz w:val="11"/>
                <w:szCs w:val="11"/>
                <w:color w:val="auto"/>
              </w:rPr>
              <w:t>15,906</w:t>
            </w:r>
            <w:r>
              <w:rPr>
                <w:rFonts w:ascii="Arial" w:cs="Arial" w:eastAsia="Arial" w:hAnsi="Arial"/>
                <w:sz w:val="20"/>
                <w:szCs w:val="20"/>
                <w:color w:val="auto"/>
                <w:vertAlign w:val="subscript"/>
              </w:rPr>
              <w:t>​​ ​​</w:t>
            </w:r>
            <w:r>
              <w:rPr>
                <w:rFonts w:ascii="Arial" w:cs="Arial" w:eastAsia="Arial" w:hAnsi="Arial"/>
                <w:sz w:val="11"/>
                <w:szCs w:val="11"/>
                <w:color w:val="auto"/>
              </w:rPr>
              <w:t xml:space="preserve"> ​</w:t>
            </w:r>
          </w:p>
        </w:tc>
        <w:tc>
          <w:tcPr>
            <w:tcW w:w="820" w:type="dxa"/>
            <w:vAlign w:val="bottom"/>
            <w:gridSpan w:val="5"/>
            <w:shd w:val="clear" w:color="auto" w:fill="CCEEFF"/>
          </w:tcPr>
          <w:p>
            <w:pPr>
              <w:jc w:val="right"/>
              <w:spacing w:after="0" w:line="173" w:lineRule="exact"/>
              <w:rPr>
                <w:sz w:val="20"/>
                <w:szCs w:val="20"/>
                <w:color w:val="auto"/>
              </w:rPr>
            </w:pPr>
            <w:r>
              <w:rPr>
                <w:rFonts w:ascii="Arial" w:cs="Arial" w:eastAsia="Arial" w:hAnsi="Arial"/>
                <w:sz w:val="11"/>
                <w:szCs w:val="11"/>
                <w:color w:val="auto"/>
              </w:rPr>
              <w:t>37,696</w:t>
            </w:r>
            <w:r>
              <w:rPr>
                <w:rFonts w:ascii="Arial" w:cs="Arial" w:eastAsia="Arial" w:hAnsi="Arial"/>
                <w:sz w:val="20"/>
                <w:szCs w:val="20"/>
                <w:color w:val="auto"/>
                <w:vertAlign w:val="subscript"/>
              </w:rPr>
              <w:t>​​ ​​</w:t>
            </w:r>
            <w:r>
              <w:rPr>
                <w:rFonts w:ascii="Arial" w:cs="Arial" w:eastAsia="Arial" w:hAnsi="Arial"/>
                <w:sz w:val="11"/>
                <w:szCs w:val="11"/>
                <w:color w:val="auto"/>
              </w:rPr>
              <w:t xml:space="preserve"> ​</w:t>
            </w:r>
          </w:p>
        </w:tc>
        <w:tc>
          <w:tcPr>
            <w:tcW w:w="880" w:type="dxa"/>
            <w:vAlign w:val="bottom"/>
            <w:gridSpan w:val="5"/>
            <w:shd w:val="clear" w:color="auto" w:fill="CCEEFF"/>
          </w:tcPr>
          <w:p>
            <w:pPr>
              <w:jc w:val="right"/>
              <w:spacing w:after="0" w:line="173" w:lineRule="exact"/>
              <w:rPr>
                <w:sz w:val="20"/>
                <w:szCs w:val="20"/>
                <w:color w:val="auto"/>
              </w:rPr>
            </w:pPr>
            <w:r>
              <w:rPr>
                <w:rFonts w:ascii="Arial" w:cs="Arial" w:eastAsia="Arial" w:hAnsi="Arial"/>
                <w:sz w:val="11"/>
                <w:szCs w:val="11"/>
                <w:color w:val="auto"/>
              </w:rPr>
              <w:t>24,422</w:t>
            </w:r>
            <w:r>
              <w:rPr>
                <w:rFonts w:ascii="Arial" w:cs="Arial" w:eastAsia="Arial" w:hAnsi="Arial"/>
                <w:sz w:val="20"/>
                <w:szCs w:val="20"/>
                <w:color w:val="auto"/>
                <w:vertAlign w:val="subscript"/>
              </w:rPr>
              <w:t>​​ ​​</w:t>
            </w:r>
            <w:r>
              <w:rPr>
                <w:rFonts w:ascii="Arial" w:cs="Arial" w:eastAsia="Arial" w:hAnsi="Arial"/>
                <w:sz w:val="11"/>
                <w:szCs w:val="11"/>
                <w:color w:val="auto"/>
              </w:rPr>
              <w:t xml:space="preserve">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39,605</w:t>
            </w:r>
          </w:p>
        </w:tc>
        <w:tc>
          <w:tcPr>
            <w:tcW w:w="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60" w:type="dxa"/>
            <w:vAlign w:val="bottom"/>
          </w:tcPr>
          <w:p>
            <w:pPr>
              <w:spacing w:after="0"/>
              <w:rPr>
                <w:sz w:val="20"/>
                <w:szCs w:val="20"/>
                <w:color w:val="auto"/>
              </w:rPr>
            </w:pPr>
            <w:r>
              <w:rPr>
                <w:rFonts w:ascii="Arial" w:cs="Arial" w:eastAsia="Arial" w:hAnsi="Arial"/>
                <w:sz w:val="12"/>
                <w:szCs w:val="12"/>
                <w:color w:val="auto"/>
              </w:rPr>
              <w:t>Loss from operations</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(15,906​​) ​​ ​</w:t>
            </w:r>
          </w:p>
        </w:tc>
        <w:tc>
          <w:tcPr>
            <w:tcW w:w="820" w:type="dxa"/>
            <w:vAlign w:val="bottom"/>
            <w:gridSpan w:val="5"/>
          </w:tcPr>
          <w:p>
            <w:pPr>
              <w:jc w:val="right"/>
              <w:spacing w:after="0"/>
              <w:rPr>
                <w:sz w:val="20"/>
                <w:szCs w:val="20"/>
                <w:color w:val="auto"/>
              </w:rPr>
            </w:pPr>
            <w:r>
              <w:rPr>
                <w:rFonts w:ascii="Arial" w:cs="Arial" w:eastAsia="Arial" w:hAnsi="Arial"/>
                <w:sz w:val="12"/>
                <w:szCs w:val="12"/>
                <w:color w:val="auto"/>
              </w:rPr>
              <w:t>(37,696)​​ ​​ ​</w:t>
            </w:r>
          </w:p>
        </w:tc>
        <w:tc>
          <w:tcPr>
            <w:tcW w:w="880" w:type="dxa"/>
            <w:vAlign w:val="bottom"/>
            <w:gridSpan w:val="5"/>
          </w:tcPr>
          <w:p>
            <w:pPr>
              <w:jc w:val="right"/>
              <w:spacing w:after="0"/>
              <w:rPr>
                <w:sz w:val="20"/>
                <w:szCs w:val="20"/>
                <w:color w:val="auto"/>
              </w:rPr>
            </w:pPr>
            <w:r>
              <w:rPr>
                <w:rFonts w:ascii="Arial" w:cs="Arial" w:eastAsia="Arial" w:hAnsi="Arial"/>
                <w:sz w:val="12"/>
                <w:szCs w:val="12"/>
                <w:color w:val="auto"/>
              </w:rPr>
              <w:t>(24,422​​) ​​ ​</w:t>
            </w:r>
          </w:p>
        </w:tc>
        <w:tc>
          <w:tcPr>
            <w:tcW w:w="580" w:type="dxa"/>
            <w:vAlign w:val="bottom"/>
            <w:gridSpan w:val="4"/>
          </w:tcPr>
          <w:p>
            <w:pPr>
              <w:jc w:val="right"/>
              <w:spacing w:after="0"/>
              <w:rPr>
                <w:sz w:val="20"/>
                <w:szCs w:val="20"/>
                <w:color w:val="auto"/>
              </w:rPr>
            </w:pPr>
            <w:r>
              <w:rPr>
                <w:rFonts w:ascii="Arial" w:cs="Arial" w:eastAsia="Arial" w:hAnsi="Arial"/>
                <w:sz w:val="12"/>
                <w:szCs w:val="12"/>
                <w:color w:val="auto"/>
              </w:rPr>
              <w:t>(39,605)​</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Interest and other income (expense), net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168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CCEEFF"/>
            </w:tcBorders>
            <w:gridSpan w:val="3"/>
            <w:shd w:val="clear" w:color="auto" w:fill="CCEEFF"/>
          </w:tcPr>
          <w:p>
            <w:pPr>
              <w:jc w:val="right"/>
              <w:ind w:right="78"/>
              <w:spacing w:after="0" w:line="136" w:lineRule="exact"/>
              <w:rPr>
                <w:sz w:val="20"/>
                <w:szCs w:val="20"/>
                <w:color w:val="auto"/>
              </w:rPr>
            </w:pPr>
            <w:r>
              <w:rPr>
                <w:rFonts w:ascii="Arial" w:cs="Arial" w:eastAsia="Arial" w:hAnsi="Arial"/>
                <w:sz w:val="12"/>
                <w:szCs w:val="12"/>
                <w:color w:val="auto"/>
              </w:rPr>
              <w:t>(122)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tcBorders>
              <w:right w:val="single" w:sz="8" w:color="CCEEFF"/>
            </w:tcBorders>
            <w:gridSpan w:val="3"/>
            <w:shd w:val="clear" w:color="auto" w:fill="CCEEFF"/>
          </w:tcPr>
          <w:p>
            <w:pPr>
              <w:jc w:val="right"/>
              <w:ind w:right="104"/>
              <w:spacing w:after="0" w:line="136" w:lineRule="exact"/>
              <w:rPr>
                <w:sz w:val="20"/>
                <w:szCs w:val="20"/>
                <w:color w:val="auto"/>
              </w:rPr>
            </w:pPr>
            <w:r>
              <w:rPr>
                <w:rFonts w:ascii="Arial" w:cs="Arial" w:eastAsia="Arial" w:hAnsi="Arial"/>
                <w:sz w:val="12"/>
                <w:szCs w:val="12"/>
                <w:color w:val="auto"/>
              </w:rPr>
              <w:t>(121)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356</w:t>
            </w:r>
          </w:p>
        </w:tc>
        <w:tc>
          <w:tcPr>
            <w:tcW w:w="20" w:type="dxa"/>
            <w:vAlign w:val="bottom"/>
          </w:tcPr>
          <w:p>
            <w:pPr>
              <w:spacing w:after="0"/>
              <w:rPr>
                <w:sz w:val="11"/>
                <w:szCs w:val="1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58"/>
        </w:trPr>
        <w:tc>
          <w:tcPr>
            <w:tcW w:w="2460" w:type="dxa"/>
            <w:vAlign w:val="bottom"/>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line="58" w:lineRule="exact"/>
              <w:rPr>
                <w:sz w:val="20"/>
                <w:szCs w:val="20"/>
                <w:color w:val="auto"/>
              </w:rPr>
            </w:pPr>
            <w:r>
              <w:rPr>
                <w:rFonts w:ascii="Arial" w:cs="Arial" w:eastAsia="Arial" w:hAnsi="Arial"/>
                <w:sz w:val="6"/>
                <w:szCs w:val="6"/>
                <w:color w:val="auto"/>
              </w:rPr>
              <w:t>​​ ​​</w:t>
            </w: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ind w:right="9"/>
              <w:spacing w:after="0" w:line="58" w:lineRule="exact"/>
              <w:rPr>
                <w:sz w:val="20"/>
                <w:szCs w:val="20"/>
                <w:color w:val="auto"/>
              </w:rPr>
            </w:pPr>
            <w:r>
              <w:rPr>
                <w:rFonts w:ascii="Arial" w:cs="Arial" w:eastAsia="Arial" w:hAnsi="Arial"/>
                <w:sz w:val="6"/>
                <w:szCs w:val="6"/>
                <w:color w:val="auto"/>
              </w:rPr>
              <w:t>​​ ​​</w:t>
            </w: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60" w:type="dxa"/>
            <w:vAlign w:val="bottom"/>
          </w:tcPr>
          <w:p>
            <w:pPr>
              <w:spacing w:after="0"/>
              <w:rPr>
                <w:sz w:val="20"/>
                <w:szCs w:val="20"/>
                <w:color w:val="auto"/>
              </w:rPr>
            </w:pPr>
            <w:r>
              <w:rPr>
                <w:rFonts w:ascii="Arial" w:cs="Arial" w:eastAsia="Arial" w:hAnsi="Arial"/>
                <w:sz w:val="12"/>
                <w:szCs w:val="12"/>
                <w:color w:val="auto"/>
              </w:rPr>
              <w:t>Loss before income tax expense</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(15,738​​) ​​ ​</w:t>
            </w:r>
          </w:p>
        </w:tc>
        <w:tc>
          <w:tcPr>
            <w:tcW w:w="820" w:type="dxa"/>
            <w:vAlign w:val="bottom"/>
            <w:gridSpan w:val="5"/>
          </w:tcPr>
          <w:p>
            <w:pPr>
              <w:jc w:val="right"/>
              <w:spacing w:after="0"/>
              <w:rPr>
                <w:sz w:val="20"/>
                <w:szCs w:val="20"/>
                <w:color w:val="auto"/>
              </w:rPr>
            </w:pPr>
            <w:r>
              <w:rPr>
                <w:rFonts w:ascii="Arial" w:cs="Arial" w:eastAsia="Arial" w:hAnsi="Arial"/>
                <w:sz w:val="12"/>
                <w:szCs w:val="12"/>
                <w:color w:val="auto"/>
              </w:rPr>
              <w:t>(37,818)​​ ​​ ​</w:t>
            </w:r>
          </w:p>
        </w:tc>
        <w:tc>
          <w:tcPr>
            <w:tcW w:w="880" w:type="dxa"/>
            <w:vAlign w:val="bottom"/>
            <w:gridSpan w:val="5"/>
          </w:tcPr>
          <w:p>
            <w:pPr>
              <w:jc w:val="right"/>
              <w:spacing w:after="0"/>
              <w:rPr>
                <w:sz w:val="20"/>
                <w:szCs w:val="20"/>
                <w:color w:val="auto"/>
              </w:rPr>
            </w:pPr>
            <w:r>
              <w:rPr>
                <w:rFonts w:ascii="Arial" w:cs="Arial" w:eastAsia="Arial" w:hAnsi="Arial"/>
                <w:sz w:val="12"/>
                <w:szCs w:val="12"/>
                <w:color w:val="auto"/>
              </w:rPr>
              <w:t>(24,543​​) ​​ ​</w:t>
            </w:r>
          </w:p>
        </w:tc>
        <w:tc>
          <w:tcPr>
            <w:tcW w:w="580" w:type="dxa"/>
            <w:vAlign w:val="bottom"/>
            <w:gridSpan w:val="4"/>
          </w:tcPr>
          <w:p>
            <w:pPr>
              <w:jc w:val="right"/>
              <w:spacing w:after="0"/>
              <w:rPr>
                <w:sz w:val="20"/>
                <w:szCs w:val="20"/>
                <w:color w:val="auto"/>
              </w:rPr>
            </w:pPr>
            <w:r>
              <w:rPr>
                <w:rFonts w:ascii="Arial" w:cs="Arial" w:eastAsia="Arial" w:hAnsi="Arial"/>
                <w:sz w:val="12"/>
                <w:szCs w:val="12"/>
                <w:color w:val="auto"/>
              </w:rPr>
              <w:t>(39,249)​</w:t>
            </w: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32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6"/>
                <w:szCs w:val="16"/>
                <w:color w:val="auto"/>
              </w:rPr>
            </w:pPr>
          </w:p>
        </w:tc>
        <w:tc>
          <w:tcPr>
            <w:tcW w:w="540" w:type="dxa"/>
            <w:vAlign w:val="bottom"/>
            <w:gridSpan w:val="4"/>
            <w:shd w:val="clear" w:color="auto" w:fill="CCEEFF"/>
          </w:tcPr>
          <w:p>
            <w:pPr>
              <w:jc w:val="right"/>
              <w:spacing w:after="0" w:line="193" w:lineRule="exact"/>
              <w:rPr>
                <w:sz w:val="20"/>
                <w:szCs w:val="20"/>
                <w:color w:val="auto"/>
              </w:rPr>
            </w:pPr>
            <w:r>
              <w:rPr>
                <w:rFonts w:ascii="Arial" w:cs="Arial" w:eastAsia="Arial" w:hAnsi="Arial"/>
                <w:sz w:val="12"/>
                <w:szCs w:val="12"/>
                <w:color w:val="auto"/>
              </w:rPr>
              <w:t>138</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30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Arial" w:cs="Arial" w:eastAsia="Arial" w:hAnsi="Arial"/>
                <w:sz w:val="12"/>
                <w:szCs w:val="12"/>
                <w:color w:val="auto"/>
              </w:rPr>
              <w:t>231</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340" w:type="dxa"/>
            <w:vAlign w:val="bottom"/>
            <w:shd w:val="clear" w:color="auto" w:fill="CCEEFF"/>
          </w:tcPr>
          <w:p>
            <w:pPr>
              <w:spacing w:after="0"/>
              <w:rPr>
                <w:sz w:val="16"/>
                <w:szCs w:val="16"/>
                <w:color w:val="auto"/>
              </w:rPr>
            </w:pPr>
          </w:p>
        </w:tc>
        <w:tc>
          <w:tcPr>
            <w:tcW w:w="540" w:type="dxa"/>
            <w:vAlign w:val="bottom"/>
            <w:gridSpan w:val="4"/>
            <w:shd w:val="clear" w:color="auto" w:fill="CCEEFF"/>
          </w:tcPr>
          <w:p>
            <w:pPr>
              <w:jc w:val="right"/>
              <w:spacing w:after="0" w:line="193" w:lineRule="exact"/>
              <w:rPr>
                <w:sz w:val="20"/>
                <w:szCs w:val="20"/>
                <w:color w:val="auto"/>
              </w:rPr>
            </w:pPr>
            <w:r>
              <w:rPr>
                <w:rFonts w:ascii="Arial" w:cs="Arial" w:eastAsia="Arial" w:hAnsi="Arial"/>
                <w:sz w:val="12"/>
                <w:szCs w:val="12"/>
                <w:color w:val="auto"/>
              </w:rPr>
              <w:t>150</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197</w:t>
            </w:r>
          </w:p>
        </w:tc>
        <w:tc>
          <w:tcPr>
            <w:tcW w:w="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460" w:type="dxa"/>
            <w:vAlign w:val="bottom"/>
          </w:tcPr>
          <w:p>
            <w:pPr>
              <w:spacing w:after="0" w:line="125" w:lineRule="exact"/>
              <w:rPr>
                <w:sz w:val="20"/>
                <w:szCs w:val="20"/>
                <w:color w:val="auto"/>
              </w:rPr>
            </w:pPr>
            <w:r>
              <w:rPr>
                <w:rFonts w:ascii="Arial" w:cs="Arial" w:eastAsia="Arial" w:hAnsi="Arial"/>
                <w:sz w:val="12"/>
                <w:szCs w:val="12"/>
                <w:color w:val="auto"/>
              </w:rPr>
              <w:t>Net loss</w:t>
            </w:r>
          </w:p>
        </w:tc>
        <w:tc>
          <w:tcPr>
            <w:tcW w:w="160" w:type="dxa"/>
            <w:vAlign w:val="bottom"/>
          </w:tcPr>
          <w:p>
            <w:pPr>
              <w:spacing w:after="0"/>
              <w:rPr>
                <w:sz w:val="10"/>
                <w:szCs w:val="10"/>
                <w:color w:val="auto"/>
              </w:rPr>
            </w:pPr>
          </w:p>
        </w:tc>
        <w:tc>
          <w:tcPr>
            <w:tcW w:w="840" w:type="dxa"/>
            <w:vAlign w:val="bottom"/>
            <w:gridSpan w:val="4"/>
          </w:tcPr>
          <w:p>
            <w:pPr>
              <w:jc w:val="right"/>
              <w:ind w:right="54"/>
              <w:spacing w:after="0" w:line="125" w:lineRule="exact"/>
              <w:rPr>
                <w:sz w:val="20"/>
                <w:szCs w:val="20"/>
                <w:color w:val="auto"/>
              </w:rPr>
            </w:pPr>
            <w:r>
              <w:rPr>
                <w:rFonts w:ascii="Arial" w:cs="Arial" w:eastAsia="Arial" w:hAnsi="Arial"/>
                <w:sz w:val="12"/>
                <w:szCs w:val="12"/>
                <w:color w:val="auto"/>
              </w:rPr>
              <w:t>$      (15,876)</w:t>
            </w:r>
          </w:p>
        </w:tc>
        <w:tc>
          <w:tcPr>
            <w:tcW w:w="8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0"/>
                <w:szCs w:val="10"/>
                <w:color w:val="auto"/>
              </w:rPr>
            </w:pPr>
          </w:p>
        </w:tc>
        <w:tc>
          <w:tcPr>
            <w:tcW w:w="680" w:type="dxa"/>
            <w:vAlign w:val="bottom"/>
            <w:gridSpan w:val="3"/>
          </w:tcPr>
          <w:p>
            <w:pPr>
              <w:jc w:val="right"/>
              <w:ind w:right="78"/>
              <w:spacing w:after="0" w:line="125" w:lineRule="exact"/>
              <w:rPr>
                <w:sz w:val="20"/>
                <w:szCs w:val="20"/>
                <w:color w:val="auto"/>
              </w:rPr>
            </w:pPr>
            <w:r>
              <w:rPr>
                <w:rFonts w:ascii="Arial" w:cs="Arial" w:eastAsia="Arial" w:hAnsi="Arial"/>
                <w:sz w:val="12"/>
                <w:szCs w:val="12"/>
                <w:color w:val="auto"/>
              </w:rPr>
              <w:t>(38,049)</w:t>
            </w:r>
          </w:p>
        </w:tc>
        <w:tc>
          <w:tcPr>
            <w:tcW w:w="880" w:type="dxa"/>
            <w:vAlign w:val="bottom"/>
            <w:gridSpan w:val="5"/>
          </w:tcPr>
          <w:p>
            <w:pPr>
              <w:jc w:val="right"/>
              <w:ind w:right="104"/>
              <w:spacing w:after="0" w:line="125" w:lineRule="exact"/>
              <w:rPr>
                <w:sz w:val="20"/>
                <w:szCs w:val="20"/>
                <w:color w:val="auto"/>
              </w:rPr>
            </w:pPr>
            <w:r>
              <w:rPr>
                <w:rFonts w:ascii="Arial" w:cs="Arial" w:eastAsia="Arial" w:hAnsi="Arial"/>
                <w:sz w:val="12"/>
                <w:szCs w:val="12"/>
                <w:color w:val="auto"/>
              </w:rPr>
              <w:t>$      (24,693)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0"/>
                <w:szCs w:val="10"/>
                <w:color w:val="auto"/>
              </w:rPr>
            </w:pPr>
          </w:p>
        </w:tc>
        <w:tc>
          <w:tcPr>
            <w:tcW w:w="580" w:type="dxa"/>
            <w:vAlign w:val="bottom"/>
            <w:gridSpan w:val="4"/>
          </w:tcPr>
          <w:p>
            <w:pPr>
              <w:jc w:val="right"/>
              <w:spacing w:after="0" w:line="125" w:lineRule="exact"/>
              <w:rPr>
                <w:sz w:val="20"/>
                <w:szCs w:val="20"/>
                <w:color w:val="auto"/>
              </w:rPr>
            </w:pPr>
            <w:r>
              <w:rPr>
                <w:rFonts w:ascii="Arial" w:cs="Arial" w:eastAsia="Arial" w:hAnsi="Arial"/>
                <w:sz w:val="12"/>
                <w:szCs w:val="12"/>
                <w:color w:val="auto"/>
              </w:rPr>
              <w:t>(39,446)</w:t>
            </w: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160" w:type="dxa"/>
            <w:vAlign w:val="bottom"/>
          </w:tcPr>
          <w:p>
            <w:pPr>
              <w:ind w:left="40"/>
              <w:spacing w:after="0" w:line="49" w:lineRule="exact"/>
              <w:rPr>
                <w:sz w:val="20"/>
                <w:szCs w:val="20"/>
                <w:color w:val="auto"/>
              </w:rPr>
            </w:pPr>
            <w:r>
              <w:rPr>
                <w:rFonts w:ascii="Arial" w:cs="Arial" w:eastAsia="Arial" w:hAnsi="Arial"/>
                <w:sz w:val="5"/>
                <w:szCs w:val="5"/>
                <w:color w:val="auto"/>
              </w:rPr>
              <w:t>​ ​​</w:t>
            </w: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gridSpan w:val="2"/>
          </w:tcPr>
          <w:p>
            <w:pPr>
              <w:jc w:val="right"/>
              <w:spacing w:after="0" w:line="49" w:lineRule="exact"/>
              <w:rPr>
                <w:sz w:val="20"/>
                <w:szCs w:val="20"/>
                <w:color w:val="auto"/>
              </w:rPr>
            </w:pPr>
            <w:r>
              <w:rPr>
                <w:rFonts w:ascii="Arial" w:cs="Arial" w:eastAsia="Arial" w:hAnsi="Arial"/>
                <w:sz w:val="5"/>
                <w:szCs w:val="5"/>
                <w:color w:val="auto"/>
              </w:rPr>
              <w:t>​​ ​​</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gridSpan w:val="2"/>
          </w:tcPr>
          <w:p>
            <w:pPr>
              <w:spacing w:after="0" w:line="49" w:lineRule="exact"/>
              <w:rPr>
                <w:sz w:val="20"/>
                <w:szCs w:val="20"/>
                <w:color w:val="auto"/>
              </w:rPr>
            </w:pPr>
            <w:r>
              <w:rPr>
                <w:rFonts w:ascii="Arial" w:cs="Arial" w:eastAsia="Arial" w:hAnsi="Arial"/>
                <w:sz w:val="5"/>
                <w:szCs w:val="5"/>
                <w:color w:val="auto"/>
              </w:rPr>
              <w:t>​​ ​​</w:t>
            </w: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gridSpan w:val="2"/>
          </w:tcPr>
          <w:p>
            <w:pPr>
              <w:jc w:val="right"/>
              <w:ind w:right="9"/>
              <w:spacing w:after="0" w:line="49" w:lineRule="exact"/>
              <w:rPr>
                <w:sz w:val="20"/>
                <w:szCs w:val="20"/>
                <w:color w:val="auto"/>
              </w:rPr>
            </w:pPr>
            <w:r>
              <w:rPr>
                <w:rFonts w:ascii="Arial" w:cs="Arial" w:eastAsia="Arial" w:hAnsi="Arial"/>
                <w:sz w:val="5"/>
                <w:szCs w:val="5"/>
                <w:color w:val="auto"/>
              </w:rPr>
              <w:t>​​ ​​</w:t>
            </w: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39"/>
        </w:trPr>
        <w:tc>
          <w:tcPr>
            <w:tcW w:w="24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Net loss per share attributable to ordinary</w:t>
            </w: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auto"/>
            </w:tcBorders>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6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vMerge w:val="restart"/>
            <w:shd w:val="clear" w:color="auto" w:fill="CCEEFF"/>
          </w:tcPr>
          <w:p>
            <w:pPr>
              <w:spacing w:after="0"/>
              <w:rPr>
                <w:sz w:val="11"/>
                <w:szCs w:val="11"/>
                <w:color w:val="auto"/>
              </w:rPr>
            </w:pPr>
          </w:p>
        </w:tc>
        <w:tc>
          <w:tcPr>
            <w:tcW w:w="160" w:type="dxa"/>
            <w:vAlign w:val="bottom"/>
            <w:tcBorders>
              <w:lef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680" w:type="dxa"/>
            <w:vAlign w:val="bottom"/>
            <w:gridSpan w:val="3"/>
            <w:vMerge w:val="restart"/>
            <w:shd w:val="clear" w:color="auto" w:fill="CCEEFF"/>
          </w:tcPr>
          <w:p>
            <w:pPr>
              <w:jc w:val="right"/>
              <w:ind w:right="54"/>
              <w:spacing w:after="0"/>
              <w:rPr>
                <w:sz w:val="20"/>
                <w:szCs w:val="20"/>
                <w:color w:val="auto"/>
              </w:rPr>
            </w:pPr>
            <w:r>
              <w:rPr>
                <w:rFonts w:ascii="Arial" w:cs="Arial" w:eastAsia="Arial" w:hAnsi="Arial"/>
                <w:sz w:val="12"/>
                <w:szCs w:val="12"/>
                <w:color w:val="auto"/>
              </w:rPr>
              <w:t>(2.56)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3"/>
            <w:vMerge w:val="restart"/>
            <w:shd w:val="clear" w:color="auto" w:fill="CCEEFF"/>
          </w:tcPr>
          <w:p>
            <w:pPr>
              <w:jc w:val="right"/>
              <w:ind w:right="78"/>
              <w:spacing w:after="0"/>
              <w:rPr>
                <w:sz w:val="20"/>
                <w:szCs w:val="20"/>
                <w:color w:val="auto"/>
              </w:rPr>
            </w:pPr>
            <w:r>
              <w:rPr>
                <w:rFonts w:ascii="Arial" w:cs="Arial" w:eastAsia="Arial" w:hAnsi="Arial"/>
                <w:sz w:val="12"/>
                <w:szCs w:val="12"/>
                <w:color w:val="auto"/>
              </w:rPr>
              <w:t>(5.38)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3"/>
            <w:vMerge w:val="restart"/>
            <w:shd w:val="clear" w:color="auto" w:fill="CCEEFF"/>
          </w:tcPr>
          <w:p>
            <w:pPr>
              <w:jc w:val="right"/>
              <w:ind w:right="104"/>
              <w:spacing w:after="0"/>
              <w:rPr>
                <w:sz w:val="20"/>
                <w:szCs w:val="20"/>
                <w:color w:val="auto"/>
              </w:rPr>
            </w:pPr>
            <w:r>
              <w:rPr>
                <w:rFonts w:ascii="Arial" w:cs="Arial" w:eastAsia="Arial" w:hAnsi="Arial"/>
                <w:sz w:val="12"/>
                <w:szCs w:val="12"/>
                <w:color w:val="auto"/>
              </w:rPr>
              <w:t>(3.56)</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(4.34)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46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shareholders, basic and diluted</w:t>
            </w:r>
          </w:p>
        </w:tc>
        <w:tc>
          <w:tcPr>
            <w:tcW w:w="160" w:type="dxa"/>
            <w:vAlign w:val="bottom"/>
            <w:tcBorders>
              <w:right w:val="single" w:sz="8" w:color="CCEEFF"/>
            </w:tcBorders>
            <w:vMerge w:val="continue"/>
            <w:shd w:val="clear" w:color="auto" w:fill="CCEEFF"/>
          </w:tcPr>
          <w:p>
            <w:pPr>
              <w:spacing w:after="0"/>
              <w:rPr>
                <w:sz w:val="9"/>
                <w:szCs w:val="9"/>
                <w:color w:val="auto"/>
              </w:rPr>
            </w:pPr>
          </w:p>
        </w:tc>
        <w:tc>
          <w:tcPr>
            <w:tcW w:w="160" w:type="dxa"/>
            <w:vAlign w:val="bottom"/>
            <w:tcBorders>
              <w:left w:val="single" w:sz="8" w:color="CCEEFF"/>
            </w:tcBorders>
            <w:vMerge w:val="continue"/>
            <w:shd w:val="clear" w:color="auto" w:fill="CCEEFF"/>
          </w:tcPr>
          <w:p>
            <w:pPr>
              <w:spacing w:after="0"/>
              <w:rPr>
                <w:sz w:val="9"/>
                <w:szCs w:val="9"/>
                <w:color w:val="auto"/>
              </w:rPr>
            </w:pPr>
          </w:p>
        </w:tc>
        <w:tc>
          <w:tcPr>
            <w:tcW w:w="680" w:type="dxa"/>
            <w:vAlign w:val="bottom"/>
            <w:gridSpan w:val="3"/>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tcBorders>
              <w:right w:val="single" w:sz="8" w:color="CCEEFF"/>
            </w:tcBorders>
            <w:gridSpan w:val="3"/>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tcBorders>
              <w:right w:val="single" w:sz="8" w:color="CCEEFF"/>
            </w:tcBorders>
            <w:gridSpan w:val="3"/>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6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ind w:left="40"/>
              <w:spacing w:after="0" w:line="49" w:lineRule="exact"/>
              <w:rPr>
                <w:sz w:val="20"/>
                <w:szCs w:val="20"/>
                <w:color w:val="auto"/>
              </w:rPr>
            </w:pPr>
            <w:r>
              <w:rPr>
                <w:rFonts w:ascii="Arial" w:cs="Arial" w:eastAsia="Arial" w:hAnsi="Arial"/>
                <w:sz w:val="5"/>
                <w:szCs w:val="5"/>
                <w:color w:val="auto"/>
              </w:rPr>
              <w:t>​ ​​</w:t>
            </w:r>
          </w:p>
        </w:tc>
        <w:tc>
          <w:tcPr>
            <w:tcW w:w="160" w:type="dxa"/>
            <w:vAlign w:val="bottom"/>
            <w:tcBorders>
              <w:left w:val="single" w:sz="8" w:color="CCEEFF"/>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w:t>
            </w: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line="49" w:lineRule="exact"/>
              <w:rPr>
                <w:sz w:val="20"/>
                <w:szCs w:val="20"/>
                <w:color w:val="auto"/>
              </w:rPr>
            </w:pPr>
            <w:r>
              <w:rPr>
                <w:rFonts w:ascii="Arial" w:cs="Arial" w:eastAsia="Arial" w:hAnsi="Arial"/>
                <w:sz w:val="5"/>
                <w:szCs w:val="5"/>
                <w:color w:val="auto"/>
              </w:rPr>
              <w:t>​​ ​​</w:t>
            </w: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ind w:right="9"/>
              <w:spacing w:after="0" w:line="49" w:lineRule="exact"/>
              <w:rPr>
                <w:sz w:val="20"/>
                <w:szCs w:val="20"/>
                <w:color w:val="auto"/>
              </w:rPr>
            </w:pPr>
            <w:r>
              <w:rPr>
                <w:rFonts w:ascii="Arial" w:cs="Arial" w:eastAsia="Arial" w:hAnsi="Arial"/>
                <w:sz w:val="5"/>
                <w:szCs w:val="5"/>
                <w:color w:val="auto"/>
              </w:rPr>
              <w:t>​​ ​​</w:t>
            </w: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7"/>
        </w:trPr>
        <w:tc>
          <w:tcPr>
            <w:tcW w:w="2460" w:type="dxa"/>
            <w:vAlign w:val="bottom"/>
            <w:tcBorders>
              <w:top w:val="single" w:sz="8" w:color="CCEEFF"/>
            </w:tcBorders>
          </w:tcPr>
          <w:p>
            <w:pPr>
              <w:spacing w:after="0" w:line="128" w:lineRule="exact"/>
              <w:rPr>
                <w:sz w:val="20"/>
                <w:szCs w:val="20"/>
                <w:color w:val="auto"/>
              </w:rPr>
            </w:pPr>
            <w:r>
              <w:rPr>
                <w:rFonts w:ascii="Arial" w:cs="Arial" w:eastAsia="Arial" w:hAnsi="Arial"/>
                <w:sz w:val="12"/>
                <w:szCs w:val="12"/>
                <w:color w:val="auto"/>
              </w:rPr>
              <w:t>Weighted-average shares used in computing</w:t>
            </w:r>
          </w:p>
        </w:tc>
        <w:tc>
          <w:tcPr>
            <w:tcW w:w="16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120"/>
              <w:spacing w:after="0"/>
              <w:rPr>
                <w:sz w:val="20"/>
                <w:szCs w:val="20"/>
                <w:color w:val="auto"/>
              </w:rPr>
            </w:pPr>
            <w:r>
              <w:rPr>
                <w:rFonts w:ascii="Arial" w:cs="Arial" w:eastAsia="Arial" w:hAnsi="Arial"/>
                <w:sz w:val="12"/>
                <w:szCs w:val="12"/>
                <w:color w:val="auto"/>
              </w:rPr>
              <w:t>net loss per share attributable to ordinary</w:t>
            </w:r>
          </w:p>
        </w:tc>
        <w:tc>
          <w:tcPr>
            <w:tcW w:w="320" w:type="dxa"/>
            <w:vAlign w:val="bottom"/>
            <w:gridSpan w:val="2"/>
            <w:vMerge w:val="restart"/>
          </w:tcPr>
          <w:p>
            <w:pPr>
              <w:ind w:left="40"/>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860" w:type="dxa"/>
            <w:vAlign w:val="bottom"/>
            <w:gridSpan w:val="5"/>
            <w:vMerge w:val="restart"/>
          </w:tcPr>
          <w:p>
            <w:pPr>
              <w:jc w:val="right"/>
              <w:spacing w:after="0"/>
              <w:rPr>
                <w:sz w:val="20"/>
                <w:szCs w:val="20"/>
                <w:color w:val="auto"/>
              </w:rPr>
            </w:pPr>
            <w:r>
              <w:rPr>
                <w:rFonts w:ascii="Arial" w:cs="Arial" w:eastAsia="Arial" w:hAnsi="Arial"/>
                <w:sz w:val="12"/>
                <w:szCs w:val="12"/>
                <w:color w:val="auto"/>
              </w:rPr>
              <w:t>6,262</w:t>
            </w:r>
            <w:r>
              <w:rPr>
                <w:rFonts w:ascii="Arial" w:cs="Arial" w:eastAsia="Arial" w:hAnsi="Arial"/>
                <w:sz w:val="24"/>
                <w:szCs w:val="24"/>
                <w:color w:val="auto"/>
                <w:vertAlign w:val="subscript"/>
              </w:rPr>
              <w:t>​​ ​​</w:t>
            </w:r>
            <w:r>
              <w:rPr>
                <w:rFonts w:ascii="Arial" w:cs="Arial" w:eastAsia="Arial" w:hAnsi="Arial"/>
                <w:sz w:val="12"/>
                <w:szCs w:val="12"/>
                <w:color w:val="auto"/>
              </w:rPr>
              <w:t xml:space="preserve"> ​</w:t>
            </w:r>
          </w:p>
        </w:tc>
        <w:tc>
          <w:tcPr>
            <w:tcW w:w="820" w:type="dxa"/>
            <w:vAlign w:val="bottom"/>
            <w:gridSpan w:val="5"/>
            <w:vMerge w:val="restart"/>
          </w:tcPr>
          <w:p>
            <w:pPr>
              <w:jc w:val="right"/>
              <w:spacing w:after="0"/>
              <w:rPr>
                <w:sz w:val="20"/>
                <w:szCs w:val="20"/>
                <w:color w:val="auto"/>
              </w:rPr>
            </w:pPr>
            <w:r>
              <w:rPr>
                <w:rFonts w:ascii="Arial" w:cs="Arial" w:eastAsia="Arial" w:hAnsi="Arial"/>
                <w:sz w:val="12"/>
                <w:szCs w:val="12"/>
                <w:color w:val="auto"/>
              </w:rPr>
              <w:t>8,141</w:t>
            </w:r>
            <w:r>
              <w:rPr>
                <w:rFonts w:ascii="Arial" w:cs="Arial" w:eastAsia="Arial" w:hAnsi="Arial"/>
                <w:sz w:val="24"/>
                <w:szCs w:val="24"/>
                <w:color w:val="auto"/>
                <w:vertAlign w:val="subscript"/>
              </w:rPr>
              <w:t>​​ ​​</w:t>
            </w:r>
            <w:r>
              <w:rPr>
                <w:rFonts w:ascii="Arial" w:cs="Arial" w:eastAsia="Arial" w:hAnsi="Arial"/>
                <w:sz w:val="12"/>
                <w:szCs w:val="12"/>
                <w:color w:val="auto"/>
              </w:rPr>
              <w:t xml:space="preserve"> ​</w:t>
            </w:r>
          </w:p>
        </w:tc>
        <w:tc>
          <w:tcPr>
            <w:tcW w:w="880" w:type="dxa"/>
            <w:vAlign w:val="bottom"/>
            <w:gridSpan w:val="5"/>
            <w:vMerge w:val="restart"/>
          </w:tcPr>
          <w:p>
            <w:pPr>
              <w:jc w:val="right"/>
              <w:spacing w:after="0"/>
              <w:rPr>
                <w:sz w:val="20"/>
                <w:szCs w:val="20"/>
                <w:color w:val="auto"/>
              </w:rPr>
            </w:pPr>
            <w:r>
              <w:rPr>
                <w:rFonts w:ascii="Arial" w:cs="Arial" w:eastAsia="Arial" w:hAnsi="Arial"/>
                <w:sz w:val="12"/>
                <w:szCs w:val="12"/>
                <w:color w:val="auto"/>
              </w:rPr>
              <w:t>7,955</w:t>
            </w:r>
            <w:r>
              <w:rPr>
                <w:rFonts w:ascii="Arial" w:cs="Arial" w:eastAsia="Arial" w:hAnsi="Arial"/>
                <w:sz w:val="24"/>
                <w:szCs w:val="24"/>
                <w:color w:val="auto"/>
                <w:vertAlign w:val="subscript"/>
              </w:rPr>
              <w:t>​​ ​​</w:t>
            </w:r>
            <w:r>
              <w:rPr>
                <w:rFonts w:ascii="Arial" w:cs="Arial" w:eastAsia="Arial" w:hAnsi="Arial"/>
                <w:sz w:val="12"/>
                <w:szCs w:val="12"/>
                <w:color w:val="auto"/>
              </w:rPr>
              <w:t xml:space="preserve"> ​</w:t>
            </w:r>
          </w:p>
        </w:tc>
        <w:tc>
          <w:tcPr>
            <w:tcW w:w="580" w:type="dxa"/>
            <w:vAlign w:val="bottom"/>
            <w:gridSpan w:val="4"/>
            <w:vMerge w:val="restart"/>
          </w:tcPr>
          <w:p>
            <w:pPr>
              <w:jc w:val="right"/>
              <w:spacing w:after="0"/>
              <w:rPr>
                <w:sz w:val="20"/>
                <w:szCs w:val="20"/>
                <w:color w:val="auto"/>
              </w:rPr>
            </w:pPr>
            <w:r>
              <w:rPr>
                <w:rFonts w:ascii="Arial" w:cs="Arial" w:eastAsia="Arial" w:hAnsi="Arial"/>
                <w:sz w:val="12"/>
                <w:szCs w:val="12"/>
                <w:color w:val="auto"/>
              </w:rPr>
              <w:t>9,428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80"/>
        </w:trPr>
        <w:tc>
          <w:tcPr>
            <w:tcW w:w="2460" w:type="dxa"/>
            <w:vAlign w:val="bottom"/>
          </w:tcPr>
          <w:p>
            <w:pPr>
              <w:ind w:left="120"/>
              <w:spacing w:after="0"/>
              <w:rPr>
                <w:sz w:val="20"/>
                <w:szCs w:val="20"/>
                <w:color w:val="auto"/>
              </w:rPr>
            </w:pPr>
            <w:r>
              <w:rPr>
                <w:rFonts w:ascii="Arial" w:cs="Arial" w:eastAsia="Arial" w:hAnsi="Arial"/>
                <w:sz w:val="12"/>
                <w:szCs w:val="12"/>
                <w:color w:val="auto"/>
              </w:rPr>
              <w:t>shareholders, basic and diluted</w:t>
            </w:r>
          </w:p>
        </w:tc>
        <w:tc>
          <w:tcPr>
            <w:tcW w:w="320" w:type="dxa"/>
            <w:vAlign w:val="bottom"/>
            <w:gridSpan w:val="2"/>
            <w:vMerge w:val="continue"/>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820" w:type="dxa"/>
            <w:vAlign w:val="bottom"/>
            <w:gridSpan w:val="5"/>
            <w:vMerge w:val="continue"/>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Pro forma net loss per share attributable to</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lef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ordinary shareholders, basic and</w:t>
            </w: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6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diluted</w:t>
            </w:r>
            <w:r>
              <w:rPr>
                <w:rFonts w:ascii="Arial" w:cs="Arial" w:eastAsia="Arial" w:hAnsi="Arial"/>
                <w:sz w:val="15"/>
                <w:szCs w:val="15"/>
                <w:color w:val="auto"/>
                <w:vertAlign w:val="superscript"/>
              </w:rPr>
              <w:t>(1)</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3"/>
            <w:shd w:val="clear" w:color="auto" w:fill="CCEEFF"/>
          </w:tcPr>
          <w:p>
            <w:pPr>
              <w:jc w:val="right"/>
              <w:ind w:right="78"/>
              <w:spacing w:after="0" w:line="134" w:lineRule="exact"/>
              <w:rPr>
                <w:sz w:val="20"/>
                <w:szCs w:val="20"/>
                <w:color w:val="auto"/>
              </w:rPr>
            </w:pPr>
            <w:r>
              <w:rPr>
                <w:rFonts w:ascii="Arial" w:cs="Arial" w:eastAsia="Arial" w:hAnsi="Arial"/>
                <w:sz w:val="12"/>
                <w:szCs w:val="12"/>
                <w:color w:val="auto"/>
              </w:rPr>
              <w:t>(0.53)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(0.52)</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6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 ​​</w:t>
            </w: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00" w:type="dxa"/>
            <w:vAlign w:val="bottom"/>
            <w:gridSpan w:val="3"/>
            <w:shd w:val="clear" w:color="auto" w:fill="CCEEFF"/>
          </w:tcPr>
          <w:p>
            <w:pPr>
              <w:jc w:val="right"/>
              <w:spacing w:after="0" w:line="49" w:lineRule="exact"/>
              <w:rPr>
                <w:sz w:val="20"/>
                <w:szCs w:val="20"/>
                <w:color w:val="auto"/>
              </w:rPr>
            </w:pPr>
            <w:r>
              <w:rPr>
                <w:rFonts w:ascii="Arial" w:cs="Arial" w:eastAsia="Arial" w:hAnsi="Arial"/>
                <w:sz w:val="5"/>
                <w:szCs w:val="5"/>
                <w:color w:val="auto"/>
              </w:rPr>
              <w:t>​​ ​​ ​</w:t>
            </w:r>
          </w:p>
        </w:tc>
        <w:tc>
          <w:tcPr>
            <w:tcW w:w="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ind w:right="9"/>
              <w:spacing w:after="0" w:line="49"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 ​​</w:t>
            </w: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7"/>
        </w:trPr>
        <w:tc>
          <w:tcPr>
            <w:tcW w:w="246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Pro forma weighted-average shares used in</w:t>
            </w: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120"/>
              <w:spacing w:after="0"/>
              <w:rPr>
                <w:sz w:val="20"/>
                <w:szCs w:val="20"/>
                <w:color w:val="auto"/>
              </w:rPr>
            </w:pPr>
            <w:r>
              <w:rPr>
                <w:rFonts w:ascii="Arial" w:cs="Arial" w:eastAsia="Arial" w:hAnsi="Arial"/>
                <w:sz w:val="12"/>
                <w:szCs w:val="12"/>
                <w:color w:val="auto"/>
              </w:rPr>
              <w:t>computing pro forma net loss per share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20"/>
              <w:spacing w:after="0"/>
              <w:rPr>
                <w:sz w:val="20"/>
                <w:szCs w:val="20"/>
                <w:color w:val="auto"/>
              </w:rPr>
            </w:pPr>
            <w:r>
              <w:rPr>
                <w:rFonts w:ascii="Arial" w:cs="Arial" w:eastAsia="Arial" w:hAnsi="Arial"/>
                <w:sz w:val="12"/>
                <w:szCs w:val="12"/>
                <w:color w:val="auto"/>
              </w:rPr>
              <w:t>attributable to ordinary shareholders, basic</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120"/>
              <w:spacing w:after="0"/>
              <w:rPr>
                <w:sz w:val="20"/>
                <w:szCs w:val="20"/>
                <w:color w:val="auto"/>
              </w:rPr>
            </w:pPr>
            <w:r>
              <w:rPr>
                <w:rFonts w:ascii="Arial" w:cs="Arial" w:eastAsia="Arial" w:hAnsi="Arial"/>
                <w:sz w:val="12"/>
                <w:szCs w:val="12"/>
                <w:color w:val="auto"/>
              </w:rPr>
              <w:t>and diluted</w:t>
            </w:r>
            <w:r>
              <w:rPr>
                <w:rFonts w:ascii="Arial" w:cs="Arial" w:eastAsia="Arial" w:hAnsi="Arial"/>
                <w:sz w:val="15"/>
                <w:szCs w:val="15"/>
                <w:color w:val="auto"/>
                <w:vertAlign w:val="superscript"/>
              </w:rPr>
              <w:t>(1)</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8"/>
          </w:tcPr>
          <w:p>
            <w:pPr>
              <w:jc w:val="right"/>
              <w:spacing w:after="0" w:line="20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 ​​</w:t>
            </w:r>
            <w:r>
              <w:rPr>
                <w:rFonts w:ascii="Arial" w:cs="Arial" w:eastAsia="Arial" w:hAnsi="Arial"/>
                <w:sz w:val="12"/>
                <w:szCs w:val="12"/>
                <w:b w:val="1"/>
                <w:bCs w:val="1"/>
                <w:color w:val="auto"/>
              </w:rPr>
              <w:t xml:space="preserve"> </w:t>
            </w:r>
            <w:r>
              <w:rPr>
                <w:rFonts w:ascii="Arial" w:cs="Arial" w:eastAsia="Arial" w:hAnsi="Arial"/>
                <w:sz w:val="23"/>
                <w:szCs w:val="23"/>
                <w:color w:val="auto"/>
                <w:vertAlign w:val="superscript"/>
              </w:rPr>
              <w:t>​75,159,304</w:t>
            </w:r>
            <w:r>
              <w:rPr>
                <w:rFonts w:ascii="Arial" w:cs="Arial" w:eastAsia="Arial" w:hAnsi="Arial"/>
                <w:sz w:val="12"/>
                <w:szCs w:val="12"/>
                <w:color w:val="auto"/>
              </w:rPr>
              <w:t>​​ ​​ ​</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7"/>
          </w:tcPr>
          <w:p>
            <w:pPr>
              <w:jc w:val="right"/>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23"/>
                <w:szCs w:val="23"/>
                <w:color w:val="auto"/>
                <w:vertAlign w:val="subscript"/>
              </w:rPr>
              <w:t>​ ​​</w:t>
            </w:r>
            <w:r>
              <w:rPr>
                <w:rFonts w:ascii="Arial" w:cs="Arial" w:eastAsia="Arial" w:hAnsi="Arial"/>
                <w:sz w:val="12"/>
                <w:szCs w:val="12"/>
                <w:color w:val="auto"/>
              </w:rPr>
              <w:t xml:space="preserve"> ​76,446,495</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840" w:right="1799" w:hanging="262"/>
        <w:spacing w:after="0" w:line="226" w:lineRule="auto"/>
        <w:tabs>
          <w:tab w:leader="none" w:pos="1840" w:val="left"/>
        </w:tabs>
        <w:numPr>
          <w:ilvl w:val="0"/>
          <w:numId w:val="11"/>
        </w:numPr>
        <w:rPr>
          <w:rFonts w:ascii="Arial" w:cs="Arial" w:eastAsia="Arial" w:hAnsi="Arial"/>
          <w:sz w:val="14"/>
          <w:szCs w:val="14"/>
          <w:color w:val="auto"/>
          <w:vertAlign w:val="superscript"/>
        </w:rPr>
      </w:pPr>
      <w:r>
        <w:rPr>
          <w:rFonts w:ascii="Arial" w:cs="Arial" w:eastAsia="Arial" w:hAnsi="Arial"/>
          <w:sz w:val="9"/>
          <w:szCs w:val="9"/>
          <w:color w:val="auto"/>
        </w:rPr>
        <w:t>The unaudited basic and diluted pro forma net loss per share for the year ended December 31, 2021 and for the nine months ended on September 30, 2022 exclude the effects of the accretion of redeemable convertible preferred shares to redemeption value and were computed using the weighted-average number of ordinary shares outstanding, including the pro forma effect of the conversion of all outstanding redeemable convertible preferred shares into ordinary shares, as if such conversion had occurred at the beginning of the applicable period.</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 w:name="page17"/>
    <w:bookmarkEnd w:id="16"/>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251460</wp:posOffset>
            </wp:positionV>
            <wp:extent cx="3954145" cy="5710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54145" cy="571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580" w:type="dxa"/>
        <w:tblCellMar>
          <w:top w:w="0" w:type="dxa"/>
          <w:left w:w="0" w:type="dxa"/>
          <w:bottom w:w="0" w:type="dxa"/>
          <w:right w:w="0" w:type="dxa"/>
        </w:tblCellMar>
      </w:tblPr>
      <w:tr>
        <w:trPr>
          <w:trHeight w:val="152"/>
        </w:trPr>
        <w:tc>
          <w:tcPr>
            <w:tcW w:w="2920" w:type="dxa"/>
            <w:vAlign w:val="bottom"/>
          </w:tcPr>
          <w:p>
            <w:pPr>
              <w:spacing w:after="0"/>
              <w:rPr>
                <w:sz w:val="20"/>
                <w:szCs w:val="20"/>
                <w:color w:val="auto"/>
              </w:rPr>
            </w:pPr>
            <w:r>
              <w:rPr>
                <w:rFonts w:ascii="Arial" w:cs="Arial" w:eastAsia="Arial" w:hAnsi="Arial"/>
                <w:sz w:val="10"/>
                <w:szCs w:val="10"/>
                <w:b w:val="1"/>
                <w:bCs w:val="1"/>
                <w:color w:val="auto"/>
              </w:rPr>
              <w:t>​</w:t>
            </w:r>
          </w:p>
        </w:tc>
        <w:tc>
          <w:tcPr>
            <w:tcW w:w="320" w:type="dxa"/>
            <w:vAlign w:val="bottom"/>
            <w:gridSpan w:val="2"/>
          </w:tcPr>
          <w:p>
            <w:pPr>
              <w:ind w:left="140"/>
              <w:spacing w:after="0"/>
              <w:rPr>
                <w:sz w:val="20"/>
                <w:szCs w:val="20"/>
                <w:color w:val="auto"/>
              </w:rPr>
            </w:pPr>
            <w:r>
              <w:rPr>
                <w:rFonts w:ascii="Arial" w:cs="Arial" w:eastAsia="Arial" w:hAnsi="Arial"/>
                <w:sz w:val="10"/>
                <w:szCs w:val="10"/>
                <w:b w:val="1"/>
                <w:bCs w:val="1"/>
                <w:color w:val="auto"/>
              </w:rPr>
              <w:t>​ ​</w:t>
            </w:r>
          </w:p>
        </w:tc>
        <w:tc>
          <w:tcPr>
            <w:tcW w:w="180" w:type="dxa"/>
            <w:vAlign w:val="bottom"/>
          </w:tcPr>
          <w:p>
            <w:pPr>
              <w:spacing w:after="0"/>
              <w:rPr>
                <w:sz w:val="13"/>
                <w:szCs w:val="13"/>
                <w:color w:val="auto"/>
              </w:rPr>
            </w:pPr>
          </w:p>
        </w:tc>
        <w:tc>
          <w:tcPr>
            <w:tcW w:w="1900" w:type="dxa"/>
            <w:vAlign w:val="bottom"/>
            <w:gridSpan w:val="7"/>
          </w:tcPr>
          <w:p>
            <w:pPr>
              <w:ind w:left="340"/>
              <w:spacing w:after="0"/>
              <w:rPr>
                <w:sz w:val="20"/>
                <w:szCs w:val="20"/>
                <w:color w:val="auto"/>
              </w:rPr>
            </w:pPr>
            <w:r>
              <w:rPr>
                <w:rFonts w:ascii="Arial" w:cs="Arial" w:eastAsia="Arial" w:hAnsi="Arial"/>
                <w:sz w:val="10"/>
                <w:szCs w:val="10"/>
                <w:b w:val="1"/>
                <w:bCs w:val="1"/>
                <w:color w:val="auto"/>
              </w:rPr>
              <w:t>AS OF SEPTEMBER 30, 2022</w:t>
            </w:r>
          </w:p>
        </w:tc>
        <w:tc>
          <w:tcPr>
            <w:tcW w:w="5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28"/>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PRO FORMA</w:t>
            </w:r>
          </w:p>
        </w:tc>
        <w:tc>
          <w:tcPr>
            <w:tcW w:w="40" w:type="dxa"/>
            <w:vAlign w:val="bottom"/>
          </w:tcPr>
          <w:p>
            <w:pPr>
              <w:spacing w:after="0"/>
              <w:rPr>
                <w:sz w:val="11"/>
                <w:szCs w:val="11"/>
                <w:color w:val="auto"/>
              </w:rPr>
            </w:pPr>
          </w:p>
        </w:tc>
      </w:tr>
      <w:tr>
        <w:trPr>
          <w:trHeight w:val="161"/>
        </w:trPr>
        <w:tc>
          <w:tcPr>
            <w:tcW w:w="2920" w:type="dxa"/>
            <w:vAlign w:val="bottom"/>
          </w:tcPr>
          <w:p>
            <w:pPr>
              <w:spacing w:after="0"/>
              <w:rPr>
                <w:sz w:val="20"/>
                <w:szCs w:val="20"/>
                <w:color w:val="auto"/>
              </w:rPr>
            </w:pPr>
            <w:r>
              <w:rPr>
                <w:rFonts w:ascii="Arial" w:cs="Arial" w:eastAsia="Arial" w:hAnsi="Arial"/>
                <w:sz w:val="10"/>
                <w:szCs w:val="10"/>
                <w:b w:val="1"/>
                <w:bCs w:val="1"/>
                <w:color w:val="auto"/>
              </w:rPr>
              <w:t>​</w:t>
            </w:r>
          </w:p>
        </w:tc>
        <w:tc>
          <w:tcPr>
            <w:tcW w:w="320" w:type="dxa"/>
            <w:vAlign w:val="bottom"/>
            <w:gridSpan w:val="2"/>
          </w:tcPr>
          <w:p>
            <w:pPr>
              <w:ind w:left="160"/>
              <w:spacing w:after="0"/>
              <w:rPr>
                <w:sz w:val="20"/>
                <w:szCs w:val="20"/>
                <w:color w:val="auto"/>
              </w:rPr>
            </w:pPr>
            <w:r>
              <w:rPr>
                <w:rFonts w:ascii="Arial" w:cs="Arial" w:eastAsia="Arial" w:hAnsi="Arial"/>
                <w:sz w:val="10"/>
                <w:szCs w:val="10"/>
                <w:b w:val="1"/>
                <w:bCs w:val="1"/>
                <w:color w:val="auto"/>
              </w:rPr>
              <w:t>​ ​</w:t>
            </w:r>
          </w:p>
        </w:tc>
        <w:tc>
          <w:tcPr>
            <w:tcW w:w="660" w:type="dxa"/>
            <w:vAlign w:val="bottom"/>
            <w:gridSpan w:val="2"/>
          </w:tcPr>
          <w:p>
            <w:pPr>
              <w:jc w:val="right"/>
              <w:ind w:right="61"/>
              <w:spacing w:after="0"/>
              <w:rPr>
                <w:sz w:val="20"/>
                <w:szCs w:val="20"/>
                <w:color w:val="auto"/>
              </w:rPr>
            </w:pPr>
            <w:r>
              <w:rPr>
                <w:rFonts w:ascii="Arial" w:cs="Arial" w:eastAsia="Arial" w:hAnsi="Arial"/>
                <w:sz w:val="10"/>
                <w:szCs w:val="10"/>
                <w:b w:val="1"/>
                <w:bCs w:val="1"/>
                <w:color w:val="auto"/>
              </w:rPr>
              <w:t>ACTUAL</w:t>
            </w:r>
          </w:p>
        </w:tc>
        <w:tc>
          <w:tcPr>
            <w:tcW w:w="940" w:type="dxa"/>
            <w:vAlign w:val="bottom"/>
            <w:gridSpan w:val="3"/>
          </w:tcPr>
          <w:p>
            <w:pPr>
              <w:jc w:val="right"/>
              <w:spacing w:after="0" w:line="161" w:lineRule="exact"/>
              <w:rPr>
                <w:sz w:val="20"/>
                <w:szCs w:val="20"/>
                <w:color w:val="auto"/>
              </w:rPr>
            </w:pPr>
            <w:r>
              <w:rPr>
                <w:rFonts w:ascii="Arial" w:cs="Arial" w:eastAsia="Arial" w:hAnsi="Arial"/>
                <w:sz w:val="18"/>
                <w:szCs w:val="18"/>
                <w:b w:val="1"/>
                <w:bCs w:val="1"/>
                <w:color w:val="auto"/>
                <w:vertAlign w:val="subscript"/>
              </w:rPr>
              <w:t>​ ​</w:t>
            </w:r>
            <w:r>
              <w:rPr>
                <w:rFonts w:ascii="Arial" w:cs="Arial" w:eastAsia="Arial" w:hAnsi="Arial"/>
                <w:sz w:val="10"/>
                <w:szCs w:val="10"/>
                <w:b w:val="1"/>
                <w:bCs w:val="1"/>
                <w:color w:val="auto"/>
              </w:rPr>
              <w:t xml:space="preserve"> PRO FORMA</w:t>
            </w:r>
            <w:r>
              <w:rPr>
                <w:rFonts w:ascii="Arial" w:cs="Arial" w:eastAsia="Arial" w:hAnsi="Arial"/>
                <w:sz w:val="11"/>
                <w:szCs w:val="11"/>
                <w:b w:val="1"/>
                <w:bCs w:val="1"/>
                <w:color w:val="auto"/>
                <w:vertAlign w:val="superscript"/>
              </w:rPr>
              <w:t>(1)</w:t>
            </w:r>
          </w:p>
        </w:tc>
        <w:tc>
          <w:tcPr>
            <w:tcW w:w="1080" w:type="dxa"/>
            <w:vAlign w:val="bottom"/>
            <w:gridSpan w:val="5"/>
          </w:tcPr>
          <w:p>
            <w:pPr>
              <w:jc w:val="right"/>
              <w:spacing w:after="0" w:line="161" w:lineRule="exact"/>
              <w:rPr>
                <w:sz w:val="20"/>
                <w:szCs w:val="20"/>
                <w:color w:val="auto"/>
              </w:rPr>
            </w:pPr>
            <w:r>
              <w:rPr>
                <w:rFonts w:ascii="Arial" w:cs="Arial" w:eastAsia="Arial" w:hAnsi="Arial"/>
                <w:sz w:val="18"/>
                <w:szCs w:val="18"/>
                <w:b w:val="1"/>
                <w:bCs w:val="1"/>
                <w:color w:val="auto"/>
                <w:vertAlign w:val="subscript"/>
              </w:rPr>
              <w:t>​ ​</w:t>
            </w:r>
            <w:r>
              <w:rPr>
                <w:rFonts w:ascii="Arial" w:cs="Arial" w:eastAsia="Arial" w:hAnsi="Arial"/>
                <w:sz w:val="10"/>
                <w:szCs w:val="10"/>
                <w:b w:val="1"/>
                <w:bCs w:val="1"/>
                <w:color w:val="auto"/>
              </w:rPr>
              <w:t xml:space="preserve"> AS ADJUSTED</w:t>
            </w:r>
            <w:r>
              <w:rPr>
                <w:rFonts w:ascii="Arial" w:cs="Arial" w:eastAsia="Arial" w:hAnsi="Arial"/>
                <w:sz w:val="11"/>
                <w:szCs w:val="11"/>
                <w:b w:val="1"/>
                <w:bCs w:val="1"/>
                <w:color w:val="auto"/>
                <w:vertAlign w:val="superscript"/>
              </w:rPr>
              <w:t>(2)</w:t>
            </w:r>
            <w:r>
              <w:rPr>
                <w:rFonts w:ascii="Arial" w:cs="Arial" w:eastAsia="Arial" w:hAnsi="Arial"/>
                <w:sz w:val="18"/>
                <w:szCs w:val="18"/>
                <w:b w:val="1"/>
                <w:bCs w:val="1"/>
                <w:color w:val="auto"/>
                <w:vertAlign w:val="subscript"/>
              </w:rPr>
              <w:t>​</w:t>
            </w:r>
          </w:p>
        </w:tc>
      </w:tr>
      <w:tr>
        <w:trPr>
          <w:trHeight w:val="154"/>
        </w:trPr>
        <w:tc>
          <w:tcPr>
            <w:tcW w:w="2920" w:type="dxa"/>
            <w:vAlign w:val="bottom"/>
          </w:tcPr>
          <w:p>
            <w:pPr>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ind w:left="140"/>
              <w:spacing w:after="0"/>
              <w:rPr>
                <w:sz w:val="20"/>
                <w:szCs w:val="20"/>
                <w:color w:val="auto"/>
              </w:rPr>
            </w:pPr>
            <w:r>
              <w:rPr>
                <w:rFonts w:ascii="Arial" w:cs="Arial" w:eastAsia="Arial" w:hAnsi="Arial"/>
                <w:sz w:val="10"/>
                <w:szCs w:val="10"/>
                <w:b w:val="1"/>
                <w:bCs w:val="1"/>
                <w:color w:val="auto"/>
              </w:rPr>
              <w:t>​ ​</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74"/>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Balance Sheet Data:</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i w:val="1"/>
                <w:iCs w:val="1"/>
                <w:color w:val="auto"/>
              </w:rPr>
              <w:t>​ ​</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 ​</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i w:val="1"/>
                <w:iCs w:val="1"/>
                <w:color w:val="auto"/>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b w:val="1"/>
                <w:bCs w:val="1"/>
                <w:i w:val="1"/>
                <w:iCs w:val="1"/>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i w:val="1"/>
                <w:i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b w:val="1"/>
                <w:bCs w:val="1"/>
                <w:i w:val="1"/>
                <w:iCs w:val="1"/>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w:t>
            </w:r>
          </w:p>
        </w:tc>
        <w:tc>
          <w:tcPr>
            <w:tcW w:w="5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w:t>
            </w:r>
          </w:p>
        </w:tc>
      </w:tr>
      <w:tr>
        <w:trPr>
          <w:trHeight w:val="184"/>
        </w:trPr>
        <w:tc>
          <w:tcPr>
            <w:tcW w:w="292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320" w:type="dxa"/>
            <w:vAlign w:val="bottom"/>
            <w:gridSpan w:val="2"/>
          </w:tcPr>
          <w:p>
            <w:pPr>
              <w:ind w:left="160"/>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​$ 102,751</w:t>
            </w:r>
          </w:p>
        </w:tc>
        <w:tc>
          <w:tcPr>
            <w:tcW w:w="160" w:type="dxa"/>
            <w:vAlign w:val="bottom"/>
          </w:tcPr>
          <w:p>
            <w:pPr>
              <w:jc w:val="right"/>
              <w:spacing w:after="0"/>
              <w:rPr>
                <w:sz w:val="20"/>
                <w:szCs w:val="20"/>
                <w:color w:val="auto"/>
              </w:rPr>
            </w:pPr>
            <w:r>
              <w:rPr>
                <w:rFonts w:ascii="Arial" w:cs="Arial" w:eastAsia="Arial" w:hAnsi="Arial"/>
                <w:sz w:val="12"/>
                <w:szCs w:val="12"/>
                <w:color w:val="auto"/>
              </w:rPr>
              <w:t>​​ ​</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102,751</w:t>
            </w:r>
          </w:p>
        </w:tc>
        <w:tc>
          <w:tcPr>
            <w:tcW w:w="200" w:type="dxa"/>
            <w:vAlign w:val="bottom"/>
          </w:tcPr>
          <w:p>
            <w:pPr>
              <w:jc w:val="right"/>
              <w:spacing w:after="0"/>
              <w:rPr>
                <w:sz w:val="20"/>
                <w:szCs w:val="20"/>
                <w:color w:val="auto"/>
              </w:rPr>
            </w:pPr>
            <w:r>
              <w:rPr>
                <w:rFonts w:ascii="Arial" w:cs="Arial" w:eastAsia="Arial" w:hAnsi="Arial"/>
                <w:sz w:val="12"/>
                <w:szCs w:val="12"/>
                <w:color w:val="auto"/>
              </w:rPr>
              <w:t>​​ ​</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249,757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w:t>
            </w:r>
            <w:r>
              <w:rPr>
                <w:rFonts w:ascii="Arial" w:cs="Arial" w:eastAsia="Arial" w:hAnsi="Arial"/>
                <w:sz w:val="15"/>
                <w:szCs w:val="15"/>
                <w:color w:val="auto"/>
                <w:vertAlign w:val="superscript"/>
              </w:rPr>
              <w:t>(3)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92,538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92,538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239,580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920" w:type="dxa"/>
            <w:vAlign w:val="bottom"/>
          </w:tcPr>
          <w:p>
            <w:pPr>
              <w:spacing w:after="0"/>
              <w:rPr>
                <w:sz w:val="20"/>
                <w:szCs w:val="20"/>
                <w:color w:val="auto"/>
              </w:rPr>
            </w:pPr>
            <w:r>
              <w:rPr>
                <w:rFonts w:ascii="Arial" w:cs="Arial" w:eastAsia="Arial" w:hAnsi="Arial"/>
                <w:sz w:val="12"/>
                <w:szCs w:val="12"/>
                <w:color w:val="auto"/>
              </w:rPr>
              <w:t>Total assets</w:t>
            </w:r>
          </w:p>
        </w:tc>
        <w:tc>
          <w:tcPr>
            <w:tcW w:w="320" w:type="dxa"/>
            <w:vAlign w:val="bottom"/>
            <w:gridSpan w:val="2"/>
          </w:tcPr>
          <w:p>
            <w:pPr>
              <w:ind w:left="160"/>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 ​108,406</w:t>
            </w:r>
          </w:p>
        </w:tc>
        <w:tc>
          <w:tcPr>
            <w:tcW w:w="160" w:type="dxa"/>
            <w:vAlign w:val="bottom"/>
          </w:tcPr>
          <w:p>
            <w:pPr>
              <w:jc w:val="right"/>
              <w:spacing w:after="0"/>
              <w:rPr>
                <w:sz w:val="20"/>
                <w:szCs w:val="20"/>
                <w:color w:val="auto"/>
              </w:rPr>
            </w:pPr>
            <w:r>
              <w:rPr>
                <w:rFonts w:ascii="Arial" w:cs="Arial" w:eastAsia="Arial" w:hAnsi="Arial"/>
                <w:sz w:val="12"/>
                <w:szCs w:val="12"/>
                <w:color w:val="auto"/>
              </w:rPr>
              <w:t>​​ ​</w:t>
            </w:r>
          </w:p>
        </w:tc>
        <w:tc>
          <w:tcPr>
            <w:tcW w:w="780" w:type="dxa"/>
            <w:vAlign w:val="bottom"/>
            <w:gridSpan w:val="2"/>
          </w:tcPr>
          <w:p>
            <w:pPr>
              <w:jc w:val="right"/>
              <w:ind w:right="39"/>
              <w:spacing w:after="0"/>
              <w:rPr>
                <w:sz w:val="20"/>
                <w:szCs w:val="20"/>
                <w:color w:val="auto"/>
              </w:rPr>
            </w:pPr>
            <w:r>
              <w:rPr>
                <w:rFonts w:ascii="Arial" w:cs="Arial" w:eastAsia="Arial" w:hAnsi="Arial"/>
                <w:sz w:val="12"/>
                <w:szCs w:val="12"/>
                <w:color w:val="auto"/>
              </w:rPr>
              <w:t>​ ​ 108,406</w:t>
            </w:r>
          </w:p>
        </w:tc>
        <w:tc>
          <w:tcPr>
            <w:tcW w:w="200" w:type="dxa"/>
            <w:vAlign w:val="bottom"/>
          </w:tcPr>
          <w:p>
            <w:pPr>
              <w:jc w:val="right"/>
              <w:spacing w:after="0"/>
              <w:rPr>
                <w:sz w:val="20"/>
                <w:szCs w:val="20"/>
                <w:color w:val="auto"/>
              </w:rPr>
            </w:pPr>
            <w:r>
              <w:rPr>
                <w:rFonts w:ascii="Arial" w:cs="Arial" w:eastAsia="Arial" w:hAnsi="Arial"/>
                <w:sz w:val="12"/>
                <w:szCs w:val="12"/>
                <w:color w:val="auto"/>
              </w:rPr>
              <w:t>​​ ​</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253,143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12,344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12,344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12,308</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920" w:type="dxa"/>
            <w:vAlign w:val="bottom"/>
          </w:tcPr>
          <w:p>
            <w:pPr>
              <w:spacing w:after="0"/>
              <w:rPr>
                <w:sz w:val="20"/>
                <w:szCs w:val="20"/>
                <w:color w:val="auto"/>
              </w:rPr>
            </w:pPr>
            <w:r>
              <w:rPr>
                <w:rFonts w:ascii="Arial" w:cs="Arial" w:eastAsia="Arial" w:hAnsi="Arial"/>
                <w:sz w:val="12"/>
                <w:szCs w:val="12"/>
                <w:color w:val="auto"/>
              </w:rPr>
              <w:t>Redeemable convertible preferred shares</w:t>
            </w:r>
          </w:p>
        </w:tc>
        <w:tc>
          <w:tcPr>
            <w:tcW w:w="320" w:type="dxa"/>
            <w:vAlign w:val="bottom"/>
            <w:gridSpan w:val="2"/>
          </w:tcPr>
          <w:p>
            <w:pPr>
              <w:ind w:left="160"/>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 ​199,975</w:t>
            </w:r>
          </w:p>
        </w:tc>
        <w:tc>
          <w:tcPr>
            <w:tcW w:w="160" w:type="dxa"/>
            <w:vAlign w:val="bottom"/>
          </w:tcPr>
          <w:p>
            <w:pPr>
              <w:jc w:val="right"/>
              <w:spacing w:after="0"/>
              <w:rPr>
                <w:sz w:val="20"/>
                <w:szCs w:val="20"/>
                <w:color w:val="auto"/>
              </w:rPr>
            </w:pPr>
            <w:r>
              <w:rPr>
                <w:rFonts w:ascii="Arial" w:cs="Arial" w:eastAsia="Arial" w:hAnsi="Arial"/>
                <w:sz w:val="12"/>
                <w:szCs w:val="12"/>
                <w:color w:val="auto"/>
              </w:rPr>
              <w:t>​​ ​</w:t>
            </w:r>
          </w:p>
        </w:tc>
        <w:tc>
          <w:tcPr>
            <w:tcW w:w="220" w:type="dxa"/>
            <w:vAlign w:val="bottom"/>
          </w:tcPr>
          <w:p>
            <w:pPr>
              <w:ind w:left="100"/>
              <w:spacing w:after="0"/>
              <w:rPr>
                <w:sz w:val="20"/>
                <w:szCs w:val="20"/>
                <w:color w:val="auto"/>
              </w:rPr>
            </w:pPr>
            <w:r>
              <w:rPr>
                <w:rFonts w:ascii="Arial" w:cs="Arial" w:eastAsia="Arial" w:hAnsi="Arial"/>
                <w:sz w:val="12"/>
                <w:szCs w:val="12"/>
                <w:color w:val="auto"/>
              </w:rPr>
              <w:t>​ ​</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 ​</w:t>
            </w:r>
          </w:p>
        </w:tc>
        <w:tc>
          <w:tcPr>
            <w:tcW w:w="28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​(105,077) ​​ ​</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​(105,719) ​​ ​</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(105,719)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2920" w:type="dxa"/>
            <w:vAlign w:val="bottom"/>
          </w:tcPr>
          <w:p>
            <w:pPr>
              <w:spacing w:after="0"/>
              <w:rPr>
                <w:sz w:val="20"/>
                <w:szCs w:val="20"/>
                <w:color w:val="auto"/>
              </w:rPr>
            </w:pPr>
            <w:r>
              <w:rPr>
                <w:rFonts w:ascii="Arial" w:cs="Arial" w:eastAsia="Arial" w:hAnsi="Arial"/>
                <w:sz w:val="12"/>
                <w:szCs w:val="12"/>
                <w:color w:val="auto"/>
              </w:rPr>
              <w:t>Total shareholders’ (deficit) equity</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​(103,913)</w:t>
            </w:r>
          </w:p>
        </w:tc>
        <w:tc>
          <w:tcPr>
            <w:tcW w:w="160" w:type="dxa"/>
            <w:vAlign w:val="bottom"/>
          </w:tcPr>
          <w:p>
            <w:pPr>
              <w:spacing w:after="0"/>
              <w:rPr>
                <w:sz w:val="14"/>
                <w:szCs w:val="14"/>
                <w:color w:val="auto"/>
              </w:rPr>
            </w:pPr>
          </w:p>
        </w:tc>
        <w:tc>
          <w:tcPr>
            <w:tcW w:w="220" w:type="dxa"/>
            <w:vAlign w:val="bottom"/>
          </w:tcPr>
          <w:p>
            <w:pPr>
              <w:ind w:left="18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96,062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240,835</w:t>
            </w:r>
          </w:p>
        </w:tc>
        <w:tc>
          <w:tcPr>
            <w:tcW w:w="40" w:type="dxa"/>
            <w:vAlign w:val="bottom"/>
          </w:tcPr>
          <w:p>
            <w:pPr>
              <w:spacing w:after="0"/>
              <w:rPr>
                <w:sz w:val="14"/>
                <w:szCs w:val="14"/>
                <w:color w:val="auto"/>
              </w:rPr>
            </w:pPr>
          </w:p>
        </w:tc>
      </w:tr>
      <w:tr>
        <w:trPr>
          <w:trHeight w:val="161"/>
        </w:trPr>
        <w:tc>
          <w:tcPr>
            <w:tcW w:w="2920" w:type="dxa"/>
            <w:vAlign w:val="bottom"/>
          </w:tcPr>
          <w:p>
            <w:pPr>
              <w:spacing w:after="0"/>
              <w:rPr>
                <w:sz w:val="13"/>
                <w:szCs w:val="13"/>
                <w:color w:val="auto"/>
              </w:rPr>
            </w:pPr>
          </w:p>
        </w:tc>
        <w:tc>
          <w:tcPr>
            <w:tcW w:w="320" w:type="dxa"/>
            <w:vAlign w:val="bottom"/>
            <w:gridSpan w:val="2"/>
          </w:tcPr>
          <w:p>
            <w:pPr>
              <w:ind w:left="160"/>
              <w:spacing w:after="0"/>
              <w:rPr>
                <w:sz w:val="20"/>
                <w:szCs w:val="20"/>
                <w:color w:val="auto"/>
              </w:rPr>
            </w:pPr>
            <w:r>
              <w:rPr>
                <w:rFonts w:ascii="Arial" w:cs="Arial" w:eastAsia="Arial" w:hAnsi="Arial"/>
                <w:sz w:val="12"/>
                <w:szCs w:val="12"/>
                <w:color w:val="auto"/>
              </w:rPr>
              <w:t>​ ​</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 ​</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 ​</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7" w:lineRule="exact"/>
        <w:rPr>
          <w:sz w:val="20"/>
          <w:szCs w:val="20"/>
          <w:color w:val="auto"/>
        </w:rPr>
      </w:pPr>
    </w:p>
    <w:p>
      <w:pPr>
        <w:ind w:left="1840" w:right="1639" w:hanging="262"/>
        <w:spacing w:after="0" w:line="215" w:lineRule="auto"/>
        <w:tabs>
          <w:tab w:leader="none" w:pos="1840" w:val="left"/>
        </w:tabs>
        <w:numPr>
          <w:ilvl w:val="0"/>
          <w:numId w:val="12"/>
        </w:numPr>
        <w:rPr>
          <w:rFonts w:ascii="Arial" w:cs="Arial" w:eastAsia="Arial" w:hAnsi="Arial"/>
          <w:sz w:val="14"/>
          <w:szCs w:val="14"/>
          <w:color w:val="auto"/>
          <w:vertAlign w:val="superscript"/>
        </w:rPr>
      </w:pPr>
      <w:r>
        <w:rPr>
          <w:rFonts w:ascii="Arial" w:cs="Arial" w:eastAsia="Arial" w:hAnsi="Arial"/>
          <w:sz w:val="9"/>
          <w:szCs w:val="9"/>
          <w:color w:val="auto"/>
        </w:rPr>
        <w:t>The pro forma balance sheet data gives effect to (i) the automatic conversion of all of our outstanding preferred shares into an aggregate of 67,018,087 ordinary shares immediately upon the closing of this offering and (ii) the effectiveness of our amended and restated memorandum and articles of association immediately upon the closing of this offering.</w:t>
      </w:r>
    </w:p>
    <w:p>
      <w:pPr>
        <w:spacing w:after="0" w:line="57" w:lineRule="exact"/>
        <w:rPr>
          <w:rFonts w:ascii="Arial" w:cs="Arial" w:eastAsia="Arial" w:hAnsi="Arial"/>
          <w:sz w:val="14"/>
          <w:szCs w:val="14"/>
          <w:color w:val="auto"/>
          <w:vertAlign w:val="superscript"/>
        </w:rPr>
      </w:pPr>
    </w:p>
    <w:p>
      <w:pPr>
        <w:ind w:left="1840" w:right="1639" w:hanging="262"/>
        <w:spacing w:after="0" w:line="215" w:lineRule="auto"/>
        <w:tabs>
          <w:tab w:leader="none" w:pos="1840" w:val="left"/>
        </w:tabs>
        <w:numPr>
          <w:ilvl w:val="0"/>
          <w:numId w:val="12"/>
        </w:numPr>
        <w:rPr>
          <w:rFonts w:ascii="Arial" w:cs="Arial" w:eastAsia="Arial" w:hAnsi="Arial"/>
          <w:sz w:val="14"/>
          <w:szCs w:val="14"/>
          <w:color w:val="auto"/>
          <w:vertAlign w:val="superscript"/>
        </w:rPr>
      </w:pPr>
      <w:r>
        <w:rPr>
          <w:rFonts w:ascii="Arial" w:cs="Arial" w:eastAsia="Arial" w:hAnsi="Arial"/>
          <w:sz w:val="9"/>
          <w:szCs w:val="9"/>
          <w:color w:val="auto"/>
        </w:rPr>
        <w:t>The pro forma as adjusted balance sheet data gives effect to (i) the pro forma adjustments set forth in footnote (1) above and (ii) our receipt of net proceeds from the sale of 10,740,000 ADSs in this offering at the initial public offering price of  $15.00 per ADS, after deducting the underwriting discounts and commissions and estimated offering expenses payable by us.</w:t>
      </w:r>
    </w:p>
    <w:p>
      <w:pPr>
        <w:spacing w:after="0" w:line="57" w:lineRule="exact"/>
        <w:rPr>
          <w:rFonts w:ascii="Arial" w:cs="Arial" w:eastAsia="Arial" w:hAnsi="Arial"/>
          <w:sz w:val="14"/>
          <w:szCs w:val="14"/>
          <w:color w:val="auto"/>
          <w:vertAlign w:val="superscript"/>
        </w:rPr>
      </w:pPr>
    </w:p>
    <w:p>
      <w:pPr>
        <w:ind w:left="1840" w:right="1779" w:hanging="262"/>
        <w:spacing w:after="0" w:line="203" w:lineRule="auto"/>
        <w:tabs>
          <w:tab w:leader="none" w:pos="1840" w:val="left"/>
        </w:tabs>
        <w:numPr>
          <w:ilvl w:val="0"/>
          <w:numId w:val="12"/>
        </w:numPr>
        <w:rPr>
          <w:rFonts w:ascii="Arial" w:cs="Arial" w:eastAsia="Arial" w:hAnsi="Arial"/>
          <w:sz w:val="14"/>
          <w:szCs w:val="14"/>
          <w:color w:val="auto"/>
          <w:vertAlign w:val="superscript"/>
        </w:rPr>
      </w:pPr>
      <w:r>
        <w:rPr>
          <w:rFonts w:ascii="Arial" w:cs="Arial" w:eastAsia="Arial" w:hAnsi="Arial"/>
          <w:sz w:val="9"/>
          <w:szCs w:val="9"/>
          <w:color w:val="auto"/>
        </w:rPr>
        <w:t>Working capital is defined as current assets less current liabilities. See our condensed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 w:name="page18"/>
    <w:bookmarkEnd w:id="17"/>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RISK FACTORS</w:t>
      </w:r>
    </w:p>
    <w:p>
      <w:pPr>
        <w:spacing w:after="0" w:line="245"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i w:val="1"/>
          <w:iCs w:val="1"/>
          <w:color w:val="auto"/>
        </w:rPr>
        <w:t>Investing in our ADSs involves a high degree of risk. You should carefully consider the risks and uncertainties described below, together with all of the other information contained in this prospectus, including our consolidated financial statements and their related notes included elsewhere in this prospectus and the section titled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spacing w:after="0" w:line="238" w:lineRule="exact"/>
        <w:rPr>
          <w:sz w:val="20"/>
          <w:szCs w:val="20"/>
          <w:color w:val="auto"/>
        </w:rPr>
      </w:pPr>
    </w:p>
    <w:p>
      <w:pPr>
        <w:ind w:left="1560" w:right="2439"/>
        <w:spacing w:after="0" w:line="319" w:lineRule="auto"/>
        <w:rPr>
          <w:sz w:val="20"/>
          <w:szCs w:val="20"/>
          <w:color w:val="auto"/>
        </w:rPr>
      </w:pPr>
      <w:r>
        <w:rPr>
          <w:rFonts w:ascii="Arial" w:cs="Arial" w:eastAsia="Arial" w:hAnsi="Arial"/>
          <w:sz w:val="12"/>
          <w:szCs w:val="12"/>
          <w:b w:val="1"/>
          <w:bCs w:val="1"/>
          <w:color w:val="auto"/>
        </w:rPr>
        <w:t>Risks Related to Our Limited Operating History, Financial Position and Capital Requirements</w:t>
      </w:r>
    </w:p>
    <w:p>
      <w:pPr>
        <w:spacing w:after="0" w:line="32" w:lineRule="exact"/>
        <w:rPr>
          <w:sz w:val="20"/>
          <w:szCs w:val="20"/>
          <w:color w:val="auto"/>
        </w:rPr>
      </w:pPr>
    </w:p>
    <w:p>
      <w:pPr>
        <w:ind w:left="1560" w:right="1779"/>
        <w:spacing w:after="0" w:line="315" w:lineRule="auto"/>
        <w:rPr>
          <w:sz w:val="20"/>
          <w:szCs w:val="20"/>
          <w:color w:val="auto"/>
        </w:rPr>
      </w:pPr>
      <w:r>
        <w:rPr>
          <w:rFonts w:ascii="Arial" w:cs="Arial" w:eastAsia="Arial" w:hAnsi="Arial"/>
          <w:sz w:val="12"/>
          <w:szCs w:val="12"/>
          <w:b w:val="1"/>
          <w:bCs w:val="1"/>
          <w:i w:val="1"/>
          <w:iCs w:val="1"/>
          <w:color w:val="auto"/>
        </w:rPr>
        <w:t>We have a limited operating history and have incurred significant operating losses since our inception and expect to incur significant losses for the foreseeable future.</w:t>
      </w:r>
    </w:p>
    <w:p>
      <w:pPr>
        <w:spacing w:after="0" w:line="42"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Biopharmaceutical product development is a highly speculative undertaking and involves a substantial degree of risk. We are a clinical-stage biopharmaceutical company with a limited operating histor</w:t>
      </w:r>
      <w:r>
        <w:rPr>
          <w:rFonts w:ascii="Arial" w:cs="Arial" w:eastAsia="Arial" w:hAnsi="Arial"/>
          <w:sz w:val="12"/>
          <w:szCs w:val="12"/>
          <w:i w:val="1"/>
          <w:iCs w:val="1"/>
          <w:color w:val="auto"/>
        </w:rPr>
        <w:t>y,</w:t>
      </w:r>
      <w:r>
        <w:rPr>
          <w:rFonts w:ascii="Arial" w:cs="Arial" w:eastAsia="Arial" w:hAnsi="Arial"/>
          <w:sz w:val="12"/>
          <w:szCs w:val="12"/>
          <w:color w:val="auto"/>
        </w:rPr>
        <w:t xml:space="preserve">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trials,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commercially. Further, GSBR-1290, our product candidate for T2DM and obesity, and ANPA-0073, our product candidate for IPF and PAH,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89"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Our net losses were $15.9 million and $38.0 million for the years ended December 31, 2020 and 2021, respectively, and net losses of  $24.7 million and $39.4 million for the nine months ended September 30, 2021 and 2022, respectively. As of September 30, 2022, we had an accumulated deficit of  $105.1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spacing w:after="0" w:line="87"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ADSs and impair our ability to raise capital, maintain our research and development efforts, expand our business or continue our operations.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 w:name="page19"/>
    <w:bookmarkEnd w:id="1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1560" w:right="1659"/>
        <w:spacing w:after="0" w:line="273" w:lineRule="auto"/>
        <w:rPr>
          <w:sz w:val="20"/>
          <w:szCs w:val="20"/>
          <w:color w:val="auto"/>
        </w:rPr>
      </w:pPr>
      <w:r>
        <w:rPr>
          <w:rFonts w:ascii="Arial" w:cs="Arial" w:eastAsia="Arial" w:hAnsi="Arial"/>
          <w:sz w:val="12"/>
          <w:szCs w:val="12"/>
          <w:b w:val="1"/>
          <w:bCs w:val="1"/>
          <w:i w:val="1"/>
          <w:iCs w:val="1"/>
          <w:color w:val="auto"/>
        </w:rPr>
        <w:t>Even if this offering is successful, 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66"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GSBR-1290, ANPA-0073, and any future product candidates we may develop. Our expenses will increase substantially if our product candidates successfully complete early clinical and other studies, and also could increase beyond expectations if the FDA or foreign authorities require us to perform clinical and other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following the completion of this offering, we expect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29"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Based on our current operating plan, we believe that our existing cash, cash equivalents and short-term investments, together with the net proceeds of this offering, will be sufficient to fund our operating expenses and capital expenditure requirements through at least 2025.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arrangements. Even if we believe we have sufficient capital for our current or future operating plans, we may seek additional capital if market conditions are favorable or if we have specific strategic considerations.</w:t>
      </w:r>
    </w:p>
    <w:p>
      <w:pPr>
        <w:spacing w:after="0" w:line="80"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the COVID-19 pandemic and actions taken to slow its spread, as well as actual or anticipated changes in interest rates and economic inflation and the impact of the Russian/Ukraine conflict,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Our future funding requirements will depend on many factors, including:</w:t>
      </w:r>
    </w:p>
    <w:p>
      <w:pPr>
        <w:spacing w:after="0" w:line="65" w:lineRule="exact"/>
        <w:rPr>
          <w:sz w:val="20"/>
          <w:szCs w:val="20"/>
          <w:color w:val="auto"/>
        </w:rPr>
      </w:pPr>
    </w:p>
    <w:p>
      <w:pPr>
        <w:ind w:left="1980" w:right="1659" w:hanging="157"/>
        <w:spacing w:after="0" w:line="308"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progress, costs, design, results of and timing of our planned and ongoing preclinical studies and clinical trials;</w:t>
      </w:r>
    </w:p>
    <w:p>
      <w:pPr>
        <w:spacing w:after="0" w:line="3" w:lineRule="exact"/>
        <w:rPr>
          <w:rFonts w:ascii="Arial" w:cs="Arial" w:eastAsia="Arial" w:hAnsi="Arial"/>
          <w:sz w:val="12"/>
          <w:szCs w:val="12"/>
          <w:color w:val="auto"/>
        </w:rPr>
      </w:pPr>
    </w:p>
    <w:p>
      <w:pPr>
        <w:ind w:left="1980" w:right="1579" w:hanging="157"/>
        <w:spacing w:after="0" w:line="288"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willingness of the FDA or applicable foreign authorities to accept our clinical trials, as well as data from our planned and ongoing preclinical studies and clinical trials and other work, as the basis for review and approval of our product candidates;</w:t>
      </w:r>
    </w:p>
    <w:p>
      <w:pPr>
        <w:spacing w:after="0" w:line="15"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outcome, costs and timing of seeking and obtaining FDA and applicable foreign regulatory approvals;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number and characteristics of product candidates that we pursue;</w:t>
      </w:r>
    </w:p>
    <w:p>
      <w:pPr>
        <w:spacing w:after="0" w:line="65"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need to expand our research and development capabilities, including further development of our structure-based drug discovery platform or in-licensing of complementary technologies;</w:t>
      </w:r>
    </w:p>
    <w:p>
      <w:pPr>
        <w:spacing w:after="0" w:line="3" w:lineRule="exact"/>
        <w:rPr>
          <w:rFonts w:ascii="Arial" w:cs="Arial" w:eastAsia="Arial" w:hAnsi="Arial"/>
          <w:sz w:val="12"/>
          <w:szCs w:val="12"/>
          <w:color w:val="auto"/>
        </w:rPr>
      </w:pPr>
    </w:p>
    <w:p>
      <w:pPr>
        <w:ind w:left="1980" w:right="2039" w:hanging="157"/>
        <w:spacing w:after="0" w:line="308"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costs and timing associated with manufacturing our product candidates, and establishing commercial supplies and sales, marketing, and distribution capabilities;</w:t>
      </w:r>
    </w:p>
    <w:p>
      <w:pPr>
        <w:spacing w:after="0" w:line="3"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efforts to maintain, expand, and defend the scope of our intellectual property portfolio, including the amount and timing of any payments we may be required to make, or that we may receive, in</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 w:name="page20"/>
    <w:bookmarkEnd w:id="1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719"/>
        <w:spacing w:after="0" w:line="308" w:lineRule="auto"/>
        <w:rPr>
          <w:sz w:val="20"/>
          <w:szCs w:val="20"/>
          <w:color w:val="auto"/>
        </w:rPr>
      </w:pPr>
      <w:r>
        <w:rPr>
          <w:rFonts w:ascii="Arial" w:cs="Arial" w:eastAsia="Arial" w:hAnsi="Arial"/>
          <w:sz w:val="12"/>
          <w:szCs w:val="12"/>
          <w:color w:val="auto"/>
        </w:rPr>
        <w:t>connection with the licensing, filing, prosecution, defense, and enforcement of any patents or other intellectual property rights;</w:t>
      </w:r>
    </w:p>
    <w:p>
      <w:pPr>
        <w:spacing w:after="0" w:line="4" w:lineRule="exact"/>
        <w:rPr>
          <w:sz w:val="20"/>
          <w:szCs w:val="20"/>
          <w:color w:val="auto"/>
        </w:rPr>
      </w:pPr>
    </w:p>
    <w:p>
      <w:pPr>
        <w:ind w:left="1980" w:right="1719" w:hanging="157"/>
        <w:spacing w:after="0" w:line="308" w:lineRule="auto"/>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need and ability to retain key management and hire scientific, technical, business, and medical personnel;</w:t>
      </w:r>
    </w:p>
    <w:p>
      <w:pPr>
        <w:spacing w:after="0" w:line="13" w:lineRule="exact"/>
        <w:rPr>
          <w:rFonts w:ascii="Arial" w:cs="Arial" w:eastAsia="Arial" w:hAnsi="Arial"/>
          <w:sz w:val="12"/>
          <w:szCs w:val="12"/>
          <w:color w:val="auto"/>
        </w:rPr>
      </w:pPr>
    </w:p>
    <w:p>
      <w:pPr>
        <w:ind w:left="1980" w:right="2099" w:hanging="157"/>
        <w:spacing w:after="0" w:line="308" w:lineRule="auto"/>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need to implement additional internal systems and infrastructure, including financial and reporting systems;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associated with operating as a public company;</w:t>
      </w:r>
    </w:p>
    <w:p>
      <w:pPr>
        <w:spacing w:after="0" w:line="65"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economic and other terms, timing of and success of our current and any future collaboration, licensing or other arrangements which we may enter in the future;</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receipt, and amount of sales from our potential products, if approved;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costs associated with any delays or issues caused by the ongoing COVID-19 pandemic.</w:t>
      </w:r>
    </w:p>
    <w:p>
      <w:pPr>
        <w:spacing w:after="0" w:line="123"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spacing w:after="0" w:line="73" w:lineRule="exact"/>
        <w:rPr>
          <w:sz w:val="20"/>
          <w:szCs w:val="20"/>
          <w:color w:val="auto"/>
        </w:rPr>
      </w:pPr>
    </w:p>
    <w:p>
      <w:pPr>
        <w:ind w:left="1560" w:right="1659"/>
        <w:spacing w:after="0" w:line="292" w:lineRule="auto"/>
        <w:rPr>
          <w:sz w:val="20"/>
          <w:szCs w:val="20"/>
          <w:color w:val="auto"/>
        </w:rPr>
      </w:pPr>
      <w:r>
        <w:rPr>
          <w:rFonts w:ascii="Arial" w:cs="Arial" w:eastAsia="Arial" w:hAnsi="Arial"/>
          <w:sz w:val="12"/>
          <w:szCs w:val="12"/>
          <w:b w:val="1"/>
          <w:bCs w:val="1"/>
          <w:i w:val="1"/>
          <w:iCs w:val="1"/>
          <w:color w:val="auto"/>
        </w:rPr>
        <w:t>Raising additional capital may cause dilution to our shareholders, including purchasers of ADSs in this offering, restrict our operations or require us to relinquish rights to our technologies or product candidates.</w:t>
      </w:r>
    </w:p>
    <w:p>
      <w:pPr>
        <w:spacing w:after="0" w:line="65"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an ADS holder. Debt financing, if available, may involve agreements that include covenants limiting or restricting our ability to take specific actions, such as limitations on our ability to incur additional debt, make capital 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spacing w:after="0" w:line="84" w:lineRule="exact"/>
        <w:rPr>
          <w:sz w:val="20"/>
          <w:szCs w:val="20"/>
          <w:color w:val="auto"/>
        </w:rPr>
      </w:pPr>
    </w:p>
    <w:p>
      <w:pPr>
        <w:ind w:left="1560" w:right="2239"/>
        <w:spacing w:after="0" w:line="319" w:lineRule="auto"/>
        <w:rPr>
          <w:sz w:val="20"/>
          <w:szCs w:val="20"/>
          <w:color w:val="auto"/>
        </w:rPr>
      </w:pPr>
      <w:r>
        <w:rPr>
          <w:rFonts w:ascii="Arial" w:cs="Arial" w:eastAsia="Arial" w:hAnsi="Arial"/>
          <w:sz w:val="12"/>
          <w:szCs w:val="12"/>
          <w:b w:val="1"/>
          <w:bCs w:val="1"/>
          <w:color w:val="auto"/>
        </w:rPr>
        <w:t>Risks Related to the Discovery, Development and Regulatory Approval of Product Candidates</w:t>
      </w:r>
    </w:p>
    <w:p>
      <w:pPr>
        <w:spacing w:after="0" w:line="41" w:lineRule="exact"/>
        <w:rPr>
          <w:sz w:val="20"/>
          <w:szCs w:val="20"/>
          <w:color w:val="auto"/>
        </w:rPr>
      </w:pPr>
    </w:p>
    <w:p>
      <w:pPr>
        <w:ind w:left="1560" w:right="1699"/>
        <w:spacing w:after="0" w:line="309" w:lineRule="auto"/>
        <w:rPr>
          <w:sz w:val="20"/>
          <w:szCs w:val="20"/>
          <w:color w:val="auto"/>
        </w:rPr>
      </w:pPr>
      <w:r>
        <w:rPr>
          <w:rFonts w:ascii="Arial" w:cs="Arial" w:eastAsia="Arial" w:hAnsi="Arial"/>
          <w:sz w:val="12"/>
          <w:szCs w:val="12"/>
          <w:b w:val="1"/>
          <w:bCs w:val="1"/>
          <w:i w:val="1"/>
          <w:iCs w:val="1"/>
          <w:color w:val="auto"/>
        </w:rPr>
        <w:t>Our approach to the discovery of product candidates based on our technology platform is unproven, and we do not know whether we will be able to develop any products of commercial value.</w:t>
      </w:r>
    </w:p>
    <w:p>
      <w:pPr>
        <w:spacing w:after="0" w:line="213"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The success of our business depends primarily upon our ability to identify novel product candidates based on our structure-based drug discovery platform and to successfully develop and commercialize those product candidates. While we have had favorable preclinical study results for certain of our development programs, we have not yet succeeded and may not succeed in demonstrating efficacy and safety for any product candidates in clinical trials or in obtaining marketing approvals or in commercializing such product candidates. We also may be unsuccessful in identifying additional product candidates using our 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spacing w:after="0" w:line="83" w:lineRule="exact"/>
        <w:rPr>
          <w:sz w:val="20"/>
          <w:szCs w:val="20"/>
          <w:color w:val="auto"/>
        </w:rPr>
      </w:pPr>
    </w:p>
    <w:p>
      <w:pPr>
        <w:ind w:left="1560" w:right="1839"/>
        <w:spacing w:after="0" w:line="308" w:lineRule="auto"/>
        <w:rPr>
          <w:sz w:val="20"/>
          <w:szCs w:val="20"/>
          <w:color w:val="auto"/>
        </w:rPr>
      </w:pPr>
      <w:r>
        <w:rPr>
          <w:rFonts w:ascii="Arial" w:cs="Arial" w:eastAsia="Arial" w:hAnsi="Arial"/>
          <w:sz w:val="12"/>
          <w:szCs w:val="12"/>
          <w:color w:val="auto"/>
        </w:rPr>
        <w:t>If any of these events occur, our ability to successfully discover, develop and commercialize any product candidates may be impaired and the value of our company could decline significantly.</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 w:name="page21"/>
    <w:bookmarkEnd w:id="2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right="1619"/>
        <w:spacing w:after="0" w:line="279" w:lineRule="auto"/>
        <w:rPr>
          <w:sz w:val="20"/>
          <w:szCs w:val="20"/>
          <w:color w:val="auto"/>
        </w:rPr>
      </w:pPr>
      <w:r>
        <w:rPr>
          <w:rFonts w:ascii="Arial" w:cs="Arial" w:eastAsia="Arial" w:hAnsi="Arial"/>
          <w:sz w:val="12"/>
          <w:szCs w:val="12"/>
          <w:b w:val="1"/>
          <w:bCs w:val="1"/>
          <w:i w:val="1"/>
          <w:iCs w:val="1"/>
          <w:color w:val="auto"/>
        </w:rPr>
        <w:t>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231" w:lineRule="exact"/>
        <w:rPr>
          <w:sz w:val="20"/>
          <w:szCs w:val="20"/>
          <w:color w:val="auto"/>
        </w:rPr>
      </w:pPr>
    </w:p>
    <w:p>
      <w:pPr>
        <w:ind w:left="1560" w:right="1659"/>
        <w:spacing w:after="0" w:line="273" w:lineRule="auto"/>
        <w:rPr>
          <w:sz w:val="20"/>
          <w:szCs w:val="20"/>
          <w:color w:val="auto"/>
        </w:rPr>
      </w:pPr>
      <w:r>
        <w:rPr>
          <w:rFonts w:ascii="Arial" w:cs="Arial" w:eastAsia="Arial" w:hAnsi="Arial"/>
          <w:sz w:val="12"/>
          <w:szCs w:val="12"/>
          <w:color w:val="auto"/>
        </w:rPr>
        <w:t>We are in the early stages of our development efforts and have two product candidates, GSBR-1290 and ANPA-0073, in early clinical development. We completed a Phase 1 SAD study of GSBR-1290 in healthy volunteers in September 2022 for T2DM and obesity. Furthermore, we initiated the Phase 1b multiple ascending dose, or MAD, study in January 2023 and plan to submit a protocol amendment to the FDA to transition to a Phase 2a proof-of-concept study in T2DM and obesity with expected initiation in the second half of 2023. Additionally, we completed our Phase 1 SAD and MAD study for ANPA-0073 in healthy volunteers for IPF and PAH in September 2022. Our other product candidates are still in the preclinical or discovery stages. We will need to progress early product candidates through preclinical studies and submit INDs to the FDA or appropriate regulatory documents to applicable foreign authorities prior to initiating their clinical development.</w:t>
      </w:r>
    </w:p>
    <w:p>
      <w:pPr>
        <w:spacing w:after="0" w:line="74"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5" w:lineRule="exact"/>
        <w:rPr>
          <w:sz w:val="20"/>
          <w:szCs w:val="20"/>
          <w:color w:val="auto"/>
        </w:rPr>
      </w:pPr>
    </w:p>
    <w:p>
      <w:pPr>
        <w:ind w:left="1980" w:hanging="157"/>
        <w:spacing w:after="0"/>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completion of preclinical studies with favorable results;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successful enrollment in, and completion of, clinical trials;</w:t>
      </w:r>
    </w:p>
    <w:p>
      <w:pPr>
        <w:spacing w:after="0" w:line="65"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sufficiency of our financial and other resources to complete the necessary preclinical studies and clinical trials;</w:t>
      </w:r>
    </w:p>
    <w:p>
      <w:pPr>
        <w:spacing w:after="0" w:line="13" w:lineRule="exact"/>
        <w:rPr>
          <w:rFonts w:ascii="Arial" w:cs="Arial" w:eastAsia="Arial" w:hAnsi="Arial"/>
          <w:sz w:val="12"/>
          <w:szCs w:val="12"/>
          <w:color w:val="auto"/>
        </w:rPr>
      </w:pPr>
    </w:p>
    <w:p>
      <w:pPr>
        <w:jc w:val="both"/>
        <w:ind w:left="1980" w:right="2159" w:hanging="157"/>
        <w:spacing w:after="0" w:line="28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allowance to proceed with clinical trials under INDs by the FDA or under similar regulatory submissions by applicable foreign authorities for the conduct of clinical trials of our product candidates and our proposed design of future clinical trials;</w:t>
      </w:r>
    </w:p>
    <w:p>
      <w:pPr>
        <w:spacing w:after="0" w:line="15" w:lineRule="exact"/>
        <w:rPr>
          <w:rFonts w:ascii="Arial" w:cs="Arial" w:eastAsia="Arial" w:hAnsi="Arial"/>
          <w:sz w:val="12"/>
          <w:szCs w:val="12"/>
          <w:color w:val="auto"/>
        </w:rPr>
      </w:pPr>
    </w:p>
    <w:p>
      <w:pPr>
        <w:ind w:left="1980" w:right="189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demonstrating the safety and efficacy of our product candidates to the satisfaction of applicable regulatory authorities;</w:t>
      </w:r>
    </w:p>
    <w:p>
      <w:pPr>
        <w:spacing w:after="0" w:line="3" w:lineRule="exact"/>
        <w:rPr>
          <w:rFonts w:ascii="Arial" w:cs="Arial" w:eastAsia="Arial" w:hAnsi="Arial"/>
          <w:sz w:val="12"/>
          <w:szCs w:val="12"/>
          <w:color w:val="auto"/>
        </w:rPr>
      </w:pPr>
    </w:p>
    <w:p>
      <w:pPr>
        <w:ind w:left="1980" w:right="225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receipt of regulatory approvals from applicable regulatory authorities, including new drug applications, or NDAs, from the FDA and maintaining such approvals;</w:t>
      </w:r>
    </w:p>
    <w:p>
      <w:pPr>
        <w:spacing w:after="0" w:line="13" w:lineRule="exact"/>
        <w:rPr>
          <w:rFonts w:ascii="Arial" w:cs="Arial" w:eastAsia="Arial" w:hAnsi="Arial"/>
          <w:sz w:val="12"/>
          <w:szCs w:val="12"/>
          <w:color w:val="auto"/>
        </w:rPr>
      </w:pPr>
    </w:p>
    <w:p>
      <w:pPr>
        <w:ind w:left="1980" w:right="205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making arrangements with third-party manufacturers, or establishing clinical and commercial manufacturing capabilities for our product candidates;</w:t>
      </w:r>
    </w:p>
    <w:p>
      <w:pPr>
        <w:spacing w:after="0" w:line="3"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establishing sales, marketing and distribution capabilities and launching commercial sales of our products, if and when approved, whether alone or in collaboration with others;</w:t>
      </w:r>
    </w:p>
    <w:p>
      <w:pPr>
        <w:spacing w:after="0" w:line="3" w:lineRule="exact"/>
        <w:rPr>
          <w:rFonts w:ascii="Arial" w:cs="Arial" w:eastAsia="Arial" w:hAnsi="Arial"/>
          <w:sz w:val="12"/>
          <w:szCs w:val="12"/>
          <w:color w:val="auto"/>
        </w:rPr>
      </w:pPr>
    </w:p>
    <w:p>
      <w:pPr>
        <w:ind w:left="1980" w:right="193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establishing and maintaining patent and trade secret protection or regulatory exclusivity for our product candidates;</w:t>
      </w:r>
    </w:p>
    <w:p>
      <w:pPr>
        <w:spacing w:after="0" w:line="13"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acceptance of any products we develop and their benefits and uses, if and when approved, by patients, the medical community and third-party payors;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65" w:lineRule="exact"/>
        <w:rPr>
          <w:rFonts w:ascii="Arial" w:cs="Arial" w:eastAsia="Arial" w:hAnsi="Arial"/>
          <w:sz w:val="12"/>
          <w:szCs w:val="12"/>
          <w:color w:val="auto"/>
        </w:rPr>
      </w:pPr>
    </w:p>
    <w:p>
      <w:pPr>
        <w:ind w:left="1980" w:right="199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obtaining and maintaining healthcare coverage and adequate reimbursement from third-party payors;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maintaining an acceptable safety profile of our products following approval; and</w:t>
      </w:r>
    </w:p>
    <w:p>
      <w:pPr>
        <w:spacing w:after="0" w:line="65" w:lineRule="exact"/>
        <w:rPr>
          <w:rFonts w:ascii="Arial" w:cs="Arial" w:eastAsia="Arial" w:hAnsi="Arial"/>
          <w:sz w:val="12"/>
          <w:szCs w:val="12"/>
          <w:color w:val="auto"/>
        </w:rPr>
      </w:pPr>
    </w:p>
    <w:p>
      <w:pPr>
        <w:ind w:left="1980" w:right="2019" w:hanging="157"/>
        <w:spacing w:after="0" w:line="308"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building and maintaining an organization of people who can successfully develop our product candidates.</w:t>
      </w:r>
    </w:p>
    <w:p>
      <w:pPr>
        <w:spacing w:after="0" w:line="62" w:lineRule="exact"/>
        <w:rPr>
          <w:sz w:val="20"/>
          <w:szCs w:val="20"/>
          <w:color w:val="auto"/>
        </w:rPr>
      </w:pPr>
    </w:p>
    <w:p>
      <w:pPr>
        <w:ind w:left="1560" w:right="1879"/>
        <w:spacing w:after="0" w:line="276" w:lineRule="auto"/>
        <w:rPr>
          <w:sz w:val="20"/>
          <w:szCs w:val="20"/>
          <w:color w:val="auto"/>
        </w:rPr>
      </w:pPr>
      <w:r>
        <w:rPr>
          <w:rFonts w:ascii="Arial" w:cs="Arial" w:eastAsia="Arial" w:hAnsi="Arial"/>
          <w:sz w:val="12"/>
          <w:szCs w:val="12"/>
          <w:color w:val="auto"/>
        </w:rPr>
        <w:t>We have not yet succeeded and may not succeed in demonstrating efficacy and safety for any product candidates in clinical trials or in obtaining marketing approval thereafter. Given our early stage of development, it will take several years before we can demonstrate the safety and efficacy of a product 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 w:name="page22"/>
    <w:bookmarkEnd w:id="2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b w:val="1"/>
          <w:bCs w:val="1"/>
          <w:i w:val="1"/>
          <w:iCs w:val="1"/>
          <w:color w:val="auto"/>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spacing w:after="0" w:line="66" w:lineRule="exact"/>
        <w:rPr>
          <w:sz w:val="20"/>
          <w:szCs w:val="20"/>
          <w:color w:val="auto"/>
        </w:rPr>
      </w:pPr>
    </w:p>
    <w:p>
      <w:pPr>
        <w:ind w:left="1560" w:right="1619"/>
        <w:spacing w:after="0" w:line="259" w:lineRule="auto"/>
        <w:rPr>
          <w:sz w:val="20"/>
          <w:szCs w:val="20"/>
          <w:color w:val="auto"/>
        </w:rPr>
      </w:pPr>
      <w:r>
        <w:rPr>
          <w:rFonts w:ascii="Arial" w:cs="Arial" w:eastAsia="Arial" w:hAnsi="Arial"/>
          <w:sz w:val="12"/>
          <w:szCs w:val="12"/>
          <w:color w:val="auto"/>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For example, we depend on the availability of non-human primates, or NHPs, to conduct certain preclinical studies that we are required to complete prior to submitting an IND and initiating clinical development. There is currently a global shortage of NHPs available for drug development, due in part to an increase in demand from companies and other institutions developing vaccines and treatments for COVID-19.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trials or preclinical studies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or are conducting certain preclinical studies of our product candidates, the predictive value of these studies with respect to future testing in humans is limited, particularly in indications where animal models are less developed.</w:t>
      </w:r>
    </w:p>
    <w:p>
      <w:pPr>
        <w:spacing w:after="0" w:line="89"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Even if our clinical trials are completed, the results may not be sufficient to obtain marketing approval for our product candidates. In clinical trials that are based on preclinical studies and early clinical trials,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studies. In addition, in some cases, external experts or regulatory authorities disagreed with such companies’ views and interpretations of the data and results from earlier preclinical studies or clinical trials. As we investigate GSBR-1290 for T2DM and obesity and ANPA-0073 for IPF and PAH, we may encounter new and unforeseen difficulties. For example, we recently completed a 13-week toxicology study evaluating GSBR-1290 in NHPs to support the protocol amendment for our planned Phase 2a study, in which we observed low to moderate levels of liver necrosis across all dosing groups, including the control group. Although the liver necroses observed in the NHP study were not attributed to GSBR-1290, the FDA may disagree or take action which could delay our GSBR-1290 program and harm our business and financial condition. Similarly any future product candidates we may develop may not be able to progress from preclinical to Phase 1 clinical development. For the foregoing reasons, we cannot be certain that our ongoing and planned clinical trials and preclinical studies will be successful. Any of the foregoing occurrences may harm our business, financial condition and prospects significantly.</w:t>
      </w:r>
    </w:p>
    <w:p>
      <w:pPr>
        <w:spacing w:after="0" w:line="86" w:lineRule="exact"/>
        <w:rPr>
          <w:sz w:val="20"/>
          <w:szCs w:val="20"/>
          <w:color w:val="auto"/>
        </w:rPr>
      </w:pPr>
    </w:p>
    <w:p>
      <w:pPr>
        <w:ind w:left="1560" w:right="1839"/>
        <w:spacing w:after="0" w:line="275" w:lineRule="auto"/>
        <w:rPr>
          <w:sz w:val="20"/>
          <w:szCs w:val="20"/>
          <w:color w:val="auto"/>
        </w:rPr>
      </w:pPr>
      <w:r>
        <w:rPr>
          <w:rFonts w:ascii="Arial" w:cs="Arial" w:eastAsia="Arial" w:hAnsi="Arial"/>
          <w:sz w:val="12"/>
          <w:szCs w:val="12"/>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65"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studies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spacing w:after="0" w:line="77"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Clinical trials may not be conducted as planned or completed on schedule, if at all. Events that may prevent successful or timely completion of clinical development include:</w:t>
      </w:r>
    </w:p>
    <w:p>
      <w:pPr>
        <w:spacing w:after="0" w:line="23" w:lineRule="exact"/>
        <w:rPr>
          <w:sz w:val="20"/>
          <w:szCs w:val="20"/>
          <w:color w:val="auto"/>
        </w:rPr>
      </w:pPr>
    </w:p>
    <w:p>
      <w:pPr>
        <w:ind w:left="1980" w:right="2379" w:hanging="157"/>
        <w:spacing w:after="0" w:line="308"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delays in reaching a consensus with applicable regulatory authorities on trial design or implementation;</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delays in obtaining regulatory authorization to commence a clinical trial;</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 w:name="page23"/>
    <w:bookmarkEnd w:id="2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79" w:hanging="157"/>
        <w:spacing w:after="0" w:line="28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delays in reaching agreement on acceptable terms with prospective clinical research organizations, or CROs, other vendors, or clinical trial sites, the terms of which can be subject to extensive negotiation and may vary significantly among different vendors and trial sites;</w:t>
      </w:r>
    </w:p>
    <w:p>
      <w:pPr>
        <w:spacing w:after="0" w:line="15" w:lineRule="exact"/>
        <w:rPr>
          <w:rFonts w:ascii="Arial" w:cs="Arial" w:eastAsia="Arial" w:hAnsi="Arial"/>
          <w:sz w:val="12"/>
          <w:szCs w:val="12"/>
          <w:color w:val="auto"/>
        </w:rPr>
      </w:pPr>
    </w:p>
    <w:p>
      <w:pPr>
        <w:jc w:val="both"/>
        <w:ind w:left="1980" w:right="1979" w:hanging="157"/>
        <w:spacing w:after="0" w:line="28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delays in obtaining approval from one or more institutional review boards, or IRBs, refusing to approve, suspending or terminating the trial at an investigational site, precluding enrollment of additional participants, or withdrawing their approval of the trial;</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delays in recruiting suitable patients to participate in our ongoing and planned clinical trials;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to the clinical trial protocol;</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clinical sites deviating from trial protocol or dropping out of a trial;</w:t>
      </w:r>
    </w:p>
    <w:p>
      <w:pPr>
        <w:spacing w:after="0" w:line="65" w:lineRule="exact"/>
        <w:rPr>
          <w:rFonts w:ascii="Arial" w:cs="Arial" w:eastAsia="Arial" w:hAnsi="Arial"/>
          <w:sz w:val="12"/>
          <w:szCs w:val="12"/>
          <w:color w:val="auto"/>
        </w:rPr>
      </w:pPr>
    </w:p>
    <w:p>
      <w:pPr>
        <w:ind w:left="1980" w:right="1759" w:hanging="157"/>
        <w:spacing w:after="0" w:line="28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delays in manufacturing sufficient quantities of our product candidates for use in clinical trials, or delays in sufficiently developing, characterizing or controlling a manufacturing process suitable for clinical trials;</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delays in having patients complete participation in a trial or return for post-treatment follow-up;</w:t>
      </w:r>
    </w:p>
    <w:p>
      <w:pPr>
        <w:spacing w:after="0" w:line="65" w:lineRule="exact"/>
        <w:rPr>
          <w:rFonts w:ascii="Arial" w:cs="Arial" w:eastAsia="Arial" w:hAnsi="Arial"/>
          <w:sz w:val="12"/>
          <w:szCs w:val="12"/>
          <w:color w:val="auto"/>
        </w:rPr>
      </w:pPr>
    </w:p>
    <w:p>
      <w:pPr>
        <w:ind w:left="1980" w:right="1879" w:hanging="157"/>
        <w:spacing w:after="0" w:line="30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participants choosing an alternative treatment for the indication for which we are developing our product candidates, or participating in competing clinical trials;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lack of adequate funding to continue a clinical trial;</w:t>
      </w:r>
    </w:p>
    <w:p>
      <w:pPr>
        <w:spacing w:after="0" w:line="65" w:lineRule="exact"/>
        <w:rPr>
          <w:rFonts w:ascii="Arial" w:cs="Arial" w:eastAsia="Arial" w:hAnsi="Arial"/>
          <w:sz w:val="12"/>
          <w:szCs w:val="12"/>
          <w:color w:val="auto"/>
        </w:rPr>
      </w:pPr>
    </w:p>
    <w:p>
      <w:pPr>
        <w:ind w:left="1980" w:right="1919" w:hanging="157"/>
        <w:spacing w:after="0" w:line="30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occurrence of adverse effects, or AEs, or serious adverse effects, or SAEs, associated with the product candidate that are viewed to outweigh its potential benefits;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occurrence of SAEs in clinical trials of the same class of agents conducted by other companies;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imposition of a temporary or permanent clinical hold by regulatory authorities;</w:t>
      </w:r>
    </w:p>
    <w:p>
      <w:pPr>
        <w:spacing w:after="0" w:line="65"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selection of clinical trial end points that require prolonged periods of clinical observation or analysis of the resulting data;</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clinical trials producing negative or inconclusive results;</w:t>
      </w:r>
    </w:p>
    <w:p>
      <w:pPr>
        <w:spacing w:after="0" w:line="65" w:lineRule="exact"/>
        <w:rPr>
          <w:rFonts w:ascii="Arial" w:cs="Arial" w:eastAsia="Arial" w:hAnsi="Arial"/>
          <w:sz w:val="12"/>
          <w:szCs w:val="12"/>
          <w:color w:val="auto"/>
        </w:rPr>
      </w:pPr>
    </w:p>
    <w:p>
      <w:pPr>
        <w:ind w:left="1980" w:right="1599" w:hanging="157"/>
        <w:spacing w:after="0" w:line="282"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facility manufacturing our product candidates or any of their components being ordered by the FDA or applicable foreign authorities to temporarily or permanently shut down due to violations of current good manufacturing practice, or cGMP, regulations or other applicable requirements, or contamination or cross-contaminations of product candidates in the manufacturing process;</w:t>
      </w:r>
    </w:p>
    <w:p>
      <w:pPr>
        <w:spacing w:after="0" w:line="18" w:lineRule="exact"/>
        <w:rPr>
          <w:rFonts w:ascii="Arial" w:cs="Arial" w:eastAsia="Arial" w:hAnsi="Arial"/>
          <w:sz w:val="12"/>
          <w:szCs w:val="12"/>
          <w:color w:val="auto"/>
        </w:rPr>
      </w:pPr>
    </w:p>
    <w:p>
      <w:pPr>
        <w:ind w:left="1980" w:right="1639" w:hanging="157"/>
        <w:spacing w:after="0" w:line="28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p>
      <w:pPr>
        <w:spacing w:after="0" w:line="25"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regulatory requirements, guidance, or feedback from regulatory agencies that require amending or submitting new clinical protocols or otherwise modifying the design of our clinical trials.</w:t>
      </w:r>
    </w:p>
    <w:p>
      <w:pPr>
        <w:spacing w:after="0" w:line="52" w:lineRule="exact"/>
        <w:rPr>
          <w:sz w:val="20"/>
          <w:szCs w:val="20"/>
          <w:color w:val="auto"/>
        </w:rPr>
      </w:pPr>
    </w:p>
    <w:p>
      <w:pPr>
        <w:ind w:left="1560" w:right="1679"/>
        <w:spacing w:after="0" w:line="272" w:lineRule="auto"/>
        <w:rPr>
          <w:sz w:val="20"/>
          <w:szCs w:val="20"/>
          <w:color w:val="auto"/>
        </w:rPr>
      </w:pPr>
      <w:r>
        <w:rPr>
          <w:rFonts w:ascii="Arial" w:cs="Arial" w:eastAsia="Arial" w:hAnsi="Arial"/>
          <w:sz w:val="12"/>
          <w:szCs w:val="12"/>
          <w:color w:val="auto"/>
        </w:rPr>
        <w:t>We could also encounter delays if a clinical trial is suspended or terminated by us, by the IRBs of the institutions in which such trials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spacing w:after="0" w:line="86"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 addition, disruptions caused by the COVID-19 pandemic may increase the likelihood that we encounter</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 w:name="page24"/>
    <w:bookmarkEnd w:id="2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difficulties or delays in initiating, screening, enrolling, conducting, or completing our ongoing and planned preclinical studies and clinical trials. Clinical site initiation and patient screening and enrollment may be delayed due to prioritization of hospital resources toward the COVID-19 pandemic. Investigators and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 As a result of the COVID-19 pandemic, we have faced and may continue to face delays in meeting our anticipated timelines for our ongoing and planned clinical trials. To date, we have experienced delays in our patient enrollment and our supply chain as a direct result of COVID-19 on our suppliers’ ability to timely manufacture and ship certain supplies such as reagents and other lab consumables. These delays have not resulted in a material impact on our operations; however, such delays have previously impacted and could in the future adversely affect our business, financial condition, results of operations and growth prospects.</w:t>
      </w:r>
    </w:p>
    <w:p>
      <w:pPr>
        <w:spacing w:after="0" w:line="83"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trials to tablet formulations, including the addition of excipients, in later stage clinical trials. While these formulation transitions are common for small molecule drug candidates, we cannot guarantee that we will not encounter delays or unexpected results in bridging studies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spacing w:after="0" w:line="82" w:lineRule="exact"/>
        <w:rPr>
          <w:sz w:val="20"/>
          <w:szCs w:val="20"/>
          <w:color w:val="auto"/>
        </w:rPr>
      </w:pPr>
    </w:p>
    <w:p>
      <w:pPr>
        <w:ind w:left="1560" w:right="1719"/>
        <w:spacing w:after="0" w:line="277" w:lineRule="auto"/>
        <w:rPr>
          <w:sz w:val="20"/>
          <w:szCs w:val="20"/>
          <w:color w:val="auto"/>
        </w:rPr>
      </w:pPr>
      <w:r>
        <w:rPr>
          <w:rFonts w:ascii="Arial" w:cs="Arial" w:eastAsia="Arial" w:hAnsi="Arial"/>
          <w:sz w:val="12"/>
          <w:szCs w:val="12"/>
          <w:b w:val="1"/>
          <w:bCs w:val="1"/>
          <w:i w:val="1"/>
          <w:iCs w:val="1"/>
          <w:color w:val="auto"/>
        </w:rPr>
        <w:t>Enrollment and retention of patients in clinical trials is an expensive and time -consuming process and could be made more difficult or rendered impossible by multiple factors outside our control, which could adversely affect our business, operating results and prospects.</w:t>
      </w:r>
    </w:p>
    <w:p>
      <w:pPr>
        <w:spacing w:after="0" w:line="216" w:lineRule="exact"/>
        <w:rPr>
          <w:sz w:val="20"/>
          <w:szCs w:val="20"/>
          <w:color w:val="auto"/>
        </w:rPr>
      </w:pPr>
    </w:p>
    <w:p>
      <w:pPr>
        <w:ind w:left="1560" w:right="1639"/>
        <w:spacing w:after="0" w:line="260" w:lineRule="auto"/>
        <w:rPr>
          <w:sz w:val="20"/>
          <w:szCs w:val="20"/>
          <w:color w:val="auto"/>
        </w:rPr>
      </w:pPr>
      <w:r>
        <w:rPr>
          <w:rFonts w:ascii="Arial" w:cs="Arial" w:eastAsia="Arial" w:hAnsi="Arial"/>
          <w:sz w:val="12"/>
          <w:szCs w:val="12"/>
          <w:color w:val="auto"/>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ANPA-0073,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planned clinical trials and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spacing w:after="0" w:line="83"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development and approval of our product candidates. Even once enrolled we may be unable to retain a sufficient number of patients to complete any of our trials.</w:t>
      </w:r>
    </w:p>
    <w:p>
      <w:pPr>
        <w:spacing w:after="0" w:line="76" w:lineRule="exact"/>
        <w:rPr>
          <w:sz w:val="20"/>
          <w:szCs w:val="20"/>
          <w:color w:val="auto"/>
        </w:rPr>
      </w:pPr>
    </w:p>
    <w:p>
      <w:pPr>
        <w:ind w:left="1560" w:right="1759"/>
        <w:spacing w:after="0" w:line="308" w:lineRule="auto"/>
        <w:rPr>
          <w:sz w:val="20"/>
          <w:szCs w:val="20"/>
          <w:color w:val="auto"/>
        </w:rPr>
      </w:pPr>
      <w:r>
        <w:rPr>
          <w:rFonts w:ascii="Arial" w:cs="Arial" w:eastAsia="Arial" w:hAnsi="Arial"/>
          <w:sz w:val="12"/>
          <w:szCs w:val="12"/>
          <w:color w:val="auto"/>
        </w:rPr>
        <w:t>The timely completion of clinical trials in accordance with their protocols depends, among other things, on our ability to enroll a sufficient number of patients who remain in the study until its conclusion. We may</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 w:name="page25"/>
    <w:bookmarkEnd w:id="2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experience difficulties in patient enrollment or retention in our clinical trials for a variety of reasons. Patient enrollment and retention in clinical trials depends on many factors, including:</w:t>
      </w:r>
    </w:p>
    <w:p>
      <w:pPr>
        <w:spacing w:after="0" w:line="23" w:lineRule="exact"/>
        <w:rPr>
          <w:sz w:val="20"/>
          <w:szCs w:val="20"/>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size and nature of the patient population;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severity of the disease under investigation;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design of the trial protocol;</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existing body of safety and efficacy data for the product candidate;</w:t>
      </w:r>
    </w:p>
    <w:p>
      <w:pPr>
        <w:spacing w:after="0" w:line="74"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number and nature of competing treatments and ongoing clinical trials of competing therapies for the same indication;</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proximity of patients to clinical sites;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eligibility criteria for the trial;</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ability to recruit clinical trial investigators with the appropriate competencies and experience;</w:t>
      </w:r>
    </w:p>
    <w:p>
      <w:pPr>
        <w:spacing w:after="0" w:line="65"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ability to adequately monitor patients during a trial, clinicians’ and patients’ perceptions as to the potential advantages of the product candidate being studied;</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risk that patients will drop out of a trial before completing all site visits; and</w:t>
      </w:r>
    </w:p>
    <w:p>
      <w:pPr>
        <w:spacing w:after="0" w:line="65" w:lineRule="exact"/>
        <w:rPr>
          <w:rFonts w:ascii="Arial" w:cs="Arial" w:eastAsia="Arial" w:hAnsi="Arial"/>
          <w:sz w:val="12"/>
          <w:szCs w:val="12"/>
          <w:color w:val="auto"/>
        </w:rPr>
      </w:pPr>
    </w:p>
    <w:p>
      <w:pPr>
        <w:ind w:left="1980" w:right="1939" w:hanging="157"/>
        <w:spacing w:after="0" w:line="308"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clinicians’ and patients’ perceptions as to the potential advantages of the drug being studied in relation to other available therapies.</w:t>
      </w:r>
    </w:p>
    <w:p>
      <w:pPr>
        <w:spacing w:after="0" w:line="52"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Furthermore, our efforts to build relationships with patient communities may not succeed, which could result in delays in patient enrollment in our clinical trials. In addition,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such as the ongoing COVID-19 pandemic,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whether as a result of the COVID-19 pandemic and related illness or actions taken to slow the spread of COVID-19 or otherwise, the integrity of data from our clinical trials may be compromised or not accepted by the FDA or applicable foreign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spacing w:after="0" w:line="244" w:lineRule="exact"/>
        <w:rPr>
          <w:sz w:val="20"/>
          <w:szCs w:val="20"/>
          <w:color w:val="auto"/>
        </w:rPr>
      </w:pPr>
    </w:p>
    <w:p>
      <w:pPr>
        <w:ind w:left="1560" w:right="1719"/>
        <w:spacing w:after="0" w:line="278" w:lineRule="auto"/>
        <w:rPr>
          <w:sz w:val="20"/>
          <w:szCs w:val="20"/>
          <w:color w:val="auto"/>
        </w:rPr>
      </w:pPr>
      <w:r>
        <w:rPr>
          <w:rFonts w:ascii="Arial" w:cs="Arial" w:eastAsia="Arial" w:hAnsi="Arial"/>
          <w:sz w:val="12"/>
          <w:szCs w:val="12"/>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spacing w:after="0" w:line="74"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III trials or, in some cases, after they are made available to patients on a commercial scale after approval. If additional clinical experience indicates that any of our current product candidates and any future product candidates has serious or life-threatening side effects or other side effects that outweigh the potential therapeutic benefit, the development of the product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 w:name="page26"/>
    <w:bookmarkEnd w:id="2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spacing w:after="0" w:line="81"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in our ongoing clinical trials. In our completed Phase 1 SAD study of GSBR-1290, the following adverse events occurred and were considered probably or possibly related to the study drug: nausea, headache, vomiting, dehydration, decreased appetite, dizziness, and diarrhea. In our completed Phase 1 SAD and MAD study of ANPA-0073, the following adverse events occurred and were considered probably or possibly related to the study drug: blood creatine phosphokinase increase, dizziness, electrocardiogram T wave inversion, diarrhea, headache, lethargy, nausea, vomiting, chills, palpitations, and sinus tachycardia. However, further analysis may reveal AEs inconsistent with the safety results observed.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80"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In addition, if any of our product candidates receive marketing approval, the FDA could require us to include a black box warning in our label or adopt Risk Evaluation and Mitigation Strategies, or REMS, to ensure that the 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studies. While we have not yet conducted carcinogenicity studies for GSBR-1290, because it also targets GLP-1R, it is possible that absent compelling data to the contrary, the FDA and applicable foreign authorities will similarly require a black box warning for GSBR-1290 if it is approved for marketing. Furthermore, if we or others later identify undesirable side effects caused by our product candidates, several other potentially significant negative consequences could result, including:</w:t>
      </w:r>
    </w:p>
    <w:p>
      <w:pPr>
        <w:spacing w:after="0" w:line="33" w:lineRule="exact"/>
        <w:rPr>
          <w:sz w:val="20"/>
          <w:szCs w:val="20"/>
          <w:color w:val="auto"/>
        </w:rPr>
      </w:pPr>
    </w:p>
    <w:p>
      <w:pPr>
        <w:ind w:left="1980" w:hanging="157"/>
        <w:spacing w:after="0"/>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regulatory authorities may suspend or withdraw approvals of such product candidate;</w:t>
      </w:r>
    </w:p>
    <w:p>
      <w:pPr>
        <w:spacing w:after="0" w:line="65" w:lineRule="exact"/>
        <w:rPr>
          <w:rFonts w:ascii="Arial" w:cs="Arial" w:eastAsia="Arial" w:hAnsi="Arial"/>
          <w:sz w:val="12"/>
          <w:szCs w:val="12"/>
          <w:color w:val="auto"/>
        </w:rPr>
      </w:pPr>
    </w:p>
    <w:p>
      <w:pPr>
        <w:ind w:left="1980" w:right="1779" w:hanging="157"/>
        <w:spacing w:after="0" w:line="288" w:lineRule="auto"/>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be required to change the way a product candidate is administered or conduct additional clinical trials;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patients;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could be subject to fines, injunctions, or the imposition of criminal or civil penalties;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need to conduct a recall;</w:t>
      </w:r>
    </w:p>
    <w:p>
      <w:pPr>
        <w:spacing w:after="0" w:line="74" w:lineRule="exact"/>
        <w:rPr>
          <w:rFonts w:ascii="Arial" w:cs="Arial" w:eastAsia="Arial" w:hAnsi="Arial"/>
          <w:sz w:val="12"/>
          <w:szCs w:val="12"/>
          <w:color w:val="auto"/>
        </w:rPr>
      </w:pPr>
    </w:p>
    <w:p>
      <w:pPr>
        <w:ind w:left="1980" w:right="1779" w:hanging="157"/>
        <w:spacing w:after="0" w:line="308" w:lineRule="auto"/>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be forced to suspend marketing of that product, or decide to remove the product from the marketplace; and</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product may become less competitive, and our reputation may suffer.</w:t>
      </w:r>
    </w:p>
    <w:p>
      <w:pPr>
        <w:spacing w:after="0" w:line="123" w:lineRule="exact"/>
        <w:rPr>
          <w:sz w:val="20"/>
          <w:szCs w:val="20"/>
          <w:color w:val="auto"/>
        </w:rPr>
      </w:pPr>
    </w:p>
    <w:p>
      <w:pPr>
        <w:ind w:left="1560" w:right="1959"/>
        <w:spacing w:after="0" w:line="288" w:lineRule="auto"/>
        <w:rPr>
          <w:sz w:val="20"/>
          <w:szCs w:val="20"/>
          <w:color w:val="auto"/>
        </w:rPr>
      </w:pPr>
      <w:r>
        <w:rPr>
          <w:rFonts w:ascii="Arial" w:cs="Arial" w:eastAsia="Arial" w:hAnsi="Arial"/>
          <w:sz w:val="12"/>
          <w:szCs w:val="12"/>
          <w:color w:val="auto"/>
        </w:rPr>
        <w:t>Any of these events could prevent us from achieving or maintaining market acceptance of our product candidates and could significantly harm our business, prospects, financial condition and results of operations.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 w:name="page27"/>
    <w:bookmarkEnd w:id="2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right="1899"/>
        <w:spacing w:after="0" w:line="315" w:lineRule="auto"/>
        <w:rPr>
          <w:sz w:val="20"/>
          <w:szCs w:val="20"/>
          <w:color w:val="auto"/>
        </w:rPr>
      </w:pPr>
      <w:r>
        <w:rPr>
          <w:rFonts w:ascii="Arial" w:cs="Arial" w:eastAsia="Arial" w:hAnsi="Arial"/>
          <w:sz w:val="12"/>
          <w:szCs w:val="12"/>
          <w:b w:val="1"/>
          <w:bCs w:val="1"/>
          <w:i w:val="1"/>
          <w:iCs w:val="1"/>
          <w:color w:val="auto"/>
        </w:rPr>
        <w:t>As an organization, we have never conducted later-stage clinical trials or submitted an NDA, and may be unable to do so for any of our product candidates.</w:t>
      </w:r>
    </w:p>
    <w:p>
      <w:pPr>
        <w:spacing w:after="0" w:line="52"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We are early in our development efforts for our product candidates, and we will need to successfully complete pivotal clinical trials in order to seek FDA or applicable foreign authority approval to market GSBR-1290, ANPA-0073 and any future product candidates we may develop. Carrying out clinical trials and the submission of NDAs is complicated. We completed a Phase 1 SAD study for GSBR-1290 in healthy volunteers in September 2022. Additionally, we completed our Phase 1 SAD and MAD study for ANPA-0073 in healthy volunteers for IPF and PAH. We have not conducted any later stage or pivotal clinical trials, have limited experience as a company in preparing, submitting and prosecuting regulatory filings and have not previously submitted an NDA or other applicable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no interactions with the FDA or applicable foreign authorities and cannot be certain how many clinical trials of our product candidates will be required or how such trials will have to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spacing w:after="0" w:line="234" w:lineRule="exact"/>
        <w:rPr>
          <w:sz w:val="20"/>
          <w:szCs w:val="20"/>
          <w:color w:val="auto"/>
        </w:rPr>
      </w:pPr>
    </w:p>
    <w:p>
      <w:pPr>
        <w:ind w:left="1560" w:right="1699"/>
        <w:spacing w:after="0" w:line="290" w:lineRule="auto"/>
        <w:rPr>
          <w:sz w:val="20"/>
          <w:szCs w:val="20"/>
          <w:color w:val="auto"/>
        </w:rPr>
      </w:pPr>
      <w:r>
        <w:rPr>
          <w:rFonts w:ascii="Arial" w:cs="Arial" w:eastAsia="Arial" w:hAnsi="Arial"/>
          <w:sz w:val="12"/>
          <w:szCs w:val="12"/>
          <w:b w:val="1"/>
          <w:bCs w:val="1"/>
          <w:i w:val="1"/>
          <w:iCs w:val="1"/>
          <w:color w:val="auto"/>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spacing w:after="0" w:line="223" w:lineRule="exact"/>
        <w:rPr>
          <w:sz w:val="20"/>
          <w:szCs w:val="20"/>
          <w:color w:val="auto"/>
        </w:rPr>
      </w:pPr>
    </w:p>
    <w:p>
      <w:pPr>
        <w:ind w:left="1560" w:right="1699"/>
        <w:spacing w:after="0" w:line="274" w:lineRule="auto"/>
        <w:rPr>
          <w:sz w:val="20"/>
          <w:szCs w:val="20"/>
          <w:color w:val="auto"/>
        </w:rPr>
      </w:pPr>
      <w:r>
        <w:rPr>
          <w:rFonts w:ascii="Arial" w:cs="Arial" w:eastAsia="Arial" w:hAnsi="Arial"/>
          <w:sz w:val="12"/>
          <w:szCs w:val="12"/>
          <w:color w:val="auto"/>
        </w:rPr>
        <w:t>The time required to reach approval by the FDA and applicable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spacing w:after="0" w:line="81"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Prior to obtaining approval to commercialize a product candidate in the United States or abroad, we or our collaborators must demonstrate with substantial evidence from well-controlled clinical trials, and to the satisfaction of the FDA or applicable foreign authorities, that such product candidates are safe and effective for their intended uses. The number of nonclinical studies and clinical trials that will be required for FDA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and applicable foreign authorities may also require us to conduct additional preclinical studies or clinical trials for our product candidates either prior to or post-approval, or could object to elements of our clinical development program.</w:t>
      </w:r>
    </w:p>
    <w:p>
      <w:pPr>
        <w:spacing w:after="0" w:line="72" w:lineRule="exact"/>
        <w:rPr>
          <w:sz w:val="20"/>
          <w:szCs w:val="20"/>
          <w:color w:val="auto"/>
        </w:rPr>
      </w:pPr>
    </w:p>
    <w:p>
      <w:pPr>
        <w:jc w:val="both"/>
        <w:ind w:left="1560" w:right="1859"/>
        <w:spacing w:after="0" w:line="288" w:lineRule="auto"/>
        <w:rPr>
          <w:sz w:val="20"/>
          <w:szCs w:val="20"/>
          <w:color w:val="auto"/>
        </w:rPr>
      </w:pPr>
      <w:r>
        <w:rPr>
          <w:rFonts w:ascii="Arial" w:cs="Arial" w:eastAsia="Arial" w:hAnsi="Arial"/>
          <w:sz w:val="12"/>
          <w:szCs w:val="12"/>
          <w:color w:val="auto"/>
        </w:rPr>
        <w:t>The FDA or applicable foreign authorities can delay, limit or deny approval of our product candidates or require us to conduct additional nonclinical or clinical testing or abandon a program for various reasons, including the following:</w:t>
      </w:r>
    </w:p>
    <w:p>
      <w:pPr>
        <w:spacing w:after="0" w:line="25" w:lineRule="exact"/>
        <w:rPr>
          <w:sz w:val="20"/>
          <w:szCs w:val="20"/>
          <w:color w:val="auto"/>
        </w:rPr>
      </w:pPr>
    </w:p>
    <w:p>
      <w:pPr>
        <w:ind w:left="1980" w:right="1879" w:hanging="157"/>
        <w:spacing w:after="0" w:line="308" w:lineRule="auto"/>
        <w:tabs>
          <w:tab w:leader="none" w:pos="1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FDA or applicable foreign authorities may disagree with the design or implementation of our clinical trials;</w:t>
      </w:r>
    </w:p>
    <w:p>
      <w:pPr>
        <w:spacing w:after="0" w:line="3"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may be unable to demonstrate to the satisfaction of the FDA or applicable foreign authorities that a product candidate is safe and effective for its proposed indication;</w:t>
      </w:r>
    </w:p>
    <w:p>
      <w:pPr>
        <w:spacing w:after="0" w:line="3"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results of clinical trials may not meet the level of statistical significance required by the FDA or applicable foreign authorities for approval;</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 w:name="page28"/>
    <w:bookmarkEnd w:id="2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9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serious and unexpected drug-related side effects experienced by participants in our clinical trials or by individuals using drugs similar to our product candidates;</w:t>
      </w:r>
    </w:p>
    <w:p>
      <w:pPr>
        <w:spacing w:after="0" w:line="3"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be unable to demonstrate that a product candidate’s clinical and other benefits outweigh its safety risks;</w:t>
      </w:r>
    </w:p>
    <w:p>
      <w:pPr>
        <w:spacing w:after="0" w:line="3"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 or applicable foreign authorities may disagree with our interpretation of data from preclinical studies or clinical trials;</w:t>
      </w:r>
    </w:p>
    <w:p>
      <w:pPr>
        <w:spacing w:after="0" w:line="13" w:lineRule="exact"/>
        <w:rPr>
          <w:rFonts w:ascii="Arial" w:cs="Arial" w:eastAsia="Arial" w:hAnsi="Arial"/>
          <w:sz w:val="12"/>
          <w:szCs w:val="12"/>
          <w:color w:val="auto"/>
        </w:rPr>
      </w:pPr>
    </w:p>
    <w:p>
      <w:pPr>
        <w:jc w:val="both"/>
        <w:ind w:left="1980" w:right="1639" w:hanging="157"/>
        <w:spacing w:after="0" w:line="28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data collected from clinical trials of our product candidates may not be acceptable or sufficient to support the submission of an NDA or other submission or to obtain marketing approval in the United States or elsewhere, and we may be required to conduct additional clinical trials;</w:t>
      </w:r>
    </w:p>
    <w:p>
      <w:pPr>
        <w:spacing w:after="0" w:line="15"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FDA’s or the applicable foreign authority’s requirement for additional nonclinical studies or clinical trials;</w:t>
      </w:r>
    </w:p>
    <w:p>
      <w:pPr>
        <w:spacing w:after="0" w:line="3" w:lineRule="exact"/>
        <w:rPr>
          <w:rFonts w:ascii="Arial" w:cs="Arial" w:eastAsia="Arial" w:hAnsi="Arial"/>
          <w:sz w:val="12"/>
          <w:szCs w:val="12"/>
          <w:color w:val="auto"/>
        </w:rPr>
      </w:pPr>
    </w:p>
    <w:p>
      <w:pPr>
        <w:ind w:left="1980" w:right="171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 or the applicable foreign authority may disagree regarding the formulation, labeling and/or the specifications of our product candidates;</w:t>
      </w:r>
    </w:p>
    <w:p>
      <w:pPr>
        <w:spacing w:after="0" w:line="3" w:lineRule="exact"/>
        <w:rPr>
          <w:rFonts w:ascii="Arial" w:cs="Arial" w:eastAsia="Arial" w:hAnsi="Arial"/>
          <w:sz w:val="12"/>
          <w:szCs w:val="12"/>
          <w:color w:val="auto"/>
        </w:rPr>
      </w:pPr>
    </w:p>
    <w:p>
      <w:pPr>
        <w:ind w:left="1980" w:right="157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 or applicable foreign authorities may fail to approve the manufacturing processes or facilities of third-party manufacturers with which we contract for clinical and commercial supplies; and</w:t>
      </w:r>
    </w:p>
    <w:p>
      <w:pPr>
        <w:spacing w:after="0" w:line="3" w:lineRule="exact"/>
        <w:rPr>
          <w:rFonts w:ascii="Arial" w:cs="Arial" w:eastAsia="Arial" w:hAnsi="Arial"/>
          <w:sz w:val="12"/>
          <w:szCs w:val="12"/>
          <w:color w:val="auto"/>
        </w:rPr>
      </w:pPr>
    </w:p>
    <w:p>
      <w:pPr>
        <w:ind w:left="1980" w:right="1859" w:hanging="157"/>
        <w:spacing w:after="0" w:line="308"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approval policies or regulations of the FDA or applicable foreign authorities may significantly change in a manner rendering our clinical data insufficient for approval.</w:t>
      </w:r>
    </w:p>
    <w:p>
      <w:pPr>
        <w:spacing w:after="0" w:line="52"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spacing w:after="0" w:line="85" w:lineRule="exact"/>
        <w:rPr>
          <w:sz w:val="20"/>
          <w:szCs w:val="20"/>
          <w:color w:val="auto"/>
        </w:rPr>
      </w:pPr>
    </w:p>
    <w:p>
      <w:pPr>
        <w:ind w:left="1560" w:right="1719"/>
        <w:spacing w:after="0" w:line="292" w:lineRule="auto"/>
        <w:rPr>
          <w:sz w:val="20"/>
          <w:szCs w:val="20"/>
          <w:color w:val="auto"/>
        </w:rPr>
      </w:pPr>
      <w:r>
        <w:rPr>
          <w:rFonts w:ascii="Arial" w:cs="Arial" w:eastAsia="Arial" w:hAnsi="Arial"/>
          <w:sz w:val="12"/>
          <w:szCs w:val="12"/>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65" w:lineRule="exact"/>
        <w:rPr>
          <w:sz w:val="20"/>
          <w:szCs w:val="20"/>
          <w:color w:val="auto"/>
        </w:rPr>
      </w:pPr>
    </w:p>
    <w:p>
      <w:pPr>
        <w:ind w:left="1560" w:right="1659"/>
        <w:spacing w:after="0" w:line="272" w:lineRule="auto"/>
        <w:rPr>
          <w:sz w:val="20"/>
          <w:szCs w:val="20"/>
          <w:color w:val="auto"/>
        </w:rPr>
      </w:pPr>
      <w:r>
        <w:rPr>
          <w:rFonts w:ascii="Arial" w:cs="Arial" w:eastAsia="Arial" w:hAnsi="Arial"/>
          <w:sz w:val="12"/>
          <w:szCs w:val="12"/>
          <w:color w:val="auto"/>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78" w:lineRule="exact"/>
        <w:rPr>
          <w:sz w:val="20"/>
          <w:szCs w:val="20"/>
          <w:color w:val="auto"/>
        </w:rPr>
      </w:pPr>
    </w:p>
    <w:p>
      <w:pPr>
        <w:ind w:left="1560" w:right="1659"/>
        <w:spacing w:after="0" w:line="315" w:lineRule="auto"/>
        <w:rPr>
          <w:sz w:val="20"/>
          <w:szCs w:val="20"/>
          <w:color w:val="auto"/>
        </w:rPr>
      </w:pPr>
      <w:r>
        <w:rPr>
          <w:rFonts w:ascii="Arial" w:cs="Arial" w:eastAsia="Arial" w:hAnsi="Arial"/>
          <w:sz w:val="12"/>
          <w:szCs w:val="12"/>
          <w:b w:val="1"/>
          <w:bCs w:val="1"/>
          <w:i w:val="1"/>
          <w:iCs w:val="1"/>
          <w:color w:val="auto"/>
        </w:rPr>
        <w:t>We may not be able to obtain or maintain orphan drug designations or exclusivity for our product candidates, which could limit the potential profitability of our product candidates.</w:t>
      </w:r>
    </w:p>
    <w:p>
      <w:pPr>
        <w:spacing w:after="0" w:line="52"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seven-year period of marketing exclusivity that precludes the applicable regulatory authority from approving another marketing application for the same chemical entity for the same indication for the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 w:name="page29"/>
    <w:bookmarkEnd w:id="2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spacing w:after="0" w:line="82"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81" w:lineRule="exact"/>
        <w:rPr>
          <w:sz w:val="20"/>
          <w:szCs w:val="20"/>
          <w:color w:val="auto"/>
        </w:rPr>
      </w:pPr>
    </w:p>
    <w:p>
      <w:pPr>
        <w:ind w:left="1560" w:right="1619"/>
        <w:spacing w:after="0" w:line="284" w:lineRule="auto"/>
        <w:rPr>
          <w:sz w:val="20"/>
          <w:szCs w:val="20"/>
          <w:color w:val="auto"/>
        </w:rPr>
      </w:pPr>
      <w:r>
        <w:rPr>
          <w:rFonts w:ascii="Arial" w:cs="Arial" w:eastAsia="Arial" w:hAnsi="Arial"/>
          <w:sz w:val="12"/>
          <w:szCs w:val="12"/>
          <w:b w:val="1"/>
          <w:bCs w:val="1"/>
          <w:i w:val="1"/>
          <w:iCs w:val="1"/>
          <w:color w:val="auto"/>
        </w:rPr>
        <w:t>We have conducted, or plan to conduct, our initial clinical studies for GSBR-1290, ANPA-0073, and our other product candidates outside of the United States. However, the FDA and other foreign equivalents may not accept data from such trials, in which case our development plans will be delayed, which could materially harm our business.</w:t>
      </w:r>
    </w:p>
    <w:p>
      <w:pPr>
        <w:spacing w:after="0" w:line="70"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color w:val="auto"/>
        </w:rPr>
        <w:t>We have conducted our initial clinical studies for GSBR-1290 and ANPA-0073 in Australia, and will likely conduct our Phase 1 studies for other drug candidates in Australia. The acceptance of study data from clinical trials conducted outside the United States or another jurisdiction by the FDA or applicable foreign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w:t>
      </w:r>
    </w:p>
    <w:p>
      <w:pPr>
        <w:spacing w:after="0" w:line="2" w:lineRule="exact"/>
        <w:rPr>
          <w:sz w:val="20"/>
          <w:szCs w:val="20"/>
          <w:color w:val="auto"/>
        </w:rPr>
      </w:pPr>
    </w:p>
    <w:p>
      <w:pPr>
        <w:ind w:left="1560" w:right="1579" w:firstLine="5"/>
        <w:spacing w:after="0" w:line="271" w:lineRule="auto"/>
        <w:tabs>
          <w:tab w:leader="none" w:pos="175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 If the FDA or any applicable foreign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86"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We believe that clinical data generated in Australia will be accepted by the FDA and its foreign equivalents outside of Australia; however, there can be no assurance the FDA or applicable foreign authorities will accept data from any other clinical studies that we may conduct in Australia. If the FDA or applicable foreign authorities do not accept any such data, we would likely be required to conduct additional Phase 1 clinical studies, which would be costly and time consuming, and delay aspects of our development plan, which could harm our business.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 w:name="page30"/>
    <w:bookmarkEnd w:id="2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59"/>
        <w:spacing w:after="0" w:line="308" w:lineRule="auto"/>
        <w:rPr>
          <w:sz w:val="20"/>
          <w:szCs w:val="20"/>
          <w:color w:val="auto"/>
        </w:rPr>
      </w:pPr>
      <w:r>
        <w:rPr>
          <w:rFonts w:ascii="Arial" w:cs="Arial" w:eastAsia="Arial" w:hAnsi="Arial"/>
          <w:sz w:val="12"/>
          <w:szCs w:val="12"/>
          <w:color w:val="auto"/>
        </w:rPr>
        <w:t>Conducting clinical trials outside the United States exposes us to additional risks, including risks associated with:</w:t>
      </w:r>
    </w:p>
    <w:p>
      <w:pPr>
        <w:spacing w:after="0" w:line="13" w:lineRule="exact"/>
        <w:rPr>
          <w:sz w:val="20"/>
          <w:szCs w:val="20"/>
          <w:color w:val="auto"/>
        </w:rPr>
      </w:pPr>
    </w:p>
    <w:p>
      <w:pPr>
        <w:ind w:left="1980" w:hanging="157"/>
        <w:spacing w:after="0"/>
        <w:tabs>
          <w:tab w:leader="none" w:pos="1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additional foreign regulatory requirements;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foreign exchange fluctuations;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compliance with foreign manufacturing, customs, shipment and storage requirements;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cultural differences in medical practice and clinical research; and</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diminished protection of intellectual property in some countries.</w:t>
      </w:r>
    </w:p>
    <w:p>
      <w:pPr>
        <w:spacing w:after="0" w:line="125" w:lineRule="exact"/>
        <w:rPr>
          <w:sz w:val="20"/>
          <w:szCs w:val="20"/>
          <w:color w:val="auto"/>
        </w:rPr>
      </w:pPr>
    </w:p>
    <w:p>
      <w:pPr>
        <w:ind w:left="1560" w:right="1799"/>
        <w:spacing w:after="0" w:line="292" w:lineRule="auto"/>
        <w:rPr>
          <w:sz w:val="20"/>
          <w:szCs w:val="20"/>
          <w:color w:val="auto"/>
        </w:rPr>
      </w:pPr>
      <w:r>
        <w:rPr>
          <w:rFonts w:ascii="Arial" w:cs="Arial" w:eastAsia="Arial" w:hAnsi="Arial"/>
          <w:sz w:val="12"/>
          <w:szCs w:val="12"/>
          <w:b w:val="1"/>
          <w:bCs w:val="1"/>
          <w:i w:val="1"/>
          <w:iCs w:val="1"/>
          <w:color w:val="auto"/>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spacing w:after="0" w:line="55"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From time to time, we may publicly disclose interim,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spacing w:after="0" w:line="237"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88" w:lineRule="exact"/>
        <w:rPr>
          <w:sz w:val="20"/>
          <w:szCs w:val="20"/>
          <w:color w:val="auto"/>
        </w:rPr>
      </w:pPr>
    </w:p>
    <w:p>
      <w:pPr>
        <w:ind w:left="1560" w:right="1799"/>
        <w:spacing w:after="0" w:line="292" w:lineRule="auto"/>
        <w:rPr>
          <w:sz w:val="20"/>
          <w:szCs w:val="20"/>
          <w:color w:val="auto"/>
        </w:rPr>
      </w:pPr>
      <w:r>
        <w:rPr>
          <w:rFonts w:ascii="Arial" w:cs="Arial" w:eastAsia="Arial" w:hAnsi="Arial"/>
          <w:sz w:val="12"/>
          <w:szCs w:val="12"/>
          <w:b w:val="1"/>
          <w:bCs w:val="1"/>
          <w:i w:val="1"/>
          <w:iCs w:val="1"/>
          <w:color w:val="auto"/>
        </w:rPr>
        <w:t>Obtaining and maintaining marketing approval of our product candidates in one jurisdiction does not mean that we will be successful in obtaining marketing approval of our product candidates in other jurisdictions.</w:t>
      </w:r>
    </w:p>
    <w:p>
      <w:pPr>
        <w:spacing w:after="0" w:line="55"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0" w:name="page31"/>
    <w:bookmarkEnd w:id="3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80" w:lineRule="exact"/>
        <w:rPr>
          <w:sz w:val="20"/>
          <w:szCs w:val="20"/>
          <w:color w:val="auto"/>
        </w:rPr>
      </w:pPr>
    </w:p>
    <w:p>
      <w:pPr>
        <w:ind w:left="1560" w:right="1599"/>
        <w:spacing w:after="0" w:line="269" w:lineRule="auto"/>
        <w:rPr>
          <w:sz w:val="20"/>
          <w:szCs w:val="20"/>
          <w:color w:val="auto"/>
        </w:rPr>
      </w:pPr>
      <w:r>
        <w:rPr>
          <w:rFonts w:ascii="Arial" w:cs="Arial" w:eastAsia="Arial" w:hAnsi="Arial"/>
          <w:sz w:val="12"/>
          <w:szCs w:val="12"/>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221"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The ability of the FDA and applicable foreign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78" w:lineRule="exact"/>
        <w:rPr>
          <w:sz w:val="20"/>
          <w:szCs w:val="20"/>
          <w:color w:val="auto"/>
        </w:rPr>
      </w:pPr>
    </w:p>
    <w:p>
      <w:pPr>
        <w:ind w:left="1560" w:right="1679"/>
        <w:spacing w:after="0" w:line="264" w:lineRule="auto"/>
        <w:rPr>
          <w:sz w:val="20"/>
          <w:szCs w:val="20"/>
          <w:color w:val="auto"/>
        </w:rPr>
      </w:pPr>
      <w:r>
        <w:rPr>
          <w:rFonts w:ascii="Arial" w:cs="Arial" w:eastAsia="Arial" w:hAnsi="Arial"/>
          <w:sz w:val="12"/>
          <w:szCs w:val="12"/>
          <w:color w:val="auto"/>
        </w:rPr>
        <w:t>Disruptions at the FDA and other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furloughed critical employees and ceased critical activities. If a prolonged government shutdown occurs, it could significantly impact the ability of the FDA and applicable foreign authorities to timely review and process our regulatory submissions, which could have a material adverse effect on our business.</w:t>
      </w:r>
    </w:p>
    <w:p>
      <w:pPr>
        <w:spacing w:after="0" w:line="78"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Separately, in response to the COVID-19 pandemic, in March 2020, the FDA postponed most inspections of domestic and foreign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in April 2021, the FDA began conducting voluntary remote interactive evaluations of certain drug manufacturing facilities and clinical research sites, among other facilities, in circumstances where the FDA determines that such remote evaluation would be appropriate, based on mission needs and travel limitations.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applicable foreign authorities from conducting their regular inspections, reviews, or other regulatory activities, it could significantly impact the ability of the FDA or applicable foreign authorities to timely review and process our regulatory submissions, which could have a material adverse effect on our business.</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Risks Related to Our Reliance on Third Parties</w:t>
      </w:r>
    </w:p>
    <w:p>
      <w:pPr>
        <w:spacing w:after="0" w:line="125"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b w:val="1"/>
          <w:bCs w:val="1"/>
          <w:i w:val="1"/>
          <w:iCs w:val="1"/>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3"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our product candidates are currently provided by a single-source supplier, WuXi STA, and we expect to rely on this supplier for the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1" w:name="page32"/>
    <w:bookmarkEnd w:id="3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foreseeable future. While we believe that adequate alternative sources for such supplies exist, there is a risk that, if supplies are interrupted, it would materially harm our business.</w:t>
      </w:r>
    </w:p>
    <w:p>
      <w:pPr>
        <w:spacing w:after="0" w:line="62"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80" w:lineRule="exact"/>
        <w:rPr>
          <w:sz w:val="20"/>
          <w:szCs w:val="20"/>
          <w:color w:val="auto"/>
        </w:rPr>
      </w:pPr>
    </w:p>
    <w:p>
      <w:pPr>
        <w:ind w:left="1560" w:right="1679"/>
        <w:spacing w:after="0" w:line="290" w:lineRule="auto"/>
        <w:rPr>
          <w:sz w:val="20"/>
          <w:szCs w:val="20"/>
          <w:color w:val="auto"/>
        </w:rPr>
      </w:pPr>
      <w:r>
        <w:rPr>
          <w:rFonts w:ascii="Arial" w:cs="Arial" w:eastAsia="Arial" w:hAnsi="Arial"/>
          <w:sz w:val="12"/>
          <w:szCs w:val="12"/>
          <w:b w:val="1"/>
          <w:bCs w:val="1"/>
          <w:i w:val="1"/>
          <w:iCs w:val="1"/>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23"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the COVID-19 pandemic,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83" w:lineRule="exact"/>
        <w:rPr>
          <w:sz w:val="20"/>
          <w:szCs w:val="20"/>
          <w:color w:val="auto"/>
        </w:rPr>
      </w:pPr>
    </w:p>
    <w:p>
      <w:pPr>
        <w:ind w:left="1560" w:right="1739"/>
        <w:spacing w:after="0" w:line="288" w:lineRule="auto"/>
        <w:rPr>
          <w:sz w:val="20"/>
          <w:szCs w:val="20"/>
          <w:color w:val="auto"/>
        </w:rPr>
      </w:pPr>
      <w:r>
        <w:rPr>
          <w:rFonts w:ascii="Arial" w:cs="Arial" w:eastAsia="Arial" w:hAnsi="Arial"/>
          <w:sz w:val="12"/>
          <w:szCs w:val="12"/>
          <w:color w:val="auto"/>
        </w:rPr>
        <w:t>Our or a third-party’s failure to execute on our manufacturing requirements on commercially reasonable terms and timelines, if at all, and comply with cGMP requirements could adversely affect our business in a number of ways, including:</w:t>
      </w:r>
    </w:p>
    <w:p>
      <w:pPr>
        <w:spacing w:after="0" w:line="16" w:lineRule="exact"/>
        <w:rPr>
          <w:sz w:val="20"/>
          <w:szCs w:val="20"/>
          <w:color w:val="auto"/>
        </w:rPr>
      </w:pPr>
    </w:p>
    <w:p>
      <w:pPr>
        <w:ind w:left="1980" w:hanging="157"/>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inability to meet our drug specifications and quality requirements consistently;</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delay or inability to procure or expand sufficient manufacturing capacity;</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issues related to scale-up of manufacturing;</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costs and validation of new equipment and facilities required for scale-up;</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failure to comply with cGMP or similar foreign standards;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2" w:name="page33"/>
    <w:bookmarkEnd w:id="3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819" w:hanging="157"/>
        <w:spacing w:after="0" w:line="308"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inability to negotiate manufacturing agreements with third parties under commercially reasonable terms, if at all;</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reliance on single source manufacturers for drug substances and drug products;</w:t>
      </w:r>
    </w:p>
    <w:p>
      <w:pPr>
        <w:spacing w:after="0" w:line="65"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lack of qualified backup suppliers for those components that are currently purchased from a sole or single source supplier;</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misappropriation of proprietary information, including our trade secrets and know-how;</w:t>
      </w:r>
    </w:p>
    <w:p>
      <w:pPr>
        <w:spacing w:after="0" w:line="65"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mislabeling of clinical supplies, potentially resulting in the wrong dose amounts being supplied or study drug or placebo not being properly identified;</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clinical supplies not being delivered to clinical sites on time, leading to clinical trial interruptions;</w:t>
      </w:r>
    </w:p>
    <w:p>
      <w:pPr>
        <w:spacing w:after="0" w:line="65"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operations of our third-party manufacturers or suppliers could be disrupted by conditions unrelated to our business or operations, including the bankruptcy of the manufacturer or supplier; and</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carrier disruptions or increased costs that are beyond our control.</w:t>
      </w:r>
    </w:p>
    <w:p>
      <w:pPr>
        <w:spacing w:after="0" w:line="113"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spacing w:after="0" w:line="75" w:lineRule="exact"/>
        <w:rPr>
          <w:sz w:val="20"/>
          <w:szCs w:val="20"/>
          <w:color w:val="auto"/>
        </w:rPr>
      </w:pPr>
    </w:p>
    <w:p>
      <w:pPr>
        <w:ind w:left="1560" w:right="1759"/>
        <w:spacing w:after="0" w:line="268" w:lineRule="auto"/>
        <w:rPr>
          <w:sz w:val="20"/>
          <w:szCs w:val="20"/>
          <w:color w:val="auto"/>
        </w:rPr>
      </w:pPr>
      <w:r>
        <w:rPr>
          <w:rFonts w:ascii="Arial" w:cs="Arial" w:eastAsia="Arial" w:hAnsi="Arial"/>
          <w:sz w:val="12"/>
          <w:szCs w:val="12"/>
          <w:b w:val="1"/>
          <w:bCs w:val="1"/>
          <w:i w:val="1"/>
          <w:iCs w:val="1"/>
          <w:color w:val="auto"/>
        </w:rPr>
        <w:t>We intend to rely on third parties to conduct, supervise and monitor our discovery research, preclinical studies and clinical trials. If those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78"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We do not currently have the ability to independently conduct certain discovery research, preclinical studies and clinical trials for our product candidates.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or clinical trials are conducted in accordance with the applicable protocol, legal, regulatory and scientific standards and our reliance on the CROs does not relieve us of our regulatory responsibilities.</w:t>
      </w:r>
    </w:p>
    <w:p>
      <w:pPr>
        <w:spacing w:after="0" w:line="8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We and our CROs will be required to comply with the good laboratory practices, or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GLP-compliant preclinical studies and GCP-compliant clinical trials, we remain responsible for ensuring that each of our GLP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applicable foreign authorities may require us to perform additional clinical trials before approving our marketing applications. Accordingly, if our CROs fail to comply with these regulations or fail to recruit a sufficient number of participants, we may be required to repeat clinical trials, which would delay the marketing approval process.</w:t>
      </w:r>
    </w:p>
    <w:p>
      <w:pPr>
        <w:spacing w:after="0" w:line="84"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3" w:name="page34"/>
    <w:bookmarkEnd w:id="3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jc w:val="both"/>
        <w:ind w:left="1560" w:right="1699"/>
        <w:spacing w:after="0" w:line="271" w:lineRule="auto"/>
        <w:rPr>
          <w:sz w:val="20"/>
          <w:szCs w:val="20"/>
          <w:color w:val="auto"/>
        </w:rPr>
      </w:pPr>
      <w:r>
        <w:rPr>
          <w:rFonts w:ascii="Arial" w:cs="Arial" w:eastAsia="Arial" w:hAnsi="Arial"/>
          <w:sz w:val="12"/>
          <w:szCs w:val="12"/>
          <w:color w:val="auto"/>
        </w:rPr>
        <w:t>any other reasons, our clinical trials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73"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 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spacing w:after="0" w:line="80" w:lineRule="exact"/>
        <w:rPr>
          <w:sz w:val="20"/>
          <w:szCs w:val="20"/>
          <w:color w:val="auto"/>
        </w:rPr>
      </w:pPr>
    </w:p>
    <w:p>
      <w:pPr>
        <w:ind w:left="1560" w:right="1639"/>
        <w:spacing w:after="0" w:line="263" w:lineRule="auto"/>
        <w:rPr>
          <w:sz w:val="20"/>
          <w:szCs w:val="20"/>
          <w:color w:val="auto"/>
        </w:rPr>
      </w:pPr>
      <w:r>
        <w:rPr>
          <w:rFonts w:ascii="Arial" w:cs="Arial" w:eastAsia="Arial" w:hAnsi="Arial"/>
          <w:sz w:val="12"/>
          <w:szCs w:val="12"/>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spacing w:after="0" w:line="82"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b w:val="1"/>
          <w:bCs w:val="1"/>
          <w:i w:val="1"/>
          <w:iCs w:val="1"/>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221"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Research and development collaborations are subject to numerous risks, which may include the following:</w:t>
      </w:r>
    </w:p>
    <w:p>
      <w:pPr>
        <w:spacing w:after="0" w:line="65" w:lineRule="exact"/>
        <w:rPr>
          <w:sz w:val="20"/>
          <w:szCs w:val="20"/>
          <w:color w:val="auto"/>
        </w:rPr>
      </w:pPr>
    </w:p>
    <w:p>
      <w:pPr>
        <w:ind w:left="1980" w:right="1579" w:hanging="157"/>
        <w:spacing w:after="0" w:line="288" w:lineRule="auto"/>
        <w:tabs>
          <w:tab w:leader="none" w:pos="19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a collaboration, and may not commit sufficient efforts and resources, or may misapply those efforts and resources;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4" w:name="page35"/>
    <w:bookmarkEnd w:id="3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959" w:hanging="157"/>
        <w:spacing w:after="0" w:line="282"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p>
      <w:pPr>
        <w:spacing w:after="0" w:line="18" w:lineRule="exact"/>
        <w:rPr>
          <w:rFonts w:ascii="Arial" w:cs="Arial" w:eastAsia="Arial" w:hAnsi="Arial"/>
          <w:sz w:val="12"/>
          <w:szCs w:val="12"/>
          <w:color w:val="auto"/>
        </w:rPr>
      </w:pPr>
    </w:p>
    <w:p>
      <w:pPr>
        <w:ind w:left="1980" w:right="1919" w:hanging="157"/>
        <w:spacing w:after="0" w:line="308"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delay, provide insufficient resources to, or modify or stop clinical trials for our structure-based drug discovery platform or collaboration product candidates;</w:t>
      </w:r>
    </w:p>
    <w:p>
      <w:pPr>
        <w:spacing w:after="0" w:line="3"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could develop or acquire products outside of the collaboration that compete directly or indirectly with our products or product candidates;</w:t>
      </w:r>
    </w:p>
    <w:p>
      <w:pPr>
        <w:spacing w:after="0" w:line="3" w:lineRule="exact"/>
        <w:rPr>
          <w:rFonts w:ascii="Arial" w:cs="Arial" w:eastAsia="Arial" w:hAnsi="Arial"/>
          <w:sz w:val="12"/>
          <w:szCs w:val="12"/>
          <w:color w:val="auto"/>
        </w:rPr>
      </w:pPr>
    </w:p>
    <w:p>
      <w:pPr>
        <w:ind w:left="1980" w:right="1859" w:hanging="157"/>
        <w:spacing w:after="0" w:line="282"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 w:lineRule="exact"/>
        <w:rPr>
          <w:rFonts w:ascii="Arial" w:cs="Arial" w:eastAsia="Arial" w:hAnsi="Arial"/>
          <w:sz w:val="12"/>
          <w:szCs w:val="12"/>
          <w:color w:val="auto"/>
        </w:rPr>
      </w:pPr>
    </w:p>
    <w:p>
      <w:pPr>
        <w:ind w:left="1980" w:right="1999" w:hanging="157"/>
        <w:spacing w:after="0" w:line="288"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25" w:lineRule="exact"/>
        <w:rPr>
          <w:rFonts w:ascii="Arial" w:cs="Arial" w:eastAsia="Arial" w:hAnsi="Arial"/>
          <w:sz w:val="12"/>
          <w:szCs w:val="12"/>
          <w:color w:val="auto"/>
        </w:rPr>
      </w:pPr>
    </w:p>
    <w:p>
      <w:pPr>
        <w:ind w:left="1980" w:right="1619" w:hanging="157"/>
        <w:spacing w:after="0" w:line="288"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may result in a need for additional capital and personnel to pursue further development or commercialization of our structure-based drug discovery platform or the applicable product candidates; and</w:t>
      </w:r>
    </w:p>
    <w:p>
      <w:pPr>
        <w:spacing w:after="0" w:line="15" w:lineRule="exact"/>
        <w:rPr>
          <w:rFonts w:ascii="Arial" w:cs="Arial" w:eastAsia="Arial" w:hAnsi="Arial"/>
          <w:sz w:val="12"/>
          <w:szCs w:val="12"/>
          <w:color w:val="auto"/>
        </w:rPr>
      </w:pPr>
    </w:p>
    <w:p>
      <w:pPr>
        <w:jc w:val="both"/>
        <w:ind w:left="1980" w:right="1779" w:hanging="157"/>
        <w:spacing w:after="0" w:line="288"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own or co-own intellectual property covering our products that results from our collaborating with them, and in such cases, we may not have the exclusive right to commercialize such intellectual property.</w:t>
      </w:r>
    </w:p>
    <w:p>
      <w:pPr>
        <w:spacing w:after="0" w:line="54"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229"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spacing w:after="0" w:line="232"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5" w:name="page36"/>
    <w:bookmarkEnd w:id="3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59"/>
        <w:spacing w:after="0" w:line="266" w:lineRule="auto"/>
        <w:rPr>
          <w:sz w:val="20"/>
          <w:szCs w:val="20"/>
          <w:color w:val="auto"/>
        </w:rPr>
      </w:pPr>
      <w:r>
        <w:rPr>
          <w:rFonts w:ascii="Arial" w:cs="Arial" w:eastAsia="Arial" w:hAnsi="Arial"/>
          <w:sz w:val="12"/>
          <w:szCs w:val="12"/>
          <w:color w:val="auto"/>
        </w:rPr>
        <w:t>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6"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spacing w:after="0" w:line="82" w:lineRule="exact"/>
        <w:rPr>
          <w:sz w:val="20"/>
          <w:szCs w:val="20"/>
          <w:color w:val="auto"/>
        </w:rPr>
      </w:pPr>
    </w:p>
    <w:p>
      <w:pPr>
        <w:ind w:left="1560" w:right="1739"/>
        <w:spacing w:after="0" w:line="283" w:lineRule="auto"/>
        <w:rPr>
          <w:sz w:val="20"/>
          <w:szCs w:val="20"/>
          <w:color w:val="auto"/>
        </w:rPr>
      </w:pPr>
      <w:r>
        <w:rPr>
          <w:rFonts w:ascii="Arial" w:cs="Arial" w:eastAsia="Arial" w:hAnsi="Arial"/>
          <w:sz w:val="12"/>
          <w:szCs w:val="12"/>
          <w:b w:val="1"/>
          <w:bCs w:val="1"/>
          <w:i w:val="1"/>
          <w:iCs w:val="1"/>
          <w:color w:val="auto"/>
        </w:rPr>
        <w:t>Our existing discovery collaboration with Schrödinger is important to our business. If we are unable to maintain this collaboration, or if this collaboration is not successful, our business could be adversely affected.</w:t>
      </w:r>
    </w:p>
    <w:p>
      <w:pPr>
        <w:spacing w:after="0" w:line="61" w:lineRule="exact"/>
        <w:rPr>
          <w:sz w:val="20"/>
          <w:szCs w:val="20"/>
          <w:color w:val="auto"/>
        </w:rPr>
      </w:pPr>
    </w:p>
    <w:p>
      <w:pPr>
        <w:ind w:left="1560" w:right="1699"/>
        <w:spacing w:after="0" w:line="264" w:lineRule="auto"/>
        <w:rPr>
          <w:sz w:val="20"/>
          <w:szCs w:val="20"/>
          <w:color w:val="auto"/>
        </w:rPr>
      </w:pPr>
      <w:r>
        <w:rPr>
          <w:rFonts w:ascii="Arial" w:cs="Arial" w:eastAsia="Arial" w:hAnsi="Arial"/>
          <w:sz w:val="12"/>
          <w:szCs w:val="12"/>
          <w:color w:val="auto"/>
        </w:rPr>
        <w:t>In October 2020, Lhotse Bio, Inc., or Lhotse, our wholly-owned subsidiary, entered into a Collaboration Agreement with Schrödinger, or the Lhotse-Schrödinger Agreement. Under the Lhotse-Schrödinger Agreement,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this agreement. See the section titled “Business—Lhotse Collaboration Agreement with Schrödinger, LLC.”</w:t>
      </w:r>
    </w:p>
    <w:p>
      <w:pPr>
        <w:spacing w:after="0" w:line="78"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Because we currently rely on Schrödinger for a substantial portion of our discovery capabilities, if Schrödinger delays or fails to perform its obligations under the Lhotse-Schrödinger Agreement, disagrees with our interpretation of the terms of the collaboration or our discovery plan or terminates the Lhotse-Schrödinger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time-consuming and expensive. Additionally, either party has the right to terminate the collaboration pursuant to the terms of the Lhotse-Schrödinger Agreement. If our collaboration with Schrödinger is terminated, especially during our discovery phase, the development of our product candidates would be materially delayed or harmed.</w:t>
      </w:r>
    </w:p>
    <w:p>
      <w:pPr>
        <w:spacing w:after="0" w:line="81" w:lineRule="exact"/>
        <w:rPr>
          <w:sz w:val="20"/>
          <w:szCs w:val="20"/>
          <w:color w:val="auto"/>
        </w:rPr>
      </w:pPr>
    </w:p>
    <w:p>
      <w:pPr>
        <w:ind w:left="1560" w:right="2059"/>
        <w:spacing w:after="0" w:line="275" w:lineRule="auto"/>
        <w:rPr>
          <w:sz w:val="20"/>
          <w:szCs w:val="20"/>
          <w:color w:val="auto"/>
        </w:rPr>
      </w:pPr>
      <w:r>
        <w:rPr>
          <w:rFonts w:ascii="Arial" w:cs="Arial" w:eastAsia="Arial" w:hAnsi="Arial"/>
          <w:sz w:val="12"/>
          <w:szCs w:val="12"/>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5"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6" w:name="page37"/>
    <w:bookmarkEnd w:id="3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competitor’s discovery of our trade secrets or other unauthorized use or disclosure could have an adverse effect on our business and results of operations.</w:t>
      </w:r>
    </w:p>
    <w:p>
      <w:pPr>
        <w:spacing w:after="0" w:line="62" w:lineRule="exact"/>
        <w:rPr>
          <w:sz w:val="20"/>
          <w:szCs w:val="20"/>
          <w:color w:val="auto"/>
        </w:rPr>
      </w:pPr>
    </w:p>
    <w:p>
      <w:pPr>
        <w:ind w:left="1560" w:right="1619"/>
        <w:spacing w:after="0" w:line="270" w:lineRule="auto"/>
        <w:rPr>
          <w:sz w:val="20"/>
          <w:szCs w:val="20"/>
          <w:color w:val="auto"/>
        </w:rPr>
      </w:pPr>
      <w:r>
        <w:rPr>
          <w:rFonts w:ascii="Arial" w:cs="Arial" w:eastAsia="Arial" w:hAnsi="Arial"/>
          <w:sz w:val="12"/>
          <w:szCs w:val="12"/>
          <w:color w:val="auto"/>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spacing w:after="0" w:line="77" w:lineRule="exact"/>
        <w:rPr>
          <w:sz w:val="20"/>
          <w:szCs w:val="20"/>
          <w:color w:val="auto"/>
        </w:rPr>
      </w:pPr>
    </w:p>
    <w:p>
      <w:pPr>
        <w:ind w:left="1560" w:right="1639"/>
        <w:spacing w:after="0" w:line="298" w:lineRule="auto"/>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52"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89"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2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Risks Related to Commercialization of Our Product Candidates</w:t>
      </w:r>
    </w:p>
    <w:p>
      <w:pPr>
        <w:spacing w:after="0" w:line="125" w:lineRule="exact"/>
        <w:rPr>
          <w:sz w:val="20"/>
          <w:szCs w:val="20"/>
          <w:color w:val="auto"/>
        </w:rPr>
      </w:pPr>
    </w:p>
    <w:p>
      <w:pPr>
        <w:ind w:left="1560" w:right="1659"/>
        <w:spacing w:after="0" w:line="277" w:lineRule="auto"/>
        <w:rPr>
          <w:sz w:val="20"/>
          <w:szCs w:val="20"/>
          <w:color w:val="auto"/>
        </w:rPr>
      </w:pPr>
      <w:r>
        <w:rPr>
          <w:rFonts w:ascii="Arial" w:cs="Arial" w:eastAsia="Arial" w:hAnsi="Arial"/>
          <w:sz w:val="12"/>
          <w:szCs w:val="12"/>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232" w:lineRule="exact"/>
        <w:rPr>
          <w:sz w:val="20"/>
          <w:szCs w:val="20"/>
          <w:color w:val="auto"/>
        </w:rPr>
      </w:pPr>
    </w:p>
    <w:p>
      <w:pPr>
        <w:ind w:left="1560" w:right="1739"/>
        <w:spacing w:after="0" w:line="282" w:lineRule="auto"/>
        <w:rPr>
          <w:sz w:val="20"/>
          <w:szCs w:val="20"/>
          <w:color w:val="auto"/>
        </w:rPr>
      </w:pPr>
      <w:r>
        <w:rPr>
          <w:rFonts w:ascii="Arial" w:cs="Arial" w:eastAsia="Arial" w:hAnsi="Arial"/>
          <w:sz w:val="12"/>
          <w:szCs w:val="12"/>
          <w:color w:val="auto"/>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7" w:name="page38"/>
    <w:bookmarkEnd w:id="3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requirements include submissions of safety and other post-marketing information and reports, registration, as well as on-going compliance with cGMPs and GCPs, for any clinical trials that we may conduct post-approval.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w:t>
      </w:r>
    </w:p>
    <w:p>
      <w:pPr>
        <w:spacing w:after="0" w:line="82"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74" w:lineRule="exact"/>
        <w:rPr>
          <w:sz w:val="20"/>
          <w:szCs w:val="20"/>
          <w:color w:val="auto"/>
        </w:rPr>
      </w:pPr>
    </w:p>
    <w:p>
      <w:pPr>
        <w:ind w:left="1560" w:right="1579"/>
        <w:spacing w:after="0" w:line="308" w:lineRule="auto"/>
        <w:rPr>
          <w:sz w:val="20"/>
          <w:szCs w:val="20"/>
          <w:color w:val="auto"/>
        </w:rPr>
      </w:pPr>
      <w:r>
        <w:rPr>
          <w:rFonts w:ascii="Arial" w:cs="Arial" w:eastAsia="Arial" w:hAnsi="Arial"/>
          <w:sz w:val="12"/>
          <w:szCs w:val="12"/>
          <w:color w:val="auto"/>
        </w:rPr>
        <w:t>If we fail to comply with applicable regulatory requirements following approval of our current or future product candidates, a regulatory authority may, among other things:</w:t>
      </w:r>
    </w:p>
    <w:p>
      <w:pPr>
        <w:spacing w:after="0" w:line="13" w:lineRule="exact"/>
        <w:rPr>
          <w:sz w:val="20"/>
          <w:szCs w:val="20"/>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issue an untitled letter or warning letter asserting that we are in violation of the law;</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seek an injunction or impose administrative, civil or criminal penalties or monetary fines;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suspend or withdraw marketing approval;</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suspend any ongoing clinical trials;</w:t>
      </w:r>
    </w:p>
    <w:p>
      <w:pPr>
        <w:spacing w:after="0" w:line="65"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refuse to approve a pending NDA or NDA supplement, or comparable foreign marketing application (or any supplements thereto) submitted by us or our strategic partners;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restrict or suspend the marketing or manufacturing of the drug;</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seize or detain the drug or otherwise require the withdrawal of the drug from the market;</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refuse to permit the import or export of product candidates; or</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refuse to allow us to enter into supply contracts, including government contracts.</w:t>
      </w:r>
    </w:p>
    <w:p>
      <w:pPr>
        <w:spacing w:after="0" w:line="123"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spacing w:after="0" w:line="84"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The FDA’s policies, and those of equivalent foreign regulatory agencies, may change and additional government regulations may be enacted that could cause changes to or delays in the drug review process, or suspend or restrict marketing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8" w:name="page39"/>
    <w:bookmarkEnd w:id="3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1560" w:right="1699"/>
        <w:spacing w:after="0" w:line="283" w:lineRule="auto"/>
        <w:rPr>
          <w:sz w:val="20"/>
          <w:szCs w:val="20"/>
          <w:color w:val="auto"/>
        </w:rPr>
      </w:pPr>
      <w:r>
        <w:rPr>
          <w:rFonts w:ascii="Arial" w:cs="Arial" w:eastAsia="Arial" w:hAnsi="Arial"/>
          <w:sz w:val="12"/>
          <w:szCs w:val="12"/>
          <w:b w:val="1"/>
          <w:bCs w:val="1"/>
          <w:i w:val="1"/>
          <w:iCs w:val="1"/>
          <w:color w:val="auto"/>
        </w:rPr>
        <w:t>Even if our current or future product candidates receive marketing approval, they may fail to achieve market acceptance by physicians, patients, third-party payors or others in the medical community necessary for commercial success.</w:t>
      </w:r>
    </w:p>
    <w:p>
      <w:pPr>
        <w:spacing w:after="0" w:line="61"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p>
      <w:pPr>
        <w:spacing w:after="0" w:line="28" w:lineRule="exact"/>
        <w:rPr>
          <w:sz w:val="20"/>
          <w:szCs w:val="20"/>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clinical indications for which the product candidate is approved;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efficacy and potential advantages compared to alternative treatments and therapies;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timing of market introduction of the product as well as competitive products;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effectiveness of sales and marketing efforts;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strength of our relationships with patient communities;</w:t>
      </w:r>
    </w:p>
    <w:p>
      <w:pPr>
        <w:spacing w:after="0" w:line="65"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cost of treatment in relation to alternative treatments and therapies, including any similar generic treatments;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ability to offer such product for sale at competitive prices;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convenience and ease of administration compared to alternative treatments and therapies;</w:t>
      </w:r>
    </w:p>
    <w:p>
      <w:pPr>
        <w:spacing w:after="0" w:line="65" w:lineRule="exact"/>
        <w:rPr>
          <w:rFonts w:ascii="Arial" w:cs="Arial" w:eastAsia="Arial" w:hAnsi="Arial"/>
          <w:sz w:val="12"/>
          <w:szCs w:val="12"/>
          <w:color w:val="auto"/>
        </w:rPr>
      </w:pPr>
    </w:p>
    <w:p>
      <w:pPr>
        <w:ind w:left="1980" w:right="1799" w:hanging="157"/>
        <w:spacing w:after="0" w:line="308" w:lineRule="auto"/>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availability of third-party coverage and adequate reimbursement;</w:t>
      </w:r>
    </w:p>
    <w:p>
      <w:pPr>
        <w:spacing w:after="0" w:line="65" w:lineRule="exact"/>
        <w:rPr>
          <w:rFonts w:ascii="Arial" w:cs="Arial" w:eastAsia="Arial" w:hAnsi="Arial"/>
          <w:sz w:val="12"/>
          <w:szCs w:val="12"/>
          <w:color w:val="auto"/>
        </w:rPr>
      </w:pPr>
    </w:p>
    <w:p>
      <w:pPr>
        <w:ind w:left="1980" w:right="2239" w:hanging="157"/>
        <w:spacing w:after="0" w:line="308" w:lineRule="auto"/>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willingness of patients to pay out-of-pocket in the absence of coverage and adequate reimbursement by third-party payors and government authorities;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prevalence and severity of any side effects;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any restrictions on the use of the product together with other medications.</w:t>
      </w:r>
    </w:p>
    <w:p>
      <w:pPr>
        <w:spacing w:after="0" w:line="113"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spacing w:after="0" w:line="81" w:lineRule="exact"/>
        <w:rPr>
          <w:sz w:val="20"/>
          <w:szCs w:val="20"/>
          <w:color w:val="auto"/>
        </w:rPr>
      </w:pPr>
    </w:p>
    <w:p>
      <w:pPr>
        <w:ind w:left="1560" w:right="1739"/>
        <w:spacing w:after="0" w:line="315" w:lineRule="auto"/>
        <w:rPr>
          <w:sz w:val="20"/>
          <w:szCs w:val="20"/>
          <w:color w:val="auto"/>
        </w:rPr>
      </w:pPr>
      <w:r>
        <w:rPr>
          <w:rFonts w:ascii="Arial" w:cs="Arial" w:eastAsia="Arial" w:hAnsi="Arial"/>
          <w:sz w:val="12"/>
          <w:szCs w:val="12"/>
          <w:b w:val="1"/>
          <w:bCs w:val="1"/>
          <w:i w:val="1"/>
          <w:iCs w:val="1"/>
          <w:color w:val="auto"/>
        </w:rPr>
        <w:t>Coverage and adequate reimbursement may not be available for our current or any future product candidates, which could make it difficult for us to sell profitably, if approved.</w:t>
      </w:r>
    </w:p>
    <w:p>
      <w:pPr>
        <w:spacing w:after="0" w:line="42" w:lineRule="exact"/>
        <w:rPr>
          <w:sz w:val="20"/>
          <w:szCs w:val="20"/>
          <w:color w:val="auto"/>
        </w:rPr>
      </w:pPr>
    </w:p>
    <w:p>
      <w:pPr>
        <w:ind w:left="1560" w:right="1619"/>
        <w:spacing w:after="0" w:line="259" w:lineRule="auto"/>
        <w:rPr>
          <w:sz w:val="20"/>
          <w:szCs w:val="20"/>
          <w:color w:val="auto"/>
        </w:rPr>
      </w:pPr>
      <w:r>
        <w:rPr>
          <w:rFonts w:ascii="Arial" w:cs="Arial" w:eastAsia="Arial" w:hAnsi="Arial"/>
          <w:sz w:val="12"/>
          <w:szCs w:val="12"/>
          <w:color w:val="auto"/>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9" w:name="page40"/>
    <w:bookmarkEnd w:id="3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Patients are unlikely to use our drugs unless coverage is provided and reimbursement is adequate to cover a significant portion of the cost of our drugs.</w:t>
      </w:r>
    </w:p>
    <w:p>
      <w:pPr>
        <w:spacing w:after="0" w:line="62"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pacing w:after="0" w:line="230" w:lineRule="exact"/>
        <w:rPr>
          <w:sz w:val="20"/>
          <w:szCs w:val="20"/>
          <w:color w:val="auto"/>
        </w:rPr>
      </w:pPr>
    </w:p>
    <w:p>
      <w:pPr>
        <w:ind w:left="1560" w:right="1859"/>
        <w:spacing w:after="0" w:line="298" w:lineRule="auto"/>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products before or more successfully than us.</w:t>
      </w:r>
    </w:p>
    <w:p>
      <w:pPr>
        <w:spacing w:after="0" w:line="52" w:lineRule="exact"/>
        <w:rPr>
          <w:sz w:val="20"/>
          <w:szCs w:val="20"/>
          <w:color w:val="auto"/>
        </w:rPr>
      </w:pPr>
    </w:p>
    <w:p>
      <w:pPr>
        <w:ind w:left="1560" w:right="1739"/>
        <w:spacing w:after="0" w:line="264" w:lineRule="auto"/>
        <w:rPr>
          <w:sz w:val="20"/>
          <w:szCs w:val="20"/>
          <w:color w:val="auto"/>
        </w:rPr>
      </w:pPr>
      <w:r>
        <w:rPr>
          <w:rFonts w:ascii="Arial" w:cs="Arial" w:eastAsia="Arial" w:hAnsi="Arial"/>
          <w:sz w:val="12"/>
          <w:szCs w:val="12"/>
          <w:color w:val="auto"/>
        </w:rPr>
        <w:t>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w:t>
      </w:r>
    </w:p>
    <w:p>
      <w:pPr>
        <w:spacing w:after="0" w:line="78"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left="1560" w:right="1639"/>
        <w:spacing w:after="0" w:line="262" w:lineRule="auto"/>
        <w:rPr>
          <w:sz w:val="20"/>
          <w:szCs w:val="20"/>
          <w:color w:val="auto"/>
        </w:rPr>
      </w:pPr>
      <w:r>
        <w:rPr>
          <w:rFonts w:ascii="Arial" w:cs="Arial" w:eastAsia="Arial" w:hAnsi="Arial"/>
          <w:sz w:val="12"/>
          <w:szCs w:val="12"/>
          <w:color w:val="auto"/>
        </w:rPr>
        <w:t>We are aware of GLP-1R small molecules in development by Pfizer, Eli Lilly, and Qilu Regor Therapeutics Inc. There are currently approved GLP-1R peptides for the treatment of diabetes and obesity marketed by Novo Nordisk, Eli Lilly, AstraZeneca, and Sanofi. We are also aware of other GLP-1R plus dual/tri incretin targeting peptides in development by Eli Lilly, Jiangsu Hansoh Pharmaceutical Group Co., Ltd., Boehringer Ingelheim, Altimmune, Inc., Carmot Therapeutics, Inc., and Sciwind Biosciences Co., Ltd. Additionally, we are aware of APJR targeted product candidates in development for COVID-19 acute respiratory distress syndrome by CohBar, Inc.; IPF, systemic sclerosis interstitial lung disease, and kidney nephrotic syndrome by Apie Therapeutics; and muscle atrophy by BioAge Labs, Inc. Both Amgen and Bristol Myers Squibb, or BMS, have APJR targeted product candidates for heart failure. Furthermore, we are aware of LPA1R targeted product candidates in development for IPF by BMS, Horizon Therapeutics plc, and DJS Antibodies Ltd; myelin restoration and neuroinflammation by Pipeline Therapeutics.</w:t>
      </w:r>
    </w:p>
    <w:p>
      <w:pPr>
        <w:spacing w:after="0" w:line="83"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0" w:name="page41"/>
    <w:bookmarkEnd w:id="4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4" w:lineRule="auto"/>
        <w:rPr>
          <w:sz w:val="20"/>
          <w:szCs w:val="20"/>
          <w:color w:val="auto"/>
        </w:rPr>
      </w:pPr>
      <w:r>
        <w:rPr>
          <w:rFonts w:ascii="Arial" w:cs="Arial" w:eastAsia="Arial" w:hAnsi="Arial"/>
          <w:sz w:val="12"/>
          <w:szCs w:val="12"/>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spacing w:after="0" w:line="80" w:lineRule="exact"/>
        <w:rPr>
          <w:sz w:val="20"/>
          <w:szCs w:val="20"/>
          <w:color w:val="auto"/>
        </w:rPr>
      </w:pPr>
    </w:p>
    <w:p>
      <w:pPr>
        <w:ind w:left="1560" w:right="1639"/>
        <w:spacing w:after="0" w:line="283" w:lineRule="auto"/>
        <w:rPr>
          <w:sz w:val="20"/>
          <w:szCs w:val="20"/>
          <w:color w:val="auto"/>
        </w:rPr>
      </w:pPr>
      <w:r>
        <w:rPr>
          <w:rFonts w:ascii="Arial" w:cs="Arial" w:eastAsia="Arial" w:hAnsi="Arial"/>
          <w:sz w:val="12"/>
          <w:szCs w:val="12"/>
          <w:b w:val="1"/>
          <w:bCs w:val="1"/>
          <w:i w:val="1"/>
          <w:iCs w:val="1"/>
          <w:color w:val="auto"/>
        </w:rPr>
        <w:t>If the market opportunities for any of our product candidates are smaller than we estimate, even assuming approval of a product candidate, our revenue may be adversely affected, and our business may suffer.</w:t>
      </w:r>
    </w:p>
    <w:p>
      <w:pPr>
        <w:spacing w:after="0" w:line="61"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85" w:lineRule="exact"/>
        <w:rPr>
          <w:sz w:val="20"/>
          <w:szCs w:val="20"/>
          <w:color w:val="auto"/>
        </w:rPr>
      </w:pPr>
    </w:p>
    <w:p>
      <w:pPr>
        <w:ind w:left="1560" w:right="1639"/>
        <w:spacing w:after="0" w:line="269" w:lineRule="auto"/>
        <w:rPr>
          <w:sz w:val="20"/>
          <w:szCs w:val="20"/>
          <w:color w:val="auto"/>
        </w:rPr>
      </w:pPr>
      <w:r>
        <w:rPr>
          <w:rFonts w:ascii="Arial" w:cs="Arial" w:eastAsia="Arial" w:hAnsi="Arial"/>
          <w:sz w:val="12"/>
          <w:szCs w:val="12"/>
          <w:b w:val="1"/>
          <w:bCs w:val="1"/>
          <w:i w:val="1"/>
          <w:iCs w:val="1"/>
          <w:color w:val="auto"/>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221"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89" w:lineRule="exact"/>
        <w:rPr>
          <w:sz w:val="20"/>
          <w:szCs w:val="20"/>
          <w:color w:val="auto"/>
        </w:rPr>
      </w:pPr>
    </w:p>
    <w:p>
      <w:pPr>
        <w:ind w:left="1560" w:right="1659"/>
        <w:spacing w:after="0" w:line="298" w:lineRule="auto"/>
        <w:rPr>
          <w:sz w:val="20"/>
          <w:szCs w:val="20"/>
          <w:color w:val="auto"/>
        </w:rPr>
      </w:pPr>
      <w:r>
        <w:rPr>
          <w:rFonts w:ascii="Arial" w:cs="Arial" w:eastAsia="Arial" w:hAnsi="Arial"/>
          <w:sz w:val="12"/>
          <w:szCs w:val="12"/>
          <w:b w:val="1"/>
          <w:bCs w:val="1"/>
          <w:i w:val="1"/>
          <w:iCs w:val="1"/>
          <w:color w:val="auto"/>
        </w:rPr>
        <w:t>Our future growth may depend, in part, on our ability to commercialize products in foreign markets, where we would be subject to additional regulatory burdens and other risks and uncertainties.</w:t>
      </w:r>
    </w:p>
    <w:p>
      <w:pPr>
        <w:spacing w:after="0" w:line="206" w:lineRule="exact"/>
        <w:rPr>
          <w:sz w:val="20"/>
          <w:szCs w:val="20"/>
          <w:color w:val="auto"/>
        </w:rPr>
      </w:pPr>
    </w:p>
    <w:p>
      <w:pPr>
        <w:ind w:left="1560" w:right="1639"/>
        <w:spacing w:after="0" w:line="268" w:lineRule="auto"/>
        <w:rPr>
          <w:sz w:val="20"/>
          <w:szCs w:val="20"/>
          <w:color w:val="auto"/>
        </w:rPr>
      </w:pPr>
      <w:r>
        <w:rPr>
          <w:rFonts w:ascii="Arial" w:cs="Arial" w:eastAsia="Arial" w:hAnsi="Arial"/>
          <w:sz w:val="12"/>
          <w:szCs w:val="12"/>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1" w:name="page42"/>
    <w:bookmarkEnd w:id="4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25" w:lineRule="exact"/>
        <w:rPr>
          <w:sz w:val="20"/>
          <w:szCs w:val="20"/>
          <w:color w:val="auto"/>
        </w:rPr>
      </w:pPr>
    </w:p>
    <w:p>
      <w:pPr>
        <w:ind w:left="1980" w:hanging="157"/>
        <w:spacing w:after="0"/>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different regulatory requirements for approval of drugs in foreign countries;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reduced protection for intellectual property rights;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existence of additional third-party patent rights of potential relevance to our business;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unexpected changes in tariffs, trade barriers and regulatory requirements;</w:t>
      </w:r>
    </w:p>
    <w:p>
      <w:pPr>
        <w:spacing w:after="0" w:line="65"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economic weakness, including inflation, or political instability in particular foreign economies and markets;</w:t>
      </w:r>
    </w:p>
    <w:p>
      <w:pPr>
        <w:spacing w:after="0" w:line="3"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compliance with tax, employment, immigration and labor laws for employees living or traveling abroad;</w:t>
      </w:r>
    </w:p>
    <w:p>
      <w:pPr>
        <w:spacing w:after="0" w:line="3"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foreign currency fluctuations, which could result in increased operating expenses and reduced revenues, and other obligations incident to doing business in another country;</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foreign reimbursement, pricing and insurance regimes;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workforce uncertainty in countries where labor unrest is common;</w:t>
      </w:r>
    </w:p>
    <w:p>
      <w:pPr>
        <w:spacing w:after="0" w:line="65"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production shortages resulting from any events affecting raw material supply or manufacturing capabilities abroad; and</w:t>
      </w:r>
    </w:p>
    <w:p>
      <w:pPr>
        <w:spacing w:after="0" w:line="3" w:lineRule="exact"/>
        <w:rPr>
          <w:rFonts w:ascii="Arial" w:cs="Arial" w:eastAsia="Arial" w:hAnsi="Arial"/>
          <w:sz w:val="12"/>
          <w:szCs w:val="12"/>
          <w:color w:val="auto"/>
        </w:rPr>
      </w:pPr>
    </w:p>
    <w:p>
      <w:pPr>
        <w:ind w:left="1980" w:right="1879" w:hanging="157"/>
        <w:spacing w:after="0" w:line="308" w:lineRule="auto"/>
        <w:tabs>
          <w:tab w:leader="none" w:pos="1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business interruptions resulting from geopolitical actions, including war and terrorism, or natural disasters including earthquakes, typhoons, floods and fires.</w:t>
      </w:r>
    </w:p>
    <w:p>
      <w:pPr>
        <w:spacing w:after="0" w:line="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Risks Related to Our Business Operations and Industry</w:t>
      </w:r>
    </w:p>
    <w:p>
      <w:pPr>
        <w:spacing w:after="0" w:line="115" w:lineRule="exact"/>
        <w:rPr>
          <w:sz w:val="20"/>
          <w:szCs w:val="20"/>
          <w:color w:val="auto"/>
        </w:rPr>
      </w:pPr>
    </w:p>
    <w:p>
      <w:pPr>
        <w:ind w:left="1560" w:right="1739"/>
        <w:spacing w:after="0" w:line="277" w:lineRule="auto"/>
        <w:rPr>
          <w:sz w:val="20"/>
          <w:szCs w:val="20"/>
          <w:color w:val="auto"/>
        </w:rPr>
      </w:pPr>
      <w:r>
        <w:rPr>
          <w:rFonts w:ascii="Arial" w:cs="Arial" w:eastAsia="Arial" w:hAnsi="Arial"/>
          <w:sz w:val="12"/>
          <w:szCs w:val="12"/>
          <w:b w:val="1"/>
          <w:bCs w:val="1"/>
          <w:i w:val="1"/>
          <w:iCs w:val="1"/>
          <w:color w:val="auto"/>
        </w:rPr>
        <w:t>Our business and the business or operations of third parties with whom we conduct business could be adversely affected by the effects of health epidemics, including the COVID-19 pandemic, in regions where we or third parties on which we rely have business operations.</w:t>
      </w:r>
    </w:p>
    <w:p>
      <w:pPr>
        <w:spacing w:after="0" w:line="216"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The COVID-19 pandemic continues to evolve. As a result of the COVID-19 pandemic or any other pandemic, epidemic or outbreak of an infectious disease, we may experience disruptions that could severely impact our business, preclinical studies and clinical trials, including:</w:t>
      </w:r>
    </w:p>
    <w:p>
      <w:pPr>
        <w:spacing w:after="0" w:line="34" w:lineRule="exact"/>
        <w:rPr>
          <w:sz w:val="20"/>
          <w:szCs w:val="20"/>
          <w:color w:val="auto"/>
        </w:rPr>
      </w:pPr>
    </w:p>
    <w:p>
      <w:pPr>
        <w:ind w:left="1980" w:hanging="157"/>
        <w:spacing w:after="0"/>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delays or difficulties in enrolling patients in our clinical trials;</w:t>
      </w:r>
    </w:p>
    <w:p>
      <w:pPr>
        <w:spacing w:after="0" w:line="65"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delays or difficulties in clinical site initiation, including difficulties in recruiting clinical site investigators and clinical site staff;</w:t>
      </w:r>
    </w:p>
    <w:p>
      <w:pPr>
        <w:spacing w:after="0" w:line="3" w:lineRule="exact"/>
        <w:rPr>
          <w:rFonts w:ascii="Arial" w:cs="Arial" w:eastAsia="Arial" w:hAnsi="Arial"/>
          <w:sz w:val="12"/>
          <w:szCs w:val="12"/>
          <w:color w:val="auto"/>
        </w:rPr>
      </w:pPr>
    </w:p>
    <w:p>
      <w:pPr>
        <w:ind w:left="1980" w:right="1739" w:hanging="157"/>
        <w:spacing w:after="0" w:line="28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diversion of healthcare resources away from the conduct of clinical trials, including the diversion of hospitals serving as our clinical trial sites and hospital staff supporting the conduct of our clinical trials;</w:t>
      </w:r>
    </w:p>
    <w:p>
      <w:pPr>
        <w:spacing w:after="0" w:line="15" w:lineRule="exact"/>
        <w:rPr>
          <w:rFonts w:ascii="Arial" w:cs="Arial" w:eastAsia="Arial" w:hAnsi="Arial"/>
          <w:sz w:val="12"/>
          <w:szCs w:val="12"/>
          <w:color w:val="auto"/>
        </w:rPr>
      </w:pPr>
    </w:p>
    <w:p>
      <w:pPr>
        <w:ind w:left="1980" w:right="1719" w:hanging="157"/>
        <w:spacing w:after="0" w:line="282"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trial endpoints;</w:t>
      </w:r>
    </w:p>
    <w:p>
      <w:pPr>
        <w:spacing w:after="0" w:line="28"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interruption or delays in the operations of the FDA or applicable foreign authorities, which may impact review and approval timelines;</w:t>
      </w:r>
    </w:p>
    <w:p>
      <w:pPr>
        <w:spacing w:after="0" w:line="3"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interruption or delays in our operations due to staffing shortages, travel restrictions, quarantines, production slowdowns or stoppages and disruptions in delivery systems;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need for additional manufacturing space, facilities upgrades and personnel;</w:t>
      </w:r>
    </w:p>
    <w:p>
      <w:pPr>
        <w:spacing w:after="0" w:line="65" w:lineRule="exact"/>
        <w:rPr>
          <w:rFonts w:ascii="Arial" w:cs="Arial" w:eastAsia="Arial" w:hAnsi="Arial"/>
          <w:sz w:val="12"/>
          <w:szCs w:val="12"/>
          <w:color w:val="auto"/>
        </w:rPr>
      </w:pPr>
    </w:p>
    <w:p>
      <w:pPr>
        <w:ind w:left="1980" w:right="1919" w:hanging="157"/>
        <w:spacing w:after="0" w:line="30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delays in clinical sites receiving the supplies and materials needed to conduct our clinical trials, including interruption in global shipping that may affect the transport of clinical trial materials;</w:t>
      </w:r>
    </w:p>
    <w:p>
      <w:pPr>
        <w:spacing w:after="0" w:line="3"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inability or unwillingness of some patients to comply with clinical trial protocols if quarantines impede patient movement or interrupt healthcare services;</w:t>
      </w:r>
    </w:p>
    <w:p>
      <w:pPr>
        <w:spacing w:after="0" w:line="13"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interruptions in our preclinical studies and clinical trials due to restricted or limited operations at our laboratory facilities;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2" w:name="page43"/>
    <w:bookmarkEnd w:id="4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39" w:hanging="157"/>
        <w:spacing w:after="0" w:line="288" w:lineRule="auto"/>
        <w:tabs>
          <w:tab w:leader="none" w:pos="1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interruptions or delays to our discovery and clinical activities.</w:t>
      </w:r>
    </w:p>
    <w:p>
      <w:pPr>
        <w:spacing w:after="0" w:line="123"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The extent to which the COVID-19 pandemic impacts our business, our clinical development and regulatory efforts will depend on future developments that are highly uncertain and cannot be predicted with confidence, such as the duration of the pandemic, emergence and spread of variants, travel restrictions, quarantines, social distancing requirements and business closures in the United States and internationally, and business disruptions, and the effectiveness of actions taken in the United States and internationally to contain and treat the disease. Accordingly, we do not yet know the full extent of potential delays or impacts on our business, our clinical and regulatory activities, healthcare systems or the global economy as a whole. To date, we have experienced delays in our patient enrollment and our supply chain as a direct result of COVID-19 on our suppliers’ ability to timely manufacture and ship certain supplies such as reagents and other lab consumables. However, such delays have previously impacted and could in the future adversely affect our business, financial condition, results of operations and growth prospects.</w:t>
      </w:r>
    </w:p>
    <w:p>
      <w:pPr>
        <w:spacing w:after="0" w:line="81"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In addition, to the extent the ongoing COVID-19 pandemic or any future epidemic disease adversely affects our business and results of operations, it may also have the effect of heightening many of the other risks and uncertainties described in this “Risk Factors” section.</w:t>
      </w:r>
    </w:p>
    <w:p>
      <w:pPr>
        <w:spacing w:after="0" w:line="66" w:lineRule="exact"/>
        <w:rPr>
          <w:sz w:val="20"/>
          <w:szCs w:val="20"/>
          <w:color w:val="auto"/>
        </w:rPr>
      </w:pPr>
    </w:p>
    <w:p>
      <w:pPr>
        <w:jc w:val="both"/>
        <w:ind w:left="1560" w:right="1619"/>
        <w:spacing w:after="0" w:line="292" w:lineRule="auto"/>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5"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 w:lineRule="exact"/>
        <w:rPr>
          <w:sz w:val="20"/>
          <w:szCs w:val="20"/>
          <w:color w:val="auto"/>
        </w:rPr>
      </w:pPr>
    </w:p>
    <w:p>
      <w:pPr>
        <w:ind w:left="1980" w:right="1739" w:hanging="157"/>
        <w:spacing w:after="0" w:line="288" w:lineRule="auto"/>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timing, degree of success and cost of, and level of investment in, research, development, regulatory approval and commercialization activities relating to our product candidates, which may change from time to time;</w:t>
      </w:r>
    </w:p>
    <w:p>
      <w:pPr>
        <w:spacing w:after="0" w:line="25"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coverage and reimbursement policies with respect to our product candidates, if approved, and potential future drugs that compete with our products;</w:t>
      </w:r>
    </w:p>
    <w:p>
      <w:pPr>
        <w:spacing w:after="0" w:line="3" w:lineRule="exact"/>
        <w:rPr>
          <w:rFonts w:ascii="Arial" w:cs="Arial" w:eastAsia="Arial" w:hAnsi="Arial"/>
          <w:sz w:val="12"/>
          <w:szCs w:val="12"/>
          <w:color w:val="auto"/>
        </w:rPr>
      </w:pPr>
    </w:p>
    <w:p>
      <w:pPr>
        <w:ind w:left="1980" w:right="1899" w:hanging="157"/>
        <w:spacing w:after="0" w:line="308" w:lineRule="auto"/>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 of manufacturing our product candidates, which may vary depending on the quantity of production and the terms of our agreements with third-party manufacturers;</w:t>
      </w:r>
    </w:p>
    <w:p>
      <w:pPr>
        <w:spacing w:after="0" w:line="3"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expenditures that we may incur to acquire, develop or commercialize additional product candidates and technologies;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level of demand for any approved products, which may vary significantly;</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future accounting pronouncements or changes in our accounting policies; and</w:t>
      </w:r>
    </w:p>
    <w:p>
      <w:pPr>
        <w:spacing w:after="0" w:line="65" w:lineRule="exact"/>
        <w:rPr>
          <w:rFonts w:ascii="Arial" w:cs="Arial" w:eastAsia="Arial" w:hAnsi="Arial"/>
          <w:sz w:val="12"/>
          <w:szCs w:val="12"/>
          <w:color w:val="auto"/>
        </w:rPr>
      </w:pPr>
    </w:p>
    <w:p>
      <w:pPr>
        <w:ind w:left="1980" w:right="1599" w:hanging="157"/>
        <w:spacing w:after="0" w:line="288" w:lineRule="auto"/>
        <w:tabs>
          <w:tab w:leader="none" w:pos="19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timing and success or failure of preclinical studies or clinical trials for our product candidates or any competing product candidates, or any other change in the competitive landscape of our industry, including consolidation among our competitors or partners.</w:t>
      </w:r>
    </w:p>
    <w:p>
      <w:pPr>
        <w:spacing w:after="0" w:line="74" w:lineRule="exact"/>
        <w:rPr>
          <w:sz w:val="20"/>
          <w:szCs w:val="20"/>
          <w:color w:val="auto"/>
        </w:rPr>
      </w:pPr>
    </w:p>
    <w:p>
      <w:pPr>
        <w:ind w:left="1560" w:right="1679"/>
        <w:spacing w:after="0" w:line="274" w:lineRule="auto"/>
        <w:rPr>
          <w:sz w:val="20"/>
          <w:szCs w:val="20"/>
          <w:color w:val="auto"/>
        </w:rPr>
      </w:pPr>
      <w:r>
        <w:rPr>
          <w:rFonts w:ascii="Arial" w:cs="Arial" w:eastAsia="Arial" w:hAnsi="Arial"/>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3" w:name="page44"/>
    <w:bookmarkEnd w:id="4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right="1659"/>
        <w:spacing w:after="0" w:line="292" w:lineRule="auto"/>
        <w:rPr>
          <w:sz w:val="20"/>
          <w:szCs w:val="20"/>
          <w:color w:val="auto"/>
        </w:rPr>
      </w:pPr>
      <w:r>
        <w:rPr>
          <w:rFonts w:ascii="Arial" w:cs="Arial" w:eastAsia="Arial" w:hAnsi="Arial"/>
          <w:sz w:val="12"/>
          <w:szCs w:val="12"/>
          <w:b w:val="1"/>
          <w:bCs w:val="1"/>
          <w:i w:val="1"/>
          <w:iCs w:val="1"/>
          <w:color w:val="auto"/>
        </w:rPr>
        <w:t>We are highly dependent on the services of our senior management team and if we are not able to retain these members of our management team and recruit and retain additional management, clinical and scientific personnel, our business will be harmed.</w:t>
      </w:r>
    </w:p>
    <w:p>
      <w:pPr>
        <w:spacing w:after="0" w:line="65"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spacing w:after="0" w:line="73"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spacing w:after="0" w:line="81"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spacing w:after="0" w:line="84" w:lineRule="exact"/>
        <w:rPr>
          <w:sz w:val="20"/>
          <w:szCs w:val="20"/>
          <w:color w:val="auto"/>
        </w:rPr>
      </w:pPr>
    </w:p>
    <w:p>
      <w:pPr>
        <w:ind w:left="1560" w:right="1759"/>
        <w:spacing w:after="0" w:line="315" w:lineRule="auto"/>
        <w:rPr>
          <w:sz w:val="20"/>
          <w:szCs w:val="20"/>
          <w:color w:val="auto"/>
        </w:rPr>
      </w:pPr>
      <w:r>
        <w:rPr>
          <w:rFonts w:ascii="Arial" w:cs="Arial" w:eastAsia="Arial" w:hAnsi="Arial"/>
          <w:sz w:val="12"/>
          <w:szCs w:val="12"/>
          <w:b w:val="1"/>
          <w:bCs w:val="1"/>
          <w:i w:val="1"/>
          <w:iCs w:val="1"/>
          <w:color w:val="auto"/>
        </w:rPr>
        <w:t>We will need to expand our organization, and we may experience difficulties in managing this growth, which could disrupt our operations.</w:t>
      </w:r>
    </w:p>
    <w:p>
      <w:pPr>
        <w:spacing w:after="0" w:line="42"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As of December 31, 2022, we had 68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 candidates receives marketing approval, sales, marketing and distribution. To manage any future growth, we must:</w:t>
      </w:r>
    </w:p>
    <w:p>
      <w:pPr>
        <w:spacing w:after="0" w:line="34" w:lineRule="exact"/>
        <w:rPr>
          <w:sz w:val="20"/>
          <w:szCs w:val="20"/>
          <w:color w:val="auto"/>
        </w:rPr>
      </w:pPr>
    </w:p>
    <w:p>
      <w:pPr>
        <w:ind w:left="1980" w:hanging="157"/>
        <w:spacing w:after="0"/>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identify, recruit, integrate, maintain and motivate additional qualified personnel;</w:t>
      </w:r>
    </w:p>
    <w:p>
      <w:pPr>
        <w:spacing w:after="0" w:line="65" w:lineRule="exact"/>
        <w:rPr>
          <w:rFonts w:ascii="Arial" w:cs="Arial" w:eastAsia="Arial" w:hAnsi="Arial"/>
          <w:sz w:val="12"/>
          <w:szCs w:val="12"/>
          <w:color w:val="auto"/>
        </w:rPr>
      </w:pPr>
    </w:p>
    <w:p>
      <w:pPr>
        <w:ind w:left="1980" w:right="1779" w:hanging="157"/>
        <w:spacing w:after="0" w:line="308" w:lineRule="auto"/>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manage our development efforts effectively, including the initiation and conduct of clinical trials for our product candidates; and</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improve our operational, financial and management controls, reporting systems and procedures.</w:t>
      </w:r>
    </w:p>
    <w:p>
      <w:pPr>
        <w:spacing w:after="0" w:line="123"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spacing w:after="0" w:line="77"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4" w:name="page45"/>
    <w:bookmarkEnd w:id="4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right="1759"/>
        <w:spacing w:after="0" w:line="273" w:lineRule="auto"/>
        <w:rPr>
          <w:sz w:val="20"/>
          <w:szCs w:val="20"/>
          <w:color w:val="auto"/>
        </w:rPr>
      </w:pPr>
      <w:r>
        <w:rPr>
          <w:rFonts w:ascii="Arial" w:cs="Arial" w:eastAsia="Arial" w:hAnsi="Arial"/>
          <w:sz w:val="12"/>
          <w:szCs w:val="12"/>
          <w:b w:val="1"/>
          <w:bCs w:val="1"/>
          <w:i w:val="1"/>
          <w:iCs w:val="1"/>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our business and results of operations could suffer.</w:t>
      </w:r>
    </w:p>
    <w:p>
      <w:pPr>
        <w:spacing w:after="0" w:line="66"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In 2021, we formed two wholly-owned Australian subsidiaries, Annapurna Bio Pty Limited, or Annapurna AU, and Gasherbrum Bio Pty Limited, or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applicable foreign authorities.</w:t>
      </w:r>
    </w:p>
    <w:p>
      <w:pPr>
        <w:spacing w:after="0" w:line="227"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color w:val="auto"/>
        </w:rPr>
        <w:t>In addition, current Australian tax regulations provide for a refundable research and development tax credit equal to 43.5% of qualified expenditures. If we lose our ability to operate Annapurna AU or Gasherbrum AU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77" w:lineRule="exact"/>
        <w:rPr>
          <w:sz w:val="20"/>
          <w:szCs w:val="20"/>
          <w:color w:val="auto"/>
        </w:rPr>
      </w:pPr>
    </w:p>
    <w:p>
      <w:pPr>
        <w:ind w:left="1560" w:right="1679"/>
        <w:spacing w:after="0" w:line="268" w:lineRule="auto"/>
        <w:rPr>
          <w:sz w:val="20"/>
          <w:szCs w:val="20"/>
          <w:color w:val="auto"/>
        </w:rPr>
      </w:pPr>
      <w:r>
        <w:rPr>
          <w:rFonts w:ascii="Arial" w:cs="Arial" w:eastAsia="Arial" w:hAnsi="Arial"/>
          <w:sz w:val="12"/>
          <w:szCs w:val="12"/>
          <w:b w:val="1"/>
          <w:bCs w:val="1"/>
          <w:i w:val="1"/>
          <w:iCs w:val="1"/>
          <w:color w:val="auto"/>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spacing w:after="0" w:line="78"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The laws that will affect our operations include, but are not limited to:</w:t>
      </w:r>
    </w:p>
    <w:p>
      <w:pPr>
        <w:spacing w:after="0" w:line="26" w:lineRule="exact"/>
        <w:rPr>
          <w:sz w:val="20"/>
          <w:szCs w:val="20"/>
          <w:color w:val="auto"/>
        </w:rPr>
      </w:pPr>
    </w:p>
    <w:p>
      <w:pPr>
        <w:ind w:left="1980" w:right="1579" w:hanging="157"/>
        <w:spacing w:after="0" w:line="274"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p>
      <w:pPr>
        <w:spacing w:after="0" w:line="22" w:lineRule="exact"/>
        <w:rPr>
          <w:rFonts w:ascii="Arial" w:cs="Arial" w:eastAsia="Arial" w:hAnsi="Arial"/>
          <w:sz w:val="12"/>
          <w:szCs w:val="12"/>
          <w:color w:val="auto"/>
        </w:rPr>
      </w:pPr>
    </w:p>
    <w:p>
      <w:pPr>
        <w:ind w:left="1980" w:right="1699" w:hanging="157"/>
        <w:spacing w:after="0" w:line="274"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35" w:lineRule="exact"/>
        <w:rPr>
          <w:rFonts w:ascii="Arial" w:cs="Arial" w:eastAsia="Arial" w:hAnsi="Arial"/>
          <w:sz w:val="12"/>
          <w:szCs w:val="12"/>
          <w:color w:val="auto"/>
        </w:rPr>
      </w:pPr>
    </w:p>
    <w:p>
      <w:pPr>
        <w:ind w:left="1980" w:right="1599" w:hanging="157"/>
        <w:spacing w:after="0" w:line="276"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 w:cs="Arial" w:eastAsia="Arial" w:hAnsi="Arial"/>
          <w:sz w:val="12"/>
          <w:szCs w:val="12"/>
          <w:i w:val="1"/>
          <w:iCs w:val="1"/>
          <w:color w:val="auto"/>
        </w:rPr>
        <w:t>e.g.</w:t>
      </w:r>
      <w:r>
        <w:rPr>
          <w:rFonts w:ascii="Arial" w:cs="Arial" w:eastAsia="Arial" w:hAnsi="Arial"/>
          <w:sz w:val="12"/>
          <w:szCs w:val="12"/>
          <w:color w:val="auto"/>
        </w:rPr>
        <w:t>, public or private). Similar to the federal Anti-Kickback Statute, a person or entity does not need to have actual knowledge of this statute or specific intent to violate it in order to have committed a violation;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5" w:name="page46"/>
    <w:bookmarkEnd w:id="4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599" w:hanging="157"/>
        <w:spacing w:after="0" w:line="274"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p>
      <w:pPr>
        <w:spacing w:after="0" w:line="35" w:lineRule="exact"/>
        <w:rPr>
          <w:rFonts w:ascii="Arial" w:cs="Arial" w:eastAsia="Arial" w:hAnsi="Arial"/>
          <w:sz w:val="12"/>
          <w:szCs w:val="12"/>
          <w:color w:val="auto"/>
        </w:rPr>
      </w:pPr>
    </w:p>
    <w:p>
      <w:pPr>
        <w:ind w:left="1980" w:right="1619" w:hanging="157"/>
        <w:spacing w:after="0" w:line="274"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25" w:lineRule="exact"/>
        <w:rPr>
          <w:rFonts w:ascii="Arial" w:cs="Arial" w:eastAsia="Arial" w:hAnsi="Arial"/>
          <w:sz w:val="12"/>
          <w:szCs w:val="12"/>
          <w:color w:val="auto"/>
        </w:rPr>
      </w:pPr>
    </w:p>
    <w:p>
      <w:pPr>
        <w:ind w:left="1980" w:right="1619" w:hanging="157"/>
        <w:spacing w:after="0" w:line="274"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state and foreign law equivalents of each of the above federal laws,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and regulations that require drug manufacturers to file reports relating to drug pricing and marketing information, and state and local laws that require the registration of pharmaceutical sales representatives; and</w:t>
      </w:r>
    </w:p>
    <w:p>
      <w:pPr>
        <w:spacing w:after="0" w:line="32" w:lineRule="exact"/>
        <w:rPr>
          <w:rFonts w:ascii="Arial" w:cs="Arial" w:eastAsia="Arial" w:hAnsi="Arial"/>
          <w:sz w:val="12"/>
          <w:szCs w:val="12"/>
          <w:color w:val="auto"/>
        </w:rPr>
      </w:pPr>
    </w:p>
    <w:p>
      <w:pPr>
        <w:jc w:val="both"/>
        <w:ind w:left="1980" w:right="1639" w:hanging="157"/>
        <w:spacing w:after="0" w:line="288"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p>
      <w:pPr>
        <w:spacing w:after="0" w:line="74" w:lineRule="exact"/>
        <w:rPr>
          <w:sz w:val="20"/>
          <w:szCs w:val="20"/>
          <w:color w:val="auto"/>
        </w:rPr>
      </w:pPr>
    </w:p>
    <w:p>
      <w:pPr>
        <w:ind w:left="1560" w:right="1579"/>
        <w:spacing w:after="0" w:line="282" w:lineRule="auto"/>
        <w:rPr>
          <w:sz w:val="20"/>
          <w:szCs w:val="20"/>
          <w:color w:val="auto"/>
        </w:rPr>
      </w:pPr>
      <w:r>
        <w:rPr>
          <w:rFonts w:ascii="Arial" w:cs="Arial" w:eastAsia="Arial" w:hAnsi="Arial"/>
          <w:sz w:val="12"/>
          <w:szCs w:val="12"/>
          <w:color w:val="auto"/>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spacing w:after="0" w:line="77"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3"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84" w:lineRule="exact"/>
        <w:rPr>
          <w:sz w:val="20"/>
          <w:szCs w:val="20"/>
          <w:color w:val="auto"/>
        </w:rPr>
      </w:pPr>
    </w:p>
    <w:p>
      <w:pPr>
        <w:ind w:left="1560" w:right="1779"/>
        <w:spacing w:after="0" w:line="315" w:lineRule="auto"/>
        <w:rPr>
          <w:sz w:val="20"/>
          <w:szCs w:val="20"/>
          <w:color w:val="auto"/>
        </w:rPr>
      </w:pPr>
      <w:r>
        <w:rPr>
          <w:rFonts w:ascii="Arial" w:cs="Arial" w:eastAsia="Arial" w:hAnsi="Arial"/>
          <w:sz w:val="12"/>
          <w:szCs w:val="12"/>
          <w:b w:val="1"/>
          <w:bCs w:val="1"/>
          <w:i w:val="1"/>
          <w:iCs w:val="1"/>
          <w:color w:val="auto"/>
        </w:rPr>
        <w:t>Healthcare legislative reform measures may have a negative impact on our business and results of operations.</w:t>
      </w:r>
    </w:p>
    <w:p>
      <w:pPr>
        <w:spacing w:after="0" w:line="52" w:lineRule="exact"/>
        <w:rPr>
          <w:sz w:val="20"/>
          <w:szCs w:val="20"/>
          <w:color w:val="auto"/>
        </w:rPr>
      </w:pPr>
    </w:p>
    <w:p>
      <w:pPr>
        <w:jc w:val="both"/>
        <w:ind w:left="1560" w:right="1579"/>
        <w:spacing w:after="0" w:line="282" w:lineRule="auto"/>
        <w:rPr>
          <w:sz w:val="20"/>
          <w:szCs w:val="20"/>
          <w:color w:val="auto"/>
        </w:rPr>
      </w:pPr>
      <w:r>
        <w:rPr>
          <w:rFonts w:ascii="Arial" w:cs="Arial" w:eastAsia="Arial" w:hAnsi="Arial"/>
          <w:sz w:val="12"/>
          <w:szCs w:val="12"/>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6" w:name="page47"/>
    <w:bookmarkEnd w:id="4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19"/>
        <w:spacing w:after="0" w:line="264" w:lineRule="auto"/>
        <w:rPr>
          <w:sz w:val="20"/>
          <w:szCs w:val="20"/>
          <w:color w:val="auto"/>
        </w:rPr>
      </w:pPr>
      <w:r>
        <w:rPr>
          <w:rFonts w:ascii="Arial" w:cs="Arial" w:eastAsia="Arial" w:hAnsi="Arial"/>
          <w:sz w:val="12"/>
          <w:szCs w:val="12"/>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or collectively, the ACA, was passed, which substantially changed the way healthcare is financed by both the government and private insurers, and significantly impacts the U.S. pharmaceutical industry.</w:t>
      </w:r>
    </w:p>
    <w:p>
      <w:pPr>
        <w:spacing w:after="0" w:line="78"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Since its enactment, there have been judicial, Congressional and executive branch challenges to certain aspects of the ACA. On June 17, 2021, the U.S. Supreme Court dismissed the most recent judicial challenge to the ACA brought by several states on procedural grounds without specifically ruling on the constitutionality of the ACA. Prior to the Supreme Court’s decision.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the ACA will be subject to judicial or Congressional challenges in the future. It is unclear how other health reform measures of the Biden administration will impact our business.</w:t>
      </w:r>
    </w:p>
    <w:p>
      <w:pPr>
        <w:spacing w:after="0" w:line="83" w:lineRule="exact"/>
        <w:rPr>
          <w:sz w:val="20"/>
          <w:szCs w:val="20"/>
          <w:color w:val="auto"/>
        </w:rPr>
      </w:pPr>
    </w:p>
    <w:p>
      <w:pPr>
        <w:ind w:left="1560" w:right="1619"/>
        <w:spacing w:after="0" w:line="259" w:lineRule="auto"/>
        <w:rPr>
          <w:sz w:val="20"/>
          <w:szCs w:val="20"/>
          <w:color w:val="auto"/>
        </w:rPr>
      </w:pPr>
      <w:r>
        <w:rPr>
          <w:rFonts w:ascii="Arial" w:cs="Arial" w:eastAsia="Arial" w:hAnsi="Arial"/>
          <w:sz w:val="12"/>
          <w:szCs w:val="12"/>
          <w:color w:val="auto"/>
        </w:rPr>
        <w:t>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July 2021, the Biden administration released an executive order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232"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7" w:name="page48"/>
    <w:bookmarkEnd w:id="4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right="1679"/>
        <w:spacing w:after="0" w:line="298" w:lineRule="auto"/>
        <w:rPr>
          <w:sz w:val="20"/>
          <w:szCs w:val="20"/>
          <w:color w:val="auto"/>
        </w:rPr>
      </w:pPr>
      <w:r>
        <w:rPr>
          <w:rFonts w:ascii="Arial" w:cs="Arial" w:eastAsia="Arial" w:hAnsi="Arial"/>
          <w:sz w:val="12"/>
          <w:szCs w:val="12"/>
          <w:b w:val="1"/>
          <w:bCs w:val="1"/>
          <w:i w:val="1"/>
          <w:iCs w:val="1"/>
          <w:color w:val="auto"/>
        </w:rPr>
        <w:t>If we or our third-party manufacturers use hazardous and biological materials in a manner that causes injury or violates applicable law, we may be liable for damages.</w:t>
      </w:r>
    </w:p>
    <w:p>
      <w:pPr>
        <w:spacing w:after="0" w:line="52"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and results of operations.</w:t>
      </w:r>
    </w:p>
    <w:p>
      <w:pPr>
        <w:spacing w:after="0" w:line="236" w:lineRule="exact"/>
        <w:rPr>
          <w:sz w:val="20"/>
          <w:szCs w:val="20"/>
          <w:color w:val="auto"/>
        </w:rPr>
      </w:pPr>
    </w:p>
    <w:p>
      <w:pPr>
        <w:ind w:left="1560" w:right="1959"/>
        <w:spacing w:after="0" w:line="298" w:lineRule="auto"/>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could limit commercialization of any product candidate that we may develop.</w:t>
      </w:r>
    </w:p>
    <w:p>
      <w:pPr>
        <w:spacing w:after="0" w:line="52" w:lineRule="exact"/>
        <w:rPr>
          <w:sz w:val="20"/>
          <w:szCs w:val="20"/>
          <w:color w:val="auto"/>
        </w:rPr>
      </w:pPr>
    </w:p>
    <w:p>
      <w:pPr>
        <w:ind w:left="1560" w:right="1799"/>
        <w:spacing w:after="0" w:line="266" w:lineRule="auto"/>
        <w:rPr>
          <w:sz w:val="20"/>
          <w:szCs w:val="20"/>
          <w:color w:val="auto"/>
        </w:rPr>
      </w:pPr>
      <w:r>
        <w:rPr>
          <w:rFonts w:ascii="Arial" w:cs="Arial" w:eastAsia="Arial" w:hAnsi="Arial"/>
          <w:sz w:val="12"/>
          <w:szCs w:val="12"/>
          <w:color w:val="auto"/>
        </w:rPr>
        <w:t>We face an inherent risk of product liability exposure related to the testing of our current and any future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38" w:lineRule="exact"/>
        <w:rPr>
          <w:sz w:val="20"/>
          <w:szCs w:val="20"/>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decreased demand for any product candidate that we may develop;</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significant time and costs to defend the related litigation;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initiation of investigations by regulators;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inability to commercialize any product candidate that we may develop;</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decline in our share price.</w:t>
      </w:r>
    </w:p>
    <w:p>
      <w:pPr>
        <w:spacing w:after="0" w:line="123"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We currently hold approximately $10.0 million in product liability insurance coverage in the aggregate. We may need to increase our insurance coverage as we expand our clinical trials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74" w:lineRule="exact"/>
        <w:rPr>
          <w:sz w:val="20"/>
          <w:szCs w:val="20"/>
          <w:color w:val="auto"/>
        </w:rPr>
      </w:pPr>
    </w:p>
    <w:p>
      <w:pPr>
        <w:jc w:val="both"/>
        <w:ind w:left="1560" w:right="1779"/>
        <w:spacing w:after="0" w:line="309" w:lineRule="auto"/>
        <w:rPr>
          <w:sz w:val="20"/>
          <w:szCs w:val="20"/>
          <w:color w:val="auto"/>
        </w:rPr>
      </w:pPr>
      <w:r>
        <w:rPr>
          <w:rFonts w:ascii="Arial" w:cs="Arial" w:eastAsia="Arial" w:hAnsi="Arial"/>
          <w:sz w:val="12"/>
          <w:szCs w:val="12"/>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213"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We are increasingly dependent on information technology systems and infrastructure, including mobile and third-party, cloud-based technologies, to operate our business. In the ordinary course of our business, we may collect, store, process and transmit large amounts of sensitive information, including intellectual property,</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8" w:name="page49"/>
    <w:bookmarkEnd w:id="4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proprietary business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 addition, due to the COVID-19 pandemic, we have enabled all of our employees to work remotely, which may make us more vulnerable to cyberattacks. Cyber incidents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access can also be difficult to detect, and any delay in identifying them may lead to increased harm. In addition, the prevalent use of mobile devices increases the risk of data security incidents.</w:t>
      </w:r>
    </w:p>
    <w:p>
      <w:pPr>
        <w:spacing w:after="0" w:line="87"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spacing w:after="0" w:line="84"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We and certain of our service providers are from time to time subject to cyberattacks and security incidents. While we have no reason to believe that we have been subject to any significant system failure, accident or security breach to date,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spacing w:after="0" w:line="79"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49" w:name="page50"/>
    <w:bookmarkEnd w:id="4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right="1699"/>
        <w:spacing w:after="0" w:line="292" w:lineRule="auto"/>
        <w:rPr>
          <w:sz w:val="20"/>
          <w:szCs w:val="20"/>
          <w:color w:val="auto"/>
        </w:rPr>
      </w:pPr>
      <w:r>
        <w:rPr>
          <w:rFonts w:ascii="Arial" w:cs="Arial" w:eastAsia="Arial" w:hAnsi="Arial"/>
          <w:sz w:val="12"/>
          <w:szCs w:val="12"/>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5"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 impact on our business, financial condition, results of operations and prospects, including the imposition of significant fines or other sanctions.</w:t>
      </w:r>
    </w:p>
    <w:p>
      <w:pPr>
        <w:spacing w:after="0" w:line="79" w:lineRule="exact"/>
        <w:rPr>
          <w:sz w:val="20"/>
          <w:szCs w:val="20"/>
          <w:color w:val="auto"/>
        </w:rPr>
      </w:pPr>
    </w:p>
    <w:p>
      <w:pPr>
        <w:ind w:left="1560" w:right="1879"/>
        <w:spacing w:after="0" w:line="315" w:lineRule="auto"/>
        <w:rPr>
          <w:sz w:val="20"/>
          <w:szCs w:val="20"/>
          <w:color w:val="auto"/>
        </w:rPr>
      </w:pPr>
      <w:r>
        <w:rPr>
          <w:rFonts w:ascii="Arial" w:cs="Arial" w:eastAsia="Arial" w:hAnsi="Arial"/>
          <w:sz w:val="12"/>
          <w:szCs w:val="12"/>
          <w:b w:val="1"/>
          <w:bCs w:val="1"/>
          <w:i w:val="1"/>
          <w:iCs w:val="1"/>
          <w:color w:val="auto"/>
        </w:rPr>
        <w:t>Governments outside the United States tend to impose strict price controls, which may adversely affect our revenues, if any.</w:t>
      </w:r>
    </w:p>
    <w:p>
      <w:pPr>
        <w:spacing w:after="0" w:line="52"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88" w:lineRule="exact"/>
        <w:rPr>
          <w:sz w:val="20"/>
          <w:szCs w:val="20"/>
          <w:color w:val="auto"/>
        </w:rPr>
      </w:pPr>
    </w:p>
    <w:p>
      <w:pPr>
        <w:ind w:left="1560" w:right="1779"/>
        <w:spacing w:after="0" w:line="284" w:lineRule="auto"/>
        <w:rPr>
          <w:sz w:val="20"/>
          <w:szCs w:val="20"/>
          <w:color w:val="auto"/>
        </w:rPr>
      </w:pPr>
      <w:r>
        <w:rPr>
          <w:rFonts w:ascii="Arial" w:cs="Arial" w:eastAsia="Arial" w:hAnsi="Arial"/>
          <w:sz w:val="12"/>
          <w:szCs w:val="12"/>
          <w:b w:val="1"/>
          <w:bCs w:val="1"/>
          <w:i w:val="1"/>
          <w:iCs w:val="1"/>
          <w:color w:val="auto"/>
        </w:rPr>
        <w:t>Failure to comply with health and data protection laws and regulations could lead to government enforcement actions, which could include civil, criminal or administrative penalties, private litigation and/or adverse publicity and could negatively affect our operating results and business, financial condition, results of operations and prospects.</w:t>
      </w:r>
    </w:p>
    <w:p>
      <w:pPr>
        <w:spacing w:after="0" w:line="60"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In the United States,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0" w:name="page51"/>
    <w:bookmarkEnd w:id="5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939"/>
        <w:spacing w:after="0" w:line="280" w:lineRule="auto"/>
        <w:rPr>
          <w:sz w:val="20"/>
          <w:szCs w:val="20"/>
          <w:color w:val="auto"/>
        </w:rPr>
      </w:pPr>
      <w:r>
        <w:rPr>
          <w:rFonts w:ascii="Arial" w:cs="Arial" w:eastAsia="Arial" w:hAnsi="Arial"/>
          <w:sz w:val="12"/>
          <w:szCs w:val="12"/>
          <w:color w:val="auto"/>
        </w:rPr>
        <w:t>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68" w:lineRule="exact"/>
        <w:rPr>
          <w:sz w:val="20"/>
          <w:szCs w:val="20"/>
          <w:color w:val="auto"/>
        </w:rPr>
      </w:pPr>
    </w:p>
    <w:p>
      <w:pPr>
        <w:ind w:left="1560" w:right="1579"/>
        <w:spacing w:after="0" w:line="258" w:lineRule="auto"/>
        <w:rPr>
          <w:sz w:val="20"/>
          <w:szCs w:val="20"/>
          <w:color w:val="auto"/>
        </w:rPr>
      </w:pPr>
      <w:r>
        <w:rPr>
          <w:rFonts w:ascii="Arial" w:cs="Arial" w:eastAsia="Arial" w:hAnsi="Arial"/>
          <w:sz w:val="12"/>
          <w:szCs w:val="12"/>
          <w:color w:val="auto"/>
        </w:rPr>
        <w:t>Certain states have also adopted comparable privacy and security laws and regulations governing the privacy, processing and protection of personal information. For example, the California Consumer Privacy Act, or CCPA, took effect on January 1, 2020. The CCPA creates individual privacy rights for California consumers and places increased privacy and security obligations on organizations that handle certain personal information of consumers or households. The CCPA requires covered companies to provide disclosures to consumers about such companies’ data collection, use and sharing practices, provide such consumers with data privacy rights such as rights to access and delete their personal information, receive detailed information about how their personal information is used, and opt-out of certain sharing of personal information. The CCPA provides for civil penalties for violations, as well as a private right of action for certain data breaches that is expected to increase data breach litigation. The Attorney General and local government attorneys may also bring enforcement actions for alleged violations of the CCPA. Although there are some exemptions for clinical trial data and health information, the CCPA may impact our business activities and increase our compliance costs and potential liability. Further, the California Privacy Rights Act, or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Further, Virginia enacted the Virginia Consumer Data Protection Act, or VCDPA, effective January 1, 2023, Colorado passed the Colorado Privacy Rights Act, or CPA, effective July 1, 2023, Connecticut passed the Connecticut Data Privacy Act, or CDPA, effective July 1, 2023, and Utah passed the Utah Consumer Privacy Act, or UCPA, effective December 31, 2023. A number of other proposals exist for new federal and state privacy legislation that could increase our potential liability, increase our compliance costs, and affect our ability to collect personal information. The VCDPA, CPA, CDPA and UCPA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The enactment of such laws could have potentially conflicting requirements that would make compliance challenging. In the event that we are subject to or affected by these laws or other domestic privacy and data protection laws, any liability from failure to comply with the requirements of these laws could adversely affect our financial condition.</w:t>
      </w:r>
    </w:p>
    <w:p>
      <w:pPr>
        <w:spacing w:after="0" w:line="246"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Foreign data protection laws, including the European Union, or EU, Regulation 2016/679, known as the General Data Protection Regulation, or GDPR, may also apply to health-related and other personal data obtained outside of the United States. The GDPR which is wide-ranging in scope, imposes several requirements relating to control over personal data by individuals to whom personal data relates, the information that an organization must provide to individuals, the documentation an organization must maintain, the security and confidentiality of personal data, data breach notification, and the use of third-party processors in connection with the processing of personal data. Companies that violate the GDPR can face private litigation, restrictions on data processing, as well as fines up to the greater of €20 million or 4% of annual global revenue for significant violations. The GDPR also imposes strict rules on the transfer of personal data out of the European Economic Area, or EEA to the United States, which the GDPR deems as a country that has not been found to provide adequate protection for transfers of personal data.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1" w:name="page52"/>
    <w:bookmarkEnd w:id="5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1"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Further, from January 1, 2021, companies have had to comply with the GDPR and also the United Kingdom GDPR, or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w:t>
      </w:r>
    </w:p>
    <w:p>
      <w:pPr>
        <w:spacing w:after="0" w:line="78"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Although the European Commission announced a decision of  “adequacy” concluding that the UK ensures an equivalent level of data protection to the GDPR, which provides some relief regarding the legality of continued personal data flows from the EEA to the UK, some uncertainty remains, as this adequacy determination must be renewed after four years and may be modified or revoked in the interim. However, the UK adequacy decision will automatically expire in June 2025 unless the European Commission re-assesses and renews or extends that decision.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GDPR, the applicable laws of EU Member States, and the applicable privacy laws of the United Kingdom may impact our business activities and increase our compliance costs and potential liability.</w:t>
      </w:r>
    </w:p>
    <w:p>
      <w:pPr>
        <w:spacing w:after="0" w:line="230"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The EU has also proposed a Regulation on Privacy and Electronic Communications, or ePrivacy Regulation, which, if adopted, would impose new obligations on the use of personal data in the context of electronic communications, particularly with respect to online tracking technologies and direct marketing.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w:t>
      </w:r>
    </w:p>
    <w:p>
      <w:pPr>
        <w:spacing w:after="0" w:line="79"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The Cayman Islands Data Protection Act imposes obligations on data controllers in relation to the processing of personal data, and also introduced rights for data subjects (which may be subject to various exemptions), including, among others: (a) personal data must be processed fairly and on the basis of one of the grounds for processing as set out in the Data Protection Act; (b) personal data must be obtained for a specified lawful purpose; (c) personal data must be adequate, relevant and not excessive in relation to the purpose for which it was processed; (d) 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 prevent unauthorized or unlawful processing, accidental loss or destruction of personal data; and (h) the personal data may not be transferred to a country unless that country ensures an adequate level of protection for the rights and freedoms of data subjects.</w:t>
      </w:r>
    </w:p>
    <w:p>
      <w:pPr>
        <w:spacing w:after="0" w:line="83"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which became effective from November 1, 2021. Under the Personal Information Protection Law of the PRC,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2" w:name="page53"/>
    <w:bookmarkEnd w:id="5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85" w:lineRule="exact"/>
        <w:rPr>
          <w:sz w:val="20"/>
          <w:szCs w:val="20"/>
          <w:color w:val="auto"/>
        </w:rPr>
      </w:pPr>
    </w:p>
    <w:p>
      <w:pPr>
        <w:ind w:left="1560" w:right="1699"/>
        <w:spacing w:after="0" w:line="264" w:lineRule="auto"/>
        <w:rPr>
          <w:sz w:val="20"/>
          <w:szCs w:val="20"/>
          <w:color w:val="auto"/>
        </w:rPr>
      </w:pPr>
      <w:r>
        <w:rPr>
          <w:rFonts w:ascii="Arial" w:cs="Arial" w:eastAsia="Arial" w:hAnsi="Arial"/>
          <w:sz w:val="12"/>
          <w:szCs w:val="12"/>
          <w:color w:val="auto"/>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spacing w:after="0" w:line="80" w:lineRule="exact"/>
        <w:rPr>
          <w:sz w:val="20"/>
          <w:szCs w:val="20"/>
          <w:color w:val="auto"/>
        </w:rPr>
      </w:pPr>
    </w:p>
    <w:p>
      <w:pPr>
        <w:ind w:left="1560" w:right="1639"/>
        <w:spacing w:after="0" w:line="298" w:lineRule="auto"/>
        <w:rPr>
          <w:sz w:val="20"/>
          <w:szCs w:val="20"/>
          <w:color w:val="auto"/>
        </w:rPr>
      </w:pPr>
      <w:r>
        <w:rPr>
          <w:rFonts w:ascii="Arial" w:cs="Arial" w:eastAsia="Arial" w:hAnsi="Arial"/>
          <w:sz w:val="12"/>
          <w:szCs w:val="12"/>
          <w:b w:val="1"/>
          <w:bCs w:val="1"/>
          <w:i w:val="1"/>
          <w:iCs w:val="1"/>
          <w:color w:val="auto"/>
        </w:rPr>
        <w:t>There is tax risk associated with the reporting of cross-border arrangements and activities between us and our subsidiaries.</w:t>
      </w:r>
    </w:p>
    <w:p>
      <w:pPr>
        <w:spacing w:after="0" w:line="61"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81"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74" w:lineRule="exact"/>
        <w:rPr>
          <w:sz w:val="20"/>
          <w:szCs w:val="20"/>
          <w:color w:val="auto"/>
        </w:rPr>
      </w:pPr>
    </w:p>
    <w:p>
      <w:pPr>
        <w:ind w:left="1560" w:right="1719"/>
        <w:spacing w:after="0" w:line="275" w:lineRule="auto"/>
        <w:rPr>
          <w:sz w:val="20"/>
          <w:szCs w:val="20"/>
          <w:color w:val="auto"/>
        </w:rPr>
      </w:pPr>
      <w:r>
        <w:rPr>
          <w:rFonts w:ascii="Arial" w:cs="Arial" w:eastAsia="Arial" w:hAnsi="Arial"/>
          <w:sz w:val="12"/>
          <w:szCs w:val="12"/>
          <w:color w:val="auto"/>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84" w:lineRule="exact"/>
        <w:rPr>
          <w:sz w:val="20"/>
          <w:szCs w:val="20"/>
          <w:color w:val="auto"/>
        </w:rPr>
      </w:pPr>
    </w:p>
    <w:p>
      <w:pPr>
        <w:ind w:left="1560" w:right="1759"/>
        <w:spacing w:after="0" w:line="315" w:lineRule="auto"/>
        <w:rPr>
          <w:sz w:val="20"/>
          <w:szCs w:val="20"/>
          <w:color w:val="auto"/>
        </w:rPr>
      </w:pPr>
      <w:r>
        <w:rPr>
          <w:rFonts w:ascii="Arial" w:cs="Arial" w:eastAsia="Arial" w:hAnsi="Arial"/>
          <w:sz w:val="12"/>
          <w:szCs w:val="12"/>
          <w:b w:val="1"/>
          <w:bCs w:val="1"/>
          <w:i w:val="1"/>
          <w:iCs w:val="1"/>
          <w:color w:val="auto"/>
        </w:rPr>
        <w:t>Tax authorities may disagree with our positions and conclusions regarding certain tax positions, resulting in unanticipated costs, taxes or non-realization of expected benefits.</w:t>
      </w:r>
    </w:p>
    <w:p>
      <w:pPr>
        <w:spacing w:after="0" w:line="42" w:lineRule="exact"/>
        <w:rPr>
          <w:sz w:val="20"/>
          <w:szCs w:val="20"/>
          <w:color w:val="auto"/>
        </w:rPr>
      </w:pPr>
    </w:p>
    <w:p>
      <w:pPr>
        <w:ind w:left="1560" w:right="1719"/>
        <w:spacing w:after="0" w:line="282" w:lineRule="auto"/>
        <w:rPr>
          <w:sz w:val="20"/>
          <w:szCs w:val="20"/>
          <w:color w:val="auto"/>
        </w:rPr>
      </w:pPr>
      <w:r>
        <w:rPr>
          <w:rFonts w:ascii="Arial" w:cs="Arial" w:eastAsia="Arial" w:hAnsi="Arial"/>
          <w:sz w:val="12"/>
          <w:szCs w:val="12"/>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3" w:name="page54"/>
    <w:bookmarkEnd w:id="5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63" w:lineRule="auto"/>
        <w:rPr>
          <w:sz w:val="20"/>
          <w:szCs w:val="20"/>
          <w:color w:val="auto"/>
        </w:rPr>
      </w:pPr>
      <w:r>
        <w:rPr>
          <w:rFonts w:ascii="Arial" w:cs="Arial" w:eastAsia="Arial" w:hAnsi="Arial"/>
          <w:sz w:val="12"/>
          <w:szCs w:val="12"/>
          <w:color w:val="auto"/>
        </w:rPr>
        <w:t>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3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Risks Related to Doing Business in China and Our International Operations</w:t>
      </w:r>
    </w:p>
    <w:p>
      <w:pPr>
        <w:spacing w:after="0" w:line="115" w:lineRule="exact"/>
        <w:rPr>
          <w:sz w:val="20"/>
          <w:szCs w:val="20"/>
          <w:color w:val="auto"/>
        </w:rPr>
      </w:pPr>
    </w:p>
    <w:p>
      <w:pPr>
        <w:jc w:val="both"/>
        <w:ind w:left="1560" w:right="1719"/>
        <w:spacing w:after="0" w:line="283" w:lineRule="auto"/>
        <w:rPr>
          <w:sz w:val="20"/>
          <w:szCs w:val="20"/>
          <w:color w:val="auto"/>
        </w:rPr>
      </w:pPr>
      <w:r>
        <w:rPr>
          <w:rFonts w:ascii="Arial" w:cs="Arial" w:eastAsia="Arial" w:hAnsi="Arial"/>
          <w:sz w:val="12"/>
          <w:szCs w:val="12"/>
          <w:b w:val="1"/>
          <w:bCs w:val="1"/>
          <w:i w:val="1"/>
          <w:iCs w:val="1"/>
          <w:color w:val="auto"/>
        </w:rPr>
        <w:t>Changes in the political and economic policies of the Chinese government or in relations between China and the United States may affect our business, financial condition, results of operations and the market price of our ADSs.</w:t>
      </w:r>
    </w:p>
    <w:p>
      <w:pPr>
        <w:spacing w:after="0" w:line="61" w:lineRule="exact"/>
        <w:rPr>
          <w:sz w:val="20"/>
          <w:szCs w:val="20"/>
          <w:color w:val="auto"/>
        </w:rPr>
      </w:pPr>
    </w:p>
    <w:p>
      <w:pPr>
        <w:ind w:left="1560" w:right="1579"/>
        <w:spacing w:after="0" w:line="258" w:lineRule="auto"/>
        <w:rPr>
          <w:sz w:val="20"/>
          <w:szCs w:val="20"/>
          <w:color w:val="auto"/>
        </w:rPr>
      </w:pPr>
      <w:r>
        <w:rPr>
          <w:rFonts w:ascii="Arial" w:cs="Arial" w:eastAsia="Arial" w:hAnsi="Arial"/>
          <w:sz w:val="12"/>
          <w:szCs w:val="12"/>
          <w:color w:val="auto"/>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There is significant uncertainty about the future relationship between the United States and China with respect to trade policies, treaties, government regulations and tariffs.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four decades, growth has been uneven across different regions and among various economic sectors. The Chinese government has implemented various measures to encourage economic development and guide the allocation of resources. Some of these measures may benefit the overall Chinese economy, but may have a negative effect on us. For example, our financial condition and results of operations may be affected by 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a decrease in economic activity in China, which may affect our business and results of operations. In July 2021, the Chinese government provided new guidance on China-based companies raising capital outside of China, including through arrangements called variable interest entities, or VIEs. In light of such developments, the SEC has imposed enhanced disclosure requirements on China-based companies seeking to register securities with the SEC. Although we do not have a VIE structure,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the Chinese government may intervene with our operations and our business in China and United States, as well as the market price of our ADSs, may also be affected.</w:t>
      </w:r>
    </w:p>
    <w:p>
      <w:pPr>
        <w:spacing w:after="0" w:line="93" w:lineRule="exact"/>
        <w:rPr>
          <w:sz w:val="20"/>
          <w:szCs w:val="20"/>
          <w:color w:val="auto"/>
        </w:rPr>
      </w:pPr>
    </w:p>
    <w:p>
      <w:pPr>
        <w:ind w:left="1560" w:right="1759"/>
        <w:spacing w:after="0" w:line="315" w:lineRule="auto"/>
        <w:rPr>
          <w:sz w:val="20"/>
          <w:szCs w:val="20"/>
          <w:color w:val="auto"/>
        </w:rPr>
      </w:pPr>
      <w:r>
        <w:rPr>
          <w:rFonts w:ascii="Arial" w:cs="Arial" w:eastAsia="Arial" w:hAnsi="Arial"/>
          <w:sz w:val="12"/>
          <w:szCs w:val="12"/>
          <w:b w:val="1"/>
          <w:bCs w:val="1"/>
          <w:i w:val="1"/>
          <w:iCs w:val="1"/>
          <w:color w:val="auto"/>
        </w:rPr>
        <w:t>The Chinese government may intervene in or influence our operations at any time, which could result in a change in our operations and impact the value of our ADSs.</w:t>
      </w:r>
    </w:p>
    <w:p>
      <w:pPr>
        <w:spacing w:after="0" w:line="42"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The Chinese government has some oversight and discretion over the conduct of our business and may intervene or influence our operations as the government deems appropriate to further regulatory, political and societal goals. 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Chinese authorities to continue to operate our business that could potentially affect our business, financial condition and results of operations. Furthermore, recent statements made by the Chinese government, including the Opinions on Strictly Cracking Down Illegal Securities Activities in Accordance with the Law published on July 6, 2021, and new rules published for comments by the Chinese government, including the Provisions of the State Council on the Administration of Overseas Securities Offering and Listing by Domestic Companies (Draft for Comments) and the Administrative Measures for the Filing of Overseas Securities Offering and Listing by Domestic Companies (Draft for Comments) published on December 24, 2021, have indicated an intent to increase the government’s oversight and control over offerings of companies with certain amount of operations in China that are to be conducted in foreign markets, as well as foreign investment in certain qualified issuers. If we were to become subject to the direct intervention or influence of the Chinese government at any time due to changes in laws or other unforeseeable reasons, it may require a material change in our operations and/or the value of our ADSs.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4" w:name="page55"/>
    <w:bookmarkEnd w:id="5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right="1719"/>
        <w:spacing w:after="0" w:line="298" w:lineRule="auto"/>
        <w:rPr>
          <w:sz w:val="20"/>
          <w:szCs w:val="20"/>
          <w:color w:val="auto"/>
        </w:rPr>
      </w:pPr>
      <w:r>
        <w:rPr>
          <w:rFonts w:ascii="Arial" w:cs="Arial" w:eastAsia="Arial" w:hAnsi="Arial"/>
          <w:sz w:val="12"/>
          <w:szCs w:val="12"/>
          <w:b w:val="1"/>
          <w:bCs w:val="1"/>
          <w:i w:val="1"/>
          <w:iCs w:val="1"/>
          <w:color w:val="auto"/>
        </w:rPr>
        <w:t>Changes in U.S. and Chinese regulations may impact our business, our operating results, our ability to raise capital and the market price of our ADSs.</w:t>
      </w:r>
    </w:p>
    <w:p>
      <w:pPr>
        <w:spacing w:after="0" w:line="52"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certain operations based in China. The statement also addressed risks inherent in companies with VIE structures. We do not have a VIE structure and are not in an industry that is subject to foreign ownership limitations by China. However, it is possible that the Company’s periodic reports and other filings with the SEC may be subject to enhanced review by the SEC and this additional scrutiny could affect our ability to effectively raise capital in the United States.</w:t>
      </w:r>
    </w:p>
    <w:p>
      <w:pPr>
        <w:spacing w:after="0" w:line="89"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response to the SEC’s July 30, 2021 statement, the CSRC announced on August 1, 2021, that “[i]t is our belief that Chinese and U.S. regulators shall continue to enhance communication with the principle of mutual respect and cooperation, and properly address the 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spacing w:after="0" w:line="81" w:lineRule="exact"/>
        <w:rPr>
          <w:sz w:val="20"/>
          <w:szCs w:val="20"/>
          <w:color w:val="auto"/>
        </w:rPr>
      </w:pPr>
    </w:p>
    <w:p>
      <w:pPr>
        <w:ind w:left="1560" w:right="1639"/>
        <w:spacing w:after="0" w:line="270" w:lineRule="auto"/>
        <w:rPr>
          <w:sz w:val="20"/>
          <w:szCs w:val="20"/>
          <w:color w:val="auto"/>
        </w:rPr>
      </w:pPr>
      <w:r>
        <w:rPr>
          <w:rFonts w:ascii="Arial" w:cs="Arial" w:eastAsia="Arial" w:hAnsi="Arial"/>
          <w:sz w:val="12"/>
          <w:szCs w:val="12"/>
          <w:color w:val="auto"/>
        </w:rPr>
        <w:t>If any new legislation, executive orders, tariffs, laws and/or regulations are implemented, if existing trade agreements are renegotiated, if the U.S. or Chinese governments take retaliatory actions due to the recent U.S.-China tension or if the Chinese government exerts more oversight and control over securities offerings that are conducted in the United States, such changes could have an adverse effect on our business, financial condition and results of operations, our ability to raise capital and the market price of our ADSs.</w:t>
      </w:r>
    </w:p>
    <w:p>
      <w:pPr>
        <w:spacing w:after="0" w:line="77"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b w:val="1"/>
          <w:bCs w:val="1"/>
          <w:i w:val="1"/>
          <w:iCs w:val="1"/>
          <w:color w:val="auto"/>
        </w:rPr>
        <w:t>Compliance with China’s new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spacing w:after="0" w:line="66"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China has implemented or will implement rules and is considering a number of additional proposals relating to data protection. China’s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79" w:lineRule="exact"/>
        <w:rPr>
          <w:sz w:val="20"/>
          <w:szCs w:val="20"/>
          <w:color w:val="auto"/>
        </w:rPr>
      </w:pPr>
    </w:p>
    <w:p>
      <w:pPr>
        <w:ind w:left="1560" w:right="1679"/>
        <w:spacing w:after="0" w:line="264" w:lineRule="auto"/>
        <w:rPr>
          <w:sz w:val="20"/>
          <w:szCs w:val="20"/>
          <w:color w:val="auto"/>
        </w:rPr>
      </w:pPr>
      <w:r>
        <w:rPr>
          <w:rFonts w:ascii="Arial" w:cs="Arial" w:eastAsia="Arial" w:hAnsi="Arial"/>
          <w:sz w:val="12"/>
          <w:szCs w:val="12"/>
          <w:color w:val="auto"/>
        </w:rPr>
        <w:t>Additionally, China’s Cyber Security Law, promulgated by the Standing Committee of the National People’s Congress of the PRC, or SCNPC, in November 2016 and came into effect in June 2017,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5" w:name="page56"/>
    <w:bookmarkEnd w:id="5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79"/>
        <w:spacing w:after="0" w:line="273" w:lineRule="auto"/>
        <w:rPr>
          <w:sz w:val="20"/>
          <w:szCs w:val="20"/>
          <w:color w:val="auto"/>
        </w:rPr>
      </w:pPr>
      <w:r>
        <w:rPr>
          <w:rFonts w:ascii="Arial" w:cs="Arial" w:eastAsia="Arial" w:hAnsi="Arial"/>
          <w:sz w:val="12"/>
          <w:szCs w:val="12"/>
          <w:color w:val="auto"/>
        </w:rPr>
        <w:t>stored on their networks. Specifically, the Cyber Security Law provides that China adopt a multi-level protection scheme, or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84"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Recently,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the Cybersecurity Review Measures, which are aimed at “preventing national data security risks, maintaining national security and safeguarding public interests.”</w:t>
      </w:r>
    </w:p>
    <w:p>
      <w:pPr>
        <w:spacing w:after="0" w:line="73"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On July 10, 2021, the CAC published a draft revision to the existing Cybersecurity Review Measures for public comment, or the Revised Draft CAC Measures. On January 4, 2022, together with 12 other Chinese regulatory authorities, the CAC released the final version of the Revised Draft CAC Measures, or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or the Draft Management Regulations, under which data processors refer to individuals and organizations who determine the data processing activities in terms of the purpose and methods at their discretion. The Draft Management Regulations reiterate that data processors shall be subject to cybersecurity review if  (i) they process personal information of more than one million persons and they are aiming to list on foreign stock markets, or (ii) their data processing activities affect or may affect Chinese national security. The Draft Management Regulations also request data processors seeking to list on foreign stock markets to annually assess their data security by themselves or through data security service organizations, and submit the assessment reports to relevant competent authorities. As the Draft Management Regulations are released only for public comment, the final version and the effective date thereof is subject to change.</w:t>
      </w:r>
    </w:p>
    <w:p>
      <w:pPr>
        <w:spacing w:after="0" w:line="240"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As of the date of this prospectus, we have not received any notice from any Chinese regulatory authority identifying us as a “critical information infrastructure operator,” “online platform operator” or “data processor,” or requiring us to go through the cybersecurity review procedures pursuant to the Revised CAC Measures and the Draft Management Regulations. Based on our understanding of the Revised CAC Measures, and the Draft Management Regulations if enacted as currently proposed,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 persons. However, there remains uncertainty as to how the Revised CAC Measures, and the Draft Management Regulations if enacted as currently proposed, will be interpreted or implemented; for example, neither the Revised CAC Measures nor the Draft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6" w:name="page57"/>
    <w:bookmarkEnd w:id="5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Revised CAC Measures, the Draft Management Regulations or other laws and regulations related to privacy, data protection and information security.</w:t>
      </w:r>
    </w:p>
    <w:p>
      <w:pPr>
        <w:spacing w:after="0" w:line="62"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spacing w:after="0" w:line="79"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In addition, certain industry-specific laws and regulations affect the collection and transfer of data in the PRC. The Regulations on the Administration of Human Genetic Resources of the PRC, or the HGR Regulation, was promulgated by the State Council in May 2019 and came into effect in July 2019.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October 2020, the SCNPC promulgated the Biosecurity Law of the PRC, which reaffirms the regulatory requirements stipulated by the HGR Regulation while potentially increasing the administrative sanctions where China’s human genetic resources are collected, preserved, exported or used in international cooperation in violation of applicable laws.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and other applicable laws in our utilizing of and dealing with China’s human genetic resources. As a result, we may be exposed to compliance risks under the HGR Regulation and the Biosecurity Law of the PRC.</w:t>
      </w:r>
    </w:p>
    <w:p>
      <w:pPr>
        <w:spacing w:after="0" w:line="89"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Interpretation, application and enforcement of these laws, rules and regulations evolve from time to time and their scope may continually change, through new legislation, amendments to existing legislation or changes in enforcement. Compliance with China’s new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7" w:name="page58"/>
    <w:bookmarkEnd w:id="5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59"/>
        <w:spacing w:after="0" w:line="278" w:lineRule="auto"/>
        <w:rPr>
          <w:sz w:val="20"/>
          <w:szCs w:val="20"/>
          <w:color w:val="auto"/>
        </w:rPr>
      </w:pPr>
      <w:r>
        <w:rPr>
          <w:rFonts w:ascii="Arial" w:cs="Arial" w:eastAsia="Arial" w:hAnsi="Arial"/>
          <w:sz w:val="12"/>
          <w:szCs w:val="12"/>
          <w:color w:val="auto"/>
        </w:rPr>
        <w:t>are not subject to legal challenge, the perception of 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 once we are a public company.</w:t>
      </w:r>
    </w:p>
    <w:p>
      <w:pPr>
        <w:spacing w:after="0" w:line="83" w:lineRule="exact"/>
        <w:rPr>
          <w:sz w:val="20"/>
          <w:szCs w:val="20"/>
          <w:color w:val="auto"/>
        </w:rPr>
      </w:pPr>
    </w:p>
    <w:p>
      <w:pPr>
        <w:ind w:left="1560" w:right="1779"/>
        <w:spacing w:after="0" w:line="284" w:lineRule="auto"/>
        <w:rPr>
          <w:sz w:val="20"/>
          <w:szCs w:val="20"/>
          <w:color w:val="auto"/>
        </w:rPr>
      </w:pPr>
      <w:r>
        <w:rPr>
          <w:rFonts w:ascii="Arial" w:cs="Arial" w:eastAsia="Arial" w:hAnsi="Arial"/>
          <w:sz w:val="12"/>
          <w:szCs w:val="12"/>
          <w:b w:val="1"/>
          <w:bCs w:val="1"/>
          <w:i w:val="1"/>
          <w:iCs w:val="1"/>
          <w:color w:val="auto"/>
        </w:rPr>
        <w:t>The approval of, filing or other procedures with the CSRC or other Chinese regulatory authorities may be required in connection with this offering under Chinese law, and, if required, we cannot predict whether we will be able, or how long it will take us, to obtain such approval or complete such filing or other procedures.</w:t>
      </w:r>
    </w:p>
    <w:p>
      <w:pPr>
        <w:spacing w:after="0" w:line="60" w:lineRule="exact"/>
        <w:rPr>
          <w:sz w:val="20"/>
          <w:szCs w:val="20"/>
          <w:color w:val="auto"/>
        </w:rPr>
      </w:pPr>
    </w:p>
    <w:p>
      <w:pPr>
        <w:ind w:left="1560" w:right="1679"/>
        <w:spacing w:after="0" w:line="276" w:lineRule="auto"/>
        <w:rPr>
          <w:sz w:val="20"/>
          <w:szCs w:val="20"/>
          <w:color w:val="auto"/>
        </w:rPr>
      </w:pPr>
      <w:r>
        <w:rPr>
          <w:rFonts w:ascii="Arial" w:cs="Arial" w:eastAsia="Arial" w:hAnsi="Arial"/>
          <w:sz w:val="12"/>
          <w:szCs w:val="12"/>
          <w:color w:val="auto"/>
        </w:rPr>
        <w:t>The Regulations on Mergers and Acquisitions of Domestic Enterprises by Foreign Investors, or the M&amp;A Rules, purport to require offshore special purpose vehicles that are controlled by Chinese companies or individuals and that have been formed for the purpose of seeking a public listing on an overseas stock exchange through acquisitions of Chinese domestic companies or assets in exchange for the shares of the offshore special purpose vehicles shall obtain CSRC approval prior to publicly listing their securities on an overseas stock exchange.</w:t>
      </w:r>
    </w:p>
    <w:p>
      <w:pPr>
        <w:spacing w:after="0" w:line="82"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Based on our understanding of the Chinese laws and regulations in effect at the time of this prospectus, we are not currently required to submit an application to the CSRC for its approval of this offering and the listing and trading of our ADSs on the Nasdaq under the M&amp;A Rules. However, there remains some uncertainty as to how the M&amp;A Rules will be interpreted or implemented, and its opinions summarized above are subject to any new laws, rules and regulations or detailed implementations and interpretations in any form relating to the M&amp;A Rules. We cannot assure you that relevant Chinese government authorities, including the CSRC, would reach the same conclusion.</w:t>
      </w:r>
    </w:p>
    <w:p>
      <w:pPr>
        <w:spacing w:after="0" w:line="82" w:lineRule="exact"/>
        <w:rPr>
          <w:sz w:val="20"/>
          <w:szCs w:val="20"/>
          <w:color w:val="auto"/>
        </w:rPr>
      </w:pPr>
    </w:p>
    <w:p>
      <w:pPr>
        <w:ind w:left="1560" w:right="1759"/>
        <w:spacing w:after="0" w:line="278" w:lineRule="auto"/>
        <w:rPr>
          <w:sz w:val="20"/>
          <w:szCs w:val="20"/>
          <w:color w:val="auto"/>
        </w:rPr>
      </w:pPr>
      <w:r>
        <w:rPr>
          <w:rFonts w:ascii="Arial" w:cs="Arial" w:eastAsia="Arial" w:hAnsi="Arial"/>
          <w:sz w:val="12"/>
          <w:szCs w:val="12"/>
          <w:color w:val="auto"/>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spacing w:after="0" w:line="71" w:lineRule="exact"/>
        <w:rPr>
          <w:sz w:val="20"/>
          <w:szCs w:val="20"/>
          <w:color w:val="auto"/>
        </w:rPr>
      </w:pPr>
    </w:p>
    <w:p>
      <w:pPr>
        <w:ind w:left="1560" w:right="1639"/>
        <w:spacing w:after="0" w:line="274" w:lineRule="auto"/>
        <w:rPr>
          <w:sz w:val="20"/>
          <w:szCs w:val="20"/>
          <w:color w:val="auto"/>
        </w:rPr>
      </w:pPr>
      <w:r>
        <w:rPr>
          <w:rFonts w:ascii="Arial" w:cs="Arial" w:eastAsia="Arial" w:hAnsi="Arial"/>
          <w:sz w:val="12"/>
          <w:szCs w:val="12"/>
          <w:color w:val="auto"/>
        </w:rPr>
        <w:t>Furthermore, on December 24, 2021, the CSRC promulgated the Provisions of the State Council on the Administration of Overseas Securities Offering and Listing by Domestic Companies (Draft for Comments) and the Administrative Measures for the Filing of Overseas Securities Offering and Listing by Domestic Companies (Draft for Comments), or collectively, the Drafts for Comments, which, among others, require certain companies to fulfill a filing procedure with the CSRC in respect of its offering and listing in the stock markets outside of the PRC if such companies meet the criteria set forth in the Drafts for Comments. As the Drafts for Comments were released only for public comment, the final version and the effective date thereof may be subject to change with substantial uncertainty. For more details, see the section titled “Business— Regulation—Other​ Significant Chinese Regulation Affecting Our Business Activities in China.”</w:t>
      </w:r>
    </w:p>
    <w:p>
      <w:pPr>
        <w:spacing w:after="0" w:line="81"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As of the date of this prospectus, (i) we have not received any inquiry, notice, warning, sanction or any regulatory objections to this offering from the CSRC, the CAC or any other Chinese regulatory authorities that have jurisdiction over our operations; and (ii) based on our understanding of the currently effective PRC laws and regulations, we are not required to obtain approval or permission from the CSRC, the CAC or other Chinese regulatory authorities to conduct this offering. However, we cannot assure you that the relevant Chinese regulatory authorities, including the CSRC and the CAC, would reach the same conclusion as us. If such an approval, filing or other procedure is required, it is uncertain whether we will be able and how long it will take for us to obtain the approval or complete the filing or other procedures, despite our best efforts. If our Chinese subsidiaries do not receive or maintain permissions or approvals or inadvertently conclude that permissions or approvals needed for their business are not required, or if there are changes in applicable laws (including regulations) or interpretations of laws, and our Chinese subsidiaries are required but unable to obtain any permissions or approvals in the future, then such changes or need for approvals (if not obtained) could adversely affect the operations of our Chinese subsidiaries, including limiting or prohibiting the ability of our Chinese subsidiaries to operate, and potentially cause the value of our ADSs or ordinary shares to decline.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8" w:name="page59"/>
    <w:bookmarkEnd w:id="5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repatriation of the proceeds from this offering into China or take other actions that could have an adverse effect on our business, financial condition, results of operations and prospects, as well as the trading price of the ADSs.</w:t>
      </w:r>
    </w:p>
    <w:p>
      <w:pPr>
        <w:spacing w:after="0" w:line="68"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If the CSRC or other Chinese regulatory authorities later promulgate new rules or explanations requiring that we obtain their approvals or complete filing or other procedures for this offering, we may be unable to obtain a waiver of such requirements, if and when procedures are established to obtain such a waiver. Even after the completion of this offering, our listing status and the trading of our ADSs and ordinary shares may be affected if the CSRC or other Chinese regulatory authorities determine that we were or are non-compliant with any PRC laws or regulations. Any uncertainties and/or negative publicity regarding such approval requirement could have an adverse effect on the trading price of the ADSs.</w:t>
      </w:r>
    </w:p>
    <w:p>
      <w:pPr>
        <w:spacing w:after="0" w:line="80" w:lineRule="exact"/>
        <w:rPr>
          <w:sz w:val="20"/>
          <w:szCs w:val="20"/>
          <w:color w:val="auto"/>
        </w:rPr>
      </w:pPr>
    </w:p>
    <w:p>
      <w:pPr>
        <w:ind w:left="1560" w:right="1939"/>
        <w:spacing w:after="0" w:line="269" w:lineRule="auto"/>
        <w:rPr>
          <w:sz w:val="20"/>
          <w:szCs w:val="20"/>
          <w:color w:val="auto"/>
        </w:rPr>
      </w:pPr>
      <w:r>
        <w:rPr>
          <w:rFonts w:ascii="Arial" w:cs="Arial" w:eastAsia="Arial" w:hAnsi="Arial"/>
          <w:sz w:val="12"/>
          <w:szCs w:val="12"/>
          <w:b w:val="1"/>
          <w:bCs w:val="1"/>
          <w:i w:val="1"/>
          <w:iCs w:val="1"/>
          <w:color w:val="auto"/>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spacing w:after="0" w:line="221"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spacing w:after="0" w:line="82" w:lineRule="exact"/>
        <w:rPr>
          <w:sz w:val="20"/>
          <w:szCs w:val="20"/>
          <w:color w:val="auto"/>
        </w:rPr>
      </w:pPr>
    </w:p>
    <w:p>
      <w:pPr>
        <w:ind w:left="1560" w:right="1619"/>
        <w:spacing w:after="0" w:line="287" w:lineRule="auto"/>
        <w:rPr>
          <w:sz w:val="20"/>
          <w:szCs w:val="20"/>
          <w:color w:val="auto"/>
        </w:rPr>
      </w:pPr>
      <w:r>
        <w:rPr>
          <w:rFonts w:ascii="Arial" w:cs="Arial" w:eastAsia="Arial" w:hAnsi="Arial"/>
          <w:sz w:val="12"/>
          <w:szCs w:val="12"/>
          <w:b w:val="1"/>
          <w:bCs w:val="1"/>
          <w:i w:val="1"/>
          <w:iCs w:val="1"/>
          <w:color w:val="auto"/>
        </w:rPr>
        <w:t>As a company with operations and business relationships outside of the United States, our business is subject to economic, political, regulatory and other risks associated with international operations.</w:t>
      </w:r>
    </w:p>
    <w:p>
      <w:pPr>
        <w:spacing w:after="0" w:line="209"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p>
      <w:pPr>
        <w:spacing w:after="0" w:line="34" w:lineRule="exact"/>
        <w:rPr>
          <w:sz w:val="20"/>
          <w:szCs w:val="20"/>
          <w:color w:val="auto"/>
        </w:rPr>
      </w:pPr>
    </w:p>
    <w:p>
      <w:pPr>
        <w:ind w:left="1980" w:right="1739" w:hanging="157"/>
        <w:spacing w:after="0" w:line="308"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economic weakness, including inflation, or political instability in particular non-U.S. economies and markets;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differing and changing regulatory requirements for product approvals;</w:t>
      </w:r>
    </w:p>
    <w:p>
      <w:pPr>
        <w:spacing w:after="0" w:line="65"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differing jurisdictions could present different issues for securing, maintaining or obtaining freedom to operate in such jurisdictions;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potentially reduced protection for intellectual property rights;</w:t>
      </w:r>
    </w:p>
    <w:p>
      <w:pPr>
        <w:spacing w:after="0" w:line="74"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difficulties in compliance with different, complex and changing laws, regulations and court systems of multiple jurisdictions and compliance with a wide variety of foreign laws, treaties and regulations;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non-U.S. regulations and customs, tariffs and trade barriers;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non-U.S. currency exchange rates of the RMB;</w:t>
      </w:r>
    </w:p>
    <w:p>
      <w:pPr>
        <w:spacing w:after="0" w:line="65"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a specific country’s or region’s political or economic environment especially with respect to a particular country’s treatment of or stance towards other countries;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59" w:name="page60"/>
    <w:bookmarkEnd w:id="5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839" w:hanging="157"/>
        <w:spacing w:after="0" w:line="308" w:lineRule="auto"/>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trade protection measures, import or export licensing requirements or other restrictive actions by governments;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differing reimbursement regimes and price controls in certain non-U.S. markets;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negative consequences from changes in tax laws;</w:t>
      </w:r>
    </w:p>
    <w:p>
      <w:pPr>
        <w:spacing w:after="0" w:line="65"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compliance with tax, employment, immigration and labor laws for employees living or traveling abroad;</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variable tax treatment in different jurisdictions of options granted under our equity incentive plans;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workforce uncertainty in countries where labor unrest is more common than in the United States; and</w:t>
      </w:r>
    </w:p>
    <w:p>
      <w:pPr>
        <w:spacing w:after="0" w:line="74" w:lineRule="exact"/>
        <w:rPr>
          <w:rFonts w:ascii="Arial" w:cs="Arial" w:eastAsia="Arial" w:hAnsi="Arial"/>
          <w:sz w:val="12"/>
          <w:szCs w:val="12"/>
          <w:color w:val="auto"/>
        </w:rPr>
      </w:pPr>
    </w:p>
    <w:p>
      <w:pPr>
        <w:ind w:left="1980" w:right="2019" w:hanging="157"/>
        <w:spacing w:after="0" w:line="308" w:lineRule="auto"/>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business interruptions resulting from geo-political actions, including war and terrorism, health epidemics, or natural disasters including earthquakes, typhoons, floods and fires.</w:t>
      </w:r>
    </w:p>
    <w:p>
      <w:pPr>
        <w:spacing w:after="0" w:line="54" w:lineRule="exact"/>
        <w:rPr>
          <w:sz w:val="20"/>
          <w:szCs w:val="20"/>
          <w:color w:val="auto"/>
        </w:rPr>
      </w:pPr>
    </w:p>
    <w:p>
      <w:pPr>
        <w:ind w:left="1560" w:right="1599"/>
        <w:spacing w:after="0" w:line="292" w:lineRule="auto"/>
        <w:rPr>
          <w:sz w:val="20"/>
          <w:szCs w:val="20"/>
          <w:color w:val="auto"/>
        </w:rPr>
      </w:pPr>
      <w:r>
        <w:rPr>
          <w:rFonts w:ascii="Arial" w:cs="Arial" w:eastAsia="Arial" w:hAnsi="Arial"/>
          <w:sz w:val="12"/>
          <w:szCs w:val="12"/>
          <w:b w:val="1"/>
          <w:bCs w:val="1"/>
          <w:i w:val="1"/>
          <w:iCs w:val="1"/>
          <w:color w:val="auto"/>
        </w:rPr>
        <w:t>If we fail to comply with Chinese environmental, health and safety laws and regulations, we could become subject to fines or penalties or incur costs that could have a material adverse effect on the success of our business.</w:t>
      </w:r>
    </w:p>
    <w:p>
      <w:pPr>
        <w:spacing w:after="0" w:line="65"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 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w:t>
      </w:r>
    </w:p>
    <w:p>
      <w:pPr>
        <w:spacing w:after="0" w:line="83"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Although we maintain workers’ compensation insurance to cover costs and expenses incurred due to on-the-job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 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may be materially adversely affected.</w:t>
      </w:r>
    </w:p>
    <w:p>
      <w:pPr>
        <w:spacing w:after="0" w:line="233" w:lineRule="exact"/>
        <w:rPr>
          <w:sz w:val="20"/>
          <w:szCs w:val="20"/>
          <w:color w:val="auto"/>
        </w:rPr>
      </w:pPr>
    </w:p>
    <w:p>
      <w:pPr>
        <w:jc w:val="both"/>
        <w:ind w:left="1560" w:right="1679"/>
        <w:spacing w:after="0" w:line="292" w:lineRule="auto"/>
        <w:rPr>
          <w:sz w:val="20"/>
          <w:szCs w:val="20"/>
          <w:color w:val="auto"/>
        </w:rPr>
      </w:pPr>
      <w:r>
        <w:rPr>
          <w:rFonts w:ascii="Arial" w:cs="Arial" w:eastAsia="Arial" w:hAnsi="Arial"/>
          <w:sz w:val="12"/>
          <w:szCs w:val="12"/>
          <w:b w:val="1"/>
          <w:bCs w:val="1"/>
          <w:i w:val="1"/>
          <w:iCs w:val="1"/>
          <w:color w:val="auto"/>
        </w:rPr>
        <w:t>China’s economic, political and social conditions, as well as governmental policies, could affect the business environment and financial markets in China, our ability to operate our business, our liquidity and our access to capital.</w:t>
      </w:r>
    </w:p>
    <w:p>
      <w:pPr>
        <w:spacing w:after="0" w:line="65" w:lineRule="exact"/>
        <w:rPr>
          <w:sz w:val="20"/>
          <w:szCs w:val="20"/>
          <w:color w:val="auto"/>
        </w:rPr>
      </w:pPr>
    </w:p>
    <w:p>
      <w:pPr>
        <w:ind w:left="1560" w:right="1679"/>
        <w:spacing w:after="0" w:line="273" w:lineRule="auto"/>
        <w:rPr>
          <w:sz w:val="20"/>
          <w:szCs w:val="20"/>
          <w:color w:val="auto"/>
        </w:rPr>
      </w:pPr>
      <w:r>
        <w:rPr>
          <w:rFonts w:ascii="Arial" w:cs="Arial" w:eastAsia="Arial" w:hAnsi="Arial"/>
          <w:sz w:val="12"/>
          <w:szCs w:val="12"/>
          <w:color w:val="auto"/>
        </w:rPr>
        <w:t>There are legal and operational risks associated with having our early discovery and preclinical operations conducted in China. Accordingly, our business, results of operations, financial condition and prospects may be influenced to a significant degree by economic, political, legal and social conditions in China.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40 years, growth has been uneven across different regions and among various economic sectors of China. The Chinese government has implemented various measures to encourage economic development and guide the allocation of resources. Some of these measures may benefit the overall Chinese economy, but may have a negative effect on us. For example, our financial condition and results of operations may be adversely affected by</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0" w:name="page61"/>
    <w:bookmarkEnd w:id="6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decreased economic activity in China, which may adversely affect our business and results of operations.</w:t>
      </w:r>
    </w:p>
    <w:p>
      <w:pPr>
        <w:spacing w:after="0" w:line="75" w:lineRule="exact"/>
        <w:rPr>
          <w:sz w:val="20"/>
          <w:szCs w:val="20"/>
          <w:color w:val="auto"/>
        </w:rPr>
      </w:pPr>
    </w:p>
    <w:p>
      <w:pPr>
        <w:ind w:left="1560" w:right="1799"/>
        <w:spacing w:after="0" w:line="298" w:lineRule="auto"/>
        <w:rPr>
          <w:sz w:val="20"/>
          <w:szCs w:val="20"/>
          <w:color w:val="auto"/>
        </w:rPr>
      </w:pPr>
      <w:r>
        <w:rPr>
          <w:rFonts w:ascii="Arial" w:cs="Arial" w:eastAsia="Arial" w:hAnsi="Arial"/>
          <w:sz w:val="12"/>
          <w:szCs w:val="12"/>
          <w:b w:val="1"/>
          <w:bCs w:val="1"/>
          <w:i w:val="1"/>
          <w:iCs w:val="1"/>
          <w:color w:val="auto"/>
        </w:rPr>
        <w:t>Uncertainties with respect to the Chinese legal system and changes in laws, regulations and policies in China could materially and adversely affect us.</w:t>
      </w:r>
    </w:p>
    <w:p>
      <w:pPr>
        <w:spacing w:after="0" w:line="52"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Chinese laws and regulations govern our operations in China and the implementation of these laws and regulations may be in part based on government policies and internal rules that are subject to the interpretation and discretion of different government agencies (some of which are not published on a timely basis or at all) that may have a retroactive effect. As a result, we may not always be aware of any potential violation of these policies and rules. Such unpredictability regarding our contractual, property and procedural rights could adversely affect our business and impede our ability to continue our operations. Furthermore, since Chinese administrative and court authorities have significant discretion in interpreting and implementing statutory and contractual terms, it may be more difficult to evaluate the outcome of administrative and court proceedings and we may not receive the level of legal protection we enjoy than in more developed legal systems. The Chinese legal system is evolving rapidly and the Chinese laws, regulations, and rules may change quickly with little or no advance notice. In particular, because these laws, rules and regulations are relatively new, and because of the limited number of published decisions and the non-precedential nature of these decisions, the interpretation of these laws, rules and regulations may contain inconsistencies, the enforcement of which involves uncertainties. These uncertainties could materially and adversely affect our business and results of operations.</w:t>
      </w:r>
    </w:p>
    <w:p>
      <w:pPr>
        <w:spacing w:after="0" w:line="79" w:lineRule="exact"/>
        <w:rPr>
          <w:sz w:val="20"/>
          <w:szCs w:val="20"/>
          <w:color w:val="auto"/>
        </w:rPr>
      </w:pPr>
    </w:p>
    <w:p>
      <w:pPr>
        <w:ind w:left="1560" w:right="1799"/>
        <w:spacing w:after="0" w:line="291" w:lineRule="auto"/>
        <w:rPr>
          <w:sz w:val="20"/>
          <w:szCs w:val="20"/>
          <w:color w:val="auto"/>
        </w:rPr>
      </w:pPr>
      <w:r>
        <w:rPr>
          <w:rFonts w:ascii="Arial" w:cs="Arial" w:eastAsia="Arial" w:hAnsi="Arial"/>
          <w:sz w:val="12"/>
          <w:szCs w:val="12"/>
          <w:color w:val="auto"/>
        </w:rPr>
        <w:t>In addition, any administrative and court proceedings in China may be protracted, resulting in substantial costs and diversion of resources and management attention.</w:t>
      </w:r>
    </w:p>
    <w:p>
      <w:pPr>
        <w:spacing w:after="0" w:line="64" w:lineRule="exact"/>
        <w:rPr>
          <w:sz w:val="20"/>
          <w:szCs w:val="20"/>
          <w:color w:val="auto"/>
        </w:rPr>
      </w:pPr>
    </w:p>
    <w:p>
      <w:pPr>
        <w:ind w:left="1560" w:right="1599"/>
        <w:spacing w:after="0" w:line="268" w:lineRule="auto"/>
        <w:rPr>
          <w:sz w:val="20"/>
          <w:szCs w:val="20"/>
          <w:color w:val="auto"/>
        </w:rPr>
      </w:pPr>
      <w:r>
        <w:rPr>
          <w:rFonts w:ascii="Arial" w:cs="Arial" w:eastAsia="Arial" w:hAnsi="Arial"/>
          <w:sz w:val="12"/>
          <w:szCs w:val="12"/>
          <w:b w:val="1"/>
          <w:bCs w:val="1"/>
          <w:i w:val="1"/>
          <w:iCs w:val="1"/>
          <w:color w:val="auto"/>
        </w:rPr>
        <w:t>We may be exposed to liabilities under the U.S. Foreign Corrupt Practices Act, or the FCPA, and similar anti- corruption and anti -bribery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spacing w:after="0" w:line="69" w:lineRule="exact"/>
        <w:rPr>
          <w:sz w:val="20"/>
          <w:szCs w:val="20"/>
          <w:color w:val="auto"/>
        </w:rPr>
      </w:pPr>
    </w:p>
    <w:p>
      <w:pPr>
        <w:ind w:left="1560" w:right="1619"/>
        <w:spacing w:after="0" w:line="259" w:lineRule="auto"/>
        <w:rPr>
          <w:sz w:val="20"/>
          <w:szCs w:val="20"/>
          <w:color w:val="auto"/>
        </w:rPr>
      </w:pPr>
      <w:r>
        <w:rPr>
          <w:rFonts w:ascii="Arial" w:cs="Arial" w:eastAsia="Arial" w:hAnsi="Arial"/>
          <w:sz w:val="12"/>
          <w:szCs w:val="12"/>
          <w:color w:val="auto"/>
        </w:rPr>
        <w:t>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87"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1" w:name="page62"/>
    <w:bookmarkEnd w:id="6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70" w:lineRule="exact"/>
        <w:rPr>
          <w:sz w:val="20"/>
          <w:szCs w:val="20"/>
          <w:color w:val="auto"/>
        </w:rPr>
      </w:pPr>
    </w:p>
    <w:p>
      <w:pPr>
        <w:ind w:left="1560" w:right="1979"/>
        <w:spacing w:after="0" w:line="298" w:lineRule="auto"/>
        <w:rPr>
          <w:sz w:val="20"/>
          <w:szCs w:val="20"/>
          <w:color w:val="auto"/>
        </w:rPr>
      </w:pPr>
      <w:r>
        <w:rPr>
          <w:rFonts w:ascii="Arial" w:cs="Arial" w:eastAsia="Arial" w:hAnsi="Arial"/>
          <w:sz w:val="12"/>
          <w:szCs w:val="12"/>
          <w:b w:val="1"/>
          <w:bCs w:val="1"/>
          <w:i w:val="1"/>
          <w:iCs w:val="1"/>
          <w:color w:val="auto"/>
        </w:rPr>
        <w:t>Restrictions on currency exchange may limit our ability to receive and use effectively financing in foreign currencies, including proceeds from this offering.</w:t>
      </w:r>
    </w:p>
    <w:p>
      <w:pPr>
        <w:spacing w:after="0" w:line="52"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Our Chinese subsidiaries’ ability to obtain currency exchange is subject to significant foreign exchange controls and, in the case of transactions under the capital account, requires the approval of and/or registration with Chinese government authorities, including the State Administration of Foreign Exchange, or SAFE. In particular, if we finance our Chinese subsidiaries by means of foreign debt from us or other foreign lenders, the amount is not allowed to, among other things, exceed the statutory limits and such loans must be registered with the local branch of SAFE. If we finance our Chinese subsidiaries by means of additional capital contributions, these capital contributions are subject to registration with the State Administration for Market Regulation or its local branch, reporting of foreign investment information with the Ministry of Commerce of the People’s Republic of China, or MOFCOM, or its local branch or registration with other governmental authorities in China.</w:t>
      </w:r>
    </w:p>
    <w:p>
      <w:pPr>
        <w:spacing w:after="0" w:line="79"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use the proceeds we receive from this offering and to capitalize or otherwise fund our Chinese operations, including our technology development and early discovery activities through Basecamp Bio, may be negatively affected, which could materially and adversely affect our ability to fund and expand our business.</w:t>
      </w:r>
    </w:p>
    <w:p>
      <w:pPr>
        <w:spacing w:after="0" w:line="83" w:lineRule="exact"/>
        <w:rPr>
          <w:sz w:val="20"/>
          <w:szCs w:val="20"/>
          <w:color w:val="auto"/>
        </w:rPr>
      </w:pPr>
    </w:p>
    <w:p>
      <w:pPr>
        <w:ind w:left="1560" w:right="1679"/>
        <w:spacing w:after="0" w:line="268" w:lineRule="auto"/>
        <w:rPr>
          <w:sz w:val="20"/>
          <w:szCs w:val="20"/>
          <w:color w:val="auto"/>
        </w:rPr>
      </w:pPr>
      <w:r>
        <w:rPr>
          <w:rFonts w:ascii="Arial" w:cs="Arial" w:eastAsia="Arial" w:hAnsi="Arial"/>
          <w:sz w:val="12"/>
          <w:szCs w:val="12"/>
          <w:b w:val="1"/>
          <w:bCs w:val="1"/>
          <w:i w:val="1"/>
          <w:iCs w:val="1"/>
          <w:color w:val="auto"/>
        </w:rPr>
        <w:t>Chinese regulations relating to the establishment of offshore special purpose companies by residents in China may subject our China resident beneficial owners or our wholly foreign -owned subsidiaries in China to liability or penalties, limit our ability to inject capital into these subsidiaries, limit these subsidiaries’ ability to increase their registered capital or distribute profits to us, or may otherwise adversely affect us.</w:t>
      </w:r>
    </w:p>
    <w:p>
      <w:pPr>
        <w:spacing w:after="0" w:line="69"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In 2014, SAFE promulgated the Circular on Relevant Issues Concerning Foreign Exchange Control on Domestic Residents’ Offshore Investment and Financing and Roundtrip Investment through Special Purpose Vehicles, or SAFE Circular 37. SAFE Circular 37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spacing w:after="0" w:line="234"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2" w:name="page63"/>
    <w:bookmarkEnd w:id="6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requests to make or obtain any applicable registrations or comply with other requirements under SAFE Circular 37 or other related rules. The failure or inability of our China resident shareholders to 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make distributions to you could be materially and adversely affected.</w:t>
      </w:r>
    </w:p>
    <w:p>
      <w:pPr>
        <w:spacing w:after="0" w:line="81" w:lineRule="exact"/>
        <w:rPr>
          <w:sz w:val="20"/>
          <w:szCs w:val="20"/>
          <w:color w:val="auto"/>
        </w:rPr>
      </w:pPr>
    </w:p>
    <w:p>
      <w:pPr>
        <w:jc w:val="both"/>
        <w:ind w:left="1560" w:right="1879"/>
        <w:spacing w:after="0" w:line="283" w:lineRule="auto"/>
        <w:rPr>
          <w:sz w:val="20"/>
          <w:szCs w:val="20"/>
          <w:color w:val="auto"/>
        </w:rPr>
      </w:pPr>
      <w:r>
        <w:rPr>
          <w:rFonts w:ascii="Arial" w:cs="Arial" w:eastAsia="Arial" w:hAnsi="Arial"/>
          <w:sz w:val="12"/>
          <w:szCs w:val="12"/>
          <w:b w:val="1"/>
          <w:bCs w:val="1"/>
          <w:i w:val="1"/>
          <w:iCs w:val="1"/>
          <w:color w:val="auto"/>
        </w:rPr>
        <w:t>If we are classified as a China resident enterprise for China income tax purposes, such classification could result in unfavorable tax consequences to us and our non-Chinese shareholders or ADS holders.</w:t>
      </w:r>
    </w:p>
    <w:p>
      <w:pPr>
        <w:spacing w:after="0" w:line="71" w:lineRule="exact"/>
        <w:rPr>
          <w:sz w:val="20"/>
          <w:szCs w:val="20"/>
          <w:color w:val="auto"/>
        </w:rPr>
      </w:pPr>
    </w:p>
    <w:p>
      <w:pPr>
        <w:ind w:left="1560" w:right="1579"/>
        <w:spacing w:after="0" w:line="269" w:lineRule="auto"/>
        <w:rPr>
          <w:sz w:val="20"/>
          <w:szCs w:val="20"/>
          <w:color w:val="auto"/>
        </w:rPr>
      </w:pPr>
      <w:r>
        <w:rPr>
          <w:rFonts w:ascii="Arial" w:cs="Arial" w:eastAsia="Arial" w:hAnsi="Arial"/>
          <w:sz w:val="12"/>
          <w:szCs w:val="12"/>
          <w:color w:val="auto"/>
        </w:rPr>
        <w:t>The Enterprise Income Tax Law of the People’s Republic of China, or the EIT Law, which was promulgated in March 2007, became effective in January 2008 and was amended in February 2017 and December 2018, and the Regulation on the Implementation of the EIT Law, effective as of January 1, 2008 and as amended in April 2019,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 enterprise income tax, or EIT, rate on its global income. The Notice Regarding the Determination of Chinese-Controlled Offshore-Incorporated Enterprises as Chinese Tax Resident Enterprises on the Basis of De Facto Management Bodies, or SAT Circular 82, issued by the State Taxation Administration of the People’s Republic of China, or the SAT, on April 22,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w:t>
      </w:r>
    </w:p>
    <w:p>
      <w:pPr>
        <w:spacing w:after="0" w:line="7" w:lineRule="exact"/>
        <w:rPr>
          <w:sz w:val="20"/>
          <w:szCs w:val="20"/>
          <w:color w:val="auto"/>
        </w:rPr>
      </w:pPr>
    </w:p>
    <w:p>
      <w:pPr>
        <w:ind w:left="1560" w:right="1579" w:firstLine="5"/>
        <w:spacing w:after="0" w:line="272" w:lineRule="auto"/>
        <w:tabs>
          <w:tab w:leader="none" w:pos="1703"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spacing w:after="0" w:line="230" w:lineRule="exact"/>
        <w:rPr>
          <w:sz w:val="20"/>
          <w:szCs w:val="20"/>
          <w:color w:val="auto"/>
        </w:rPr>
      </w:pPr>
    </w:p>
    <w:p>
      <w:pPr>
        <w:ind w:left="1560" w:right="1759"/>
        <w:spacing w:after="0" w:line="275" w:lineRule="auto"/>
        <w:rPr>
          <w:sz w:val="20"/>
          <w:szCs w:val="20"/>
          <w:color w:val="auto"/>
        </w:rPr>
      </w:pPr>
      <w:r>
        <w:rPr>
          <w:rFonts w:ascii="Arial" w:cs="Arial" w:eastAsia="Arial" w:hAnsi="Arial"/>
          <w:sz w:val="12"/>
          <w:szCs w:val="12"/>
          <w:color w:val="auto"/>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spacing w:after="0" w:line="82"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 liability may vary under applicable tax treaties. However, it is unclear whether our non-China shareholders would be able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3" w:name="page64"/>
    <w:bookmarkEnd w:id="6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to claim the benefits of any tax treaties between their country of tax residence and China in the event that we are treated as a China resident enterprise.</w:t>
      </w:r>
    </w:p>
    <w:p>
      <w:pPr>
        <w:spacing w:after="0" w:line="64" w:lineRule="exact"/>
        <w:rPr>
          <w:sz w:val="20"/>
          <w:szCs w:val="20"/>
          <w:color w:val="auto"/>
        </w:rPr>
      </w:pPr>
    </w:p>
    <w:p>
      <w:pPr>
        <w:ind w:left="1560" w:right="1779"/>
        <w:spacing w:after="0" w:line="315" w:lineRule="auto"/>
        <w:rPr>
          <w:sz w:val="20"/>
          <w:szCs w:val="20"/>
          <w:color w:val="auto"/>
        </w:rPr>
      </w:pPr>
      <w:r>
        <w:rPr>
          <w:rFonts w:ascii="Arial" w:cs="Arial" w:eastAsia="Arial" w:hAnsi="Arial"/>
          <w:sz w:val="12"/>
          <w:szCs w:val="12"/>
          <w:b w:val="1"/>
          <w:bCs w:val="1"/>
          <w:i w:val="1"/>
          <w:iCs w:val="1"/>
          <w:color w:val="auto"/>
        </w:rPr>
        <w:t>We and our shareholders face uncertainties in China with respect to indirect transfers of equity interests in China resident enterprises.</w:t>
      </w:r>
    </w:p>
    <w:p>
      <w:pPr>
        <w:spacing w:after="0" w:line="42"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The indirect transfer of equity interests in China resident enterprises by a non-China resident enterprise, or Indirect Transfer, is potentially subject to income tax in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or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China, or 90% or more of its income is derived directly or 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spacing w:after="0" w:line="83"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However, as these rules and notices are relatively new and there is a lack of clear statutory interpretation, we face uncertainties regarding the reporting required for and impact on future private equity financing transactions, share exchanges or other transactions involving the transfer of shares in our company by investors that are non-Chinese resident enterprises, or the sale or purchase of shares in other non-Chinese resident companies or other taxable assets by us. For example, the Chinese tax authorities may consider that this offering involves an indirect change of shareholding in our Chinese subsidiaries and therefore it may be regarded as an Indirect Transfer under SAT Circular 7. Although we believe no SAT Circular 7 reporting is required on the basis that this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the current offering or other transactions, which may have an adverse effect on our and their financial condition and day-to-day operations.</w:t>
      </w:r>
    </w:p>
    <w:p>
      <w:pPr>
        <w:spacing w:after="0" w:line="82" w:lineRule="exact"/>
        <w:rPr>
          <w:sz w:val="20"/>
          <w:szCs w:val="20"/>
          <w:color w:val="auto"/>
        </w:rPr>
      </w:pPr>
    </w:p>
    <w:p>
      <w:pPr>
        <w:ind w:left="1560" w:right="1659"/>
        <w:spacing w:after="0" w:line="277" w:lineRule="auto"/>
        <w:rPr>
          <w:sz w:val="20"/>
          <w:szCs w:val="20"/>
          <w:color w:val="auto"/>
        </w:rPr>
      </w:pPr>
      <w:r>
        <w:rPr>
          <w:rFonts w:ascii="Arial" w:cs="Arial" w:eastAsia="Arial" w:hAnsi="Arial"/>
          <w:sz w:val="12"/>
          <w:szCs w:val="12"/>
          <w:b w:val="1"/>
          <w:bCs w:val="1"/>
          <w:i w:val="1"/>
          <w:iCs w:val="1"/>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216" w:lineRule="exact"/>
        <w:rPr>
          <w:sz w:val="20"/>
          <w:szCs w:val="20"/>
          <w:color w:val="auto"/>
        </w:rPr>
      </w:pPr>
    </w:p>
    <w:p>
      <w:pPr>
        <w:ind w:left="1560" w:right="1679"/>
        <w:spacing w:after="0" w:line="262" w:lineRule="auto"/>
        <w:rPr>
          <w:sz w:val="20"/>
          <w:szCs w:val="20"/>
          <w:color w:val="auto"/>
        </w:rPr>
      </w:pPr>
      <w:r>
        <w:rPr>
          <w:rFonts w:ascii="Arial" w:cs="Arial" w:eastAsia="Arial" w:hAnsi="Arial"/>
          <w:sz w:val="12"/>
          <w:szCs w:val="12"/>
          <w:color w:val="auto"/>
        </w:rPr>
        <w:t>In February 2012, the SAFE promulgated the Notices on Issues Concerning the Foreign Exchange Administration for Domestic Individuals Participating in Stock Incentive Plans of Overseas Publicly Listed Companies, or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4" w:name="page65"/>
    <w:bookmarkEnd w:id="6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who are Chinese citizens or who reside in China for a continuous period of not less than one year and who participate in our stock incentive plans will be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directors and employees under Chinese law.</w:t>
      </w:r>
    </w:p>
    <w:p>
      <w:pPr>
        <w:spacing w:after="0" w:line="8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15" w:lineRule="exact"/>
        <w:rPr>
          <w:sz w:val="20"/>
          <w:szCs w:val="20"/>
          <w:color w:val="auto"/>
        </w:rPr>
      </w:pPr>
    </w:p>
    <w:p>
      <w:pPr>
        <w:ind w:left="1560" w:right="1739"/>
        <w:spacing w:after="0" w:line="283" w:lineRule="auto"/>
        <w:rPr>
          <w:sz w:val="20"/>
          <w:szCs w:val="20"/>
          <w:color w:val="auto"/>
        </w:rPr>
      </w:pPr>
      <w:r>
        <w:rPr>
          <w:rFonts w:ascii="Arial" w:cs="Arial" w:eastAsia="Arial" w:hAnsi="Arial"/>
          <w:sz w:val="12"/>
          <w:szCs w:val="12"/>
          <w:b w:val="1"/>
          <w:bCs w:val="1"/>
          <w:i w:val="1"/>
          <w:iCs w:val="1"/>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27"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spacing w:after="0" w:line="86"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the COVID-19 pandemic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spacing w:after="0" w:line="79"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5" w:name="page66"/>
    <w:bookmarkEnd w:id="6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The patent position of biopharmaceutical companies generally is highly uncertain, involves complex legal and factual questions for which many legal principles continue to change. In recent years, patent rights have been the subject of much litigation. As a result, the issuance, scope, validity, enforceability and commercial value of our patent rights are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or vice versa.</w:t>
      </w:r>
    </w:p>
    <w:p>
      <w:pPr>
        <w:spacing w:after="0" w:line="80" w:lineRule="exact"/>
        <w:rPr>
          <w:sz w:val="20"/>
          <w:szCs w:val="20"/>
          <w:color w:val="auto"/>
        </w:rPr>
      </w:pPr>
    </w:p>
    <w:p>
      <w:pPr>
        <w:ind w:left="1560" w:right="1619"/>
        <w:spacing w:after="0" w:line="283" w:lineRule="auto"/>
        <w:rPr>
          <w:sz w:val="20"/>
          <w:szCs w:val="20"/>
          <w:color w:val="auto"/>
        </w:rPr>
      </w:pPr>
      <w:r>
        <w:rPr>
          <w:rFonts w:ascii="Arial" w:cs="Arial" w:eastAsia="Arial" w:hAnsi="Arial"/>
          <w:sz w:val="12"/>
          <w:szCs w:val="12"/>
          <w:b w:val="1"/>
          <w:bCs w:val="1"/>
          <w:i w:val="1"/>
          <w:iCs w:val="1"/>
          <w:color w:val="auto"/>
        </w:rPr>
        <w:t>We cannot ensure that patent rights relating to inventions described and claimed in our pending patent applications will issue or that patents based on our patent applications will not be challenged and rendered invalid and/or unenforceable.</w:t>
      </w:r>
    </w:p>
    <w:p>
      <w:pPr>
        <w:spacing w:after="0" w:line="61"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p>
      <w:pPr>
        <w:spacing w:after="0" w:line="31" w:lineRule="exact"/>
        <w:rPr>
          <w:sz w:val="20"/>
          <w:szCs w:val="20"/>
          <w:color w:val="auto"/>
        </w:rPr>
      </w:pPr>
    </w:p>
    <w:p>
      <w:pPr>
        <w:ind w:left="1980" w:hanging="157"/>
        <w:spacing w:after="0"/>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if and when patents may issue based on our patent applications;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scope of protection of any patent issuing based on our patent applications;</w:t>
      </w:r>
    </w:p>
    <w:p>
      <w:pPr>
        <w:spacing w:after="0" w:line="65" w:lineRule="exact"/>
        <w:rPr>
          <w:rFonts w:ascii="Arial" w:cs="Arial" w:eastAsia="Arial" w:hAnsi="Arial"/>
          <w:sz w:val="12"/>
          <w:szCs w:val="12"/>
          <w:color w:val="auto"/>
        </w:rPr>
      </w:pPr>
    </w:p>
    <w:p>
      <w:pPr>
        <w:ind w:left="1980" w:right="1859" w:hanging="157"/>
        <w:spacing w:after="0" w:line="308"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whether the claims of any patent issuing based on our patent applications will provide protection against competitors;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whether or not third parties will find ways to invalidate or circumvent our patent rights;</w:t>
      </w:r>
    </w:p>
    <w:p>
      <w:pPr>
        <w:spacing w:after="0" w:line="65" w:lineRule="exact"/>
        <w:rPr>
          <w:rFonts w:ascii="Arial" w:cs="Arial" w:eastAsia="Arial" w:hAnsi="Arial"/>
          <w:sz w:val="12"/>
          <w:szCs w:val="12"/>
          <w:color w:val="auto"/>
        </w:rPr>
      </w:pPr>
    </w:p>
    <w:p>
      <w:pPr>
        <w:ind w:left="1980" w:right="1799" w:hanging="157"/>
        <w:spacing w:after="0" w:line="308"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whether or not others will obtain patents claiming aspects similar to those covered by our patents and patent applications;</w:t>
      </w:r>
    </w:p>
    <w:p>
      <w:pPr>
        <w:spacing w:after="0" w:line="13"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whether we will need to initiate litigation or administrative proceedings to enforce and/or defend our patent rights which will be costly whether we win or lose;</w:t>
      </w:r>
    </w:p>
    <w:p>
      <w:pPr>
        <w:spacing w:after="0" w:line="3" w:lineRule="exact"/>
        <w:rPr>
          <w:rFonts w:ascii="Arial" w:cs="Arial" w:eastAsia="Arial" w:hAnsi="Arial"/>
          <w:sz w:val="12"/>
          <w:szCs w:val="12"/>
          <w:color w:val="auto"/>
        </w:rPr>
      </w:pPr>
    </w:p>
    <w:p>
      <w:pPr>
        <w:ind w:left="1980" w:right="1599" w:hanging="157"/>
        <w:spacing w:after="0" w:line="305"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whether the patent applications that we own or in-license will result in issued patents with claims that cover our product candidates or uses thereof in the United States or in other foreign countries; and/or</w:t>
      </w:r>
    </w:p>
    <w:p>
      <w:pPr>
        <w:spacing w:after="0" w:line="161"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whether we may experience patent office interruption or delays to our ability to timely secure patent coverage to our product candidates.</w:t>
      </w:r>
    </w:p>
    <w:p>
      <w:pPr>
        <w:spacing w:after="0" w:line="62"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6" w:name="page67"/>
    <w:bookmarkEnd w:id="6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or PGR, proceedings, oppositions, derivations, reexaminations, or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or IPR,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 candidates.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spacing w:after="0" w:line="236" w:lineRule="exact"/>
        <w:rPr>
          <w:sz w:val="20"/>
          <w:szCs w:val="20"/>
          <w:color w:val="auto"/>
        </w:rPr>
      </w:pPr>
    </w:p>
    <w:p>
      <w:pPr>
        <w:ind w:left="1560" w:right="2039"/>
        <w:spacing w:after="0" w:line="275" w:lineRule="auto"/>
        <w:rPr>
          <w:sz w:val="20"/>
          <w:szCs w:val="20"/>
          <w:color w:val="auto"/>
        </w:rPr>
      </w:pPr>
      <w:r>
        <w:rPr>
          <w:rFonts w:ascii="Arial" w:cs="Arial" w:eastAsia="Arial" w:hAnsi="Arial"/>
          <w:sz w:val="12"/>
          <w:szCs w:val="12"/>
          <w:b w:val="1"/>
          <w:bCs w:val="1"/>
          <w:i w:val="1"/>
          <w:iCs w:val="1"/>
          <w:color w:val="auto"/>
        </w:rPr>
        <w:t>We rely on trade secret and proprietary know-how which can be difficult to trace and enforce and, if we are unable to protect the confidentiality of our trade secrets, our business and competitive position would be harmed.</w:t>
      </w:r>
    </w:p>
    <w:p>
      <w:pPr>
        <w:spacing w:after="0" w:line="65"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third-party consultants and vendors or CROs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89"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7" w:name="page68"/>
    <w:bookmarkEnd w:id="6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81" w:lineRule="exact"/>
        <w:rPr>
          <w:sz w:val="20"/>
          <w:szCs w:val="20"/>
          <w:color w:val="auto"/>
        </w:rPr>
      </w:pPr>
    </w:p>
    <w:p>
      <w:pPr>
        <w:ind w:left="1560" w:right="1619"/>
        <w:spacing w:after="0" w:line="269" w:lineRule="auto"/>
        <w:rPr>
          <w:sz w:val="20"/>
          <w:szCs w:val="20"/>
          <w:color w:val="auto"/>
        </w:rPr>
      </w:pPr>
      <w:r>
        <w:rPr>
          <w:rFonts w:ascii="Arial" w:cs="Arial" w:eastAsia="Arial" w:hAnsi="Arial"/>
          <w:sz w:val="12"/>
          <w:szCs w:val="12"/>
          <w:b w:val="1"/>
          <w:bCs w:val="1"/>
          <w:i w:val="1"/>
          <w:iCs w:val="1"/>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221"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spacing w:after="0" w:line="228"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of us various development, regulatory and/or commercial diligence obligations, payment of milestones and/or royalties and other obligations. If we fail to comply with our obligations under these agreements (including as a result of COVID-19 impacting our operations),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spacing w:after="0" w:line="83"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78"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8" w:name="page69"/>
    <w:bookmarkEnd w:id="6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spacing w:after="0" w:line="9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Moreover, disputes may arise with respect to our licensing or other upstream agreements, including:</w:t>
      </w:r>
    </w:p>
    <w:p>
      <w:pPr>
        <w:spacing w:after="0" w:line="65" w:lineRule="exact"/>
        <w:rPr>
          <w:sz w:val="20"/>
          <w:szCs w:val="20"/>
          <w:color w:val="auto"/>
        </w:rPr>
      </w:pPr>
    </w:p>
    <w:p>
      <w:pPr>
        <w:ind w:left="1980" w:hanging="157"/>
        <w:spacing w:after="0"/>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scope of rights granted under the agreements and other interpretation-related issues;</w:t>
      </w:r>
    </w:p>
    <w:p>
      <w:pPr>
        <w:spacing w:after="0" w:line="65"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whether and the extent to which our systems and consumables, technologies and processes infringe on intellectual property of the licensor that is not subject to the licensing agreement;</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sublicensing of patent and other rights under our collaborative development relationships;</w:t>
      </w:r>
    </w:p>
    <w:p>
      <w:pPr>
        <w:spacing w:after="0" w:line="65"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our diligence obligations under the license agreements and what activities satisfy those diligence obligations;</w:t>
      </w:r>
    </w:p>
    <w:p>
      <w:pPr>
        <w:spacing w:after="0" w:line="3" w:lineRule="exact"/>
        <w:rPr>
          <w:rFonts w:ascii="Arial" w:cs="Arial" w:eastAsia="Arial" w:hAnsi="Arial"/>
          <w:sz w:val="12"/>
          <w:szCs w:val="12"/>
          <w:color w:val="auto"/>
        </w:rPr>
      </w:pPr>
    </w:p>
    <w:p>
      <w:pPr>
        <w:ind w:left="1980" w:right="1579" w:hanging="157"/>
        <w:spacing w:after="0" w:line="308" w:lineRule="auto"/>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inventorship and ownership of inventions and know-how resulting from the joint creation or use of intellectual property by our licensors and us and our partners; and</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priority of invention of patented technology.</w:t>
      </w:r>
    </w:p>
    <w:p>
      <w:pPr>
        <w:spacing w:after="0" w:line="113"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spacing w:after="0" w:line="83" w:lineRule="exact"/>
        <w:rPr>
          <w:sz w:val="20"/>
          <w:szCs w:val="20"/>
          <w:color w:val="auto"/>
        </w:rPr>
      </w:pPr>
    </w:p>
    <w:p>
      <w:pPr>
        <w:ind w:left="1560" w:right="1739"/>
        <w:spacing w:after="0" w:line="266" w:lineRule="auto"/>
        <w:rPr>
          <w:sz w:val="20"/>
          <w:szCs w:val="20"/>
          <w:color w:val="auto"/>
        </w:rPr>
      </w:pPr>
      <w:r>
        <w:rPr>
          <w:rFonts w:ascii="Arial" w:cs="Arial" w:eastAsia="Arial" w:hAnsi="Arial"/>
          <w:sz w:val="12"/>
          <w:szCs w:val="12"/>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Our intellectual property licensed from third parties may be subject to retained rights.</w:t>
      </w:r>
    </w:p>
    <w:p>
      <w:pPr>
        <w:spacing w:after="0" w:line="111" w:lineRule="exact"/>
        <w:rPr>
          <w:sz w:val="20"/>
          <w:szCs w:val="20"/>
          <w:color w:val="auto"/>
        </w:rPr>
      </w:pPr>
    </w:p>
    <w:p>
      <w:pPr>
        <w:ind w:left="1560" w:right="1699"/>
        <w:spacing w:after="0" w:line="266" w:lineRule="auto"/>
        <w:rPr>
          <w:sz w:val="20"/>
          <w:szCs w:val="20"/>
          <w:color w:val="auto"/>
        </w:rPr>
      </w:pPr>
      <w:r>
        <w:rPr>
          <w:rFonts w:ascii="Arial" w:cs="Arial" w:eastAsia="Arial" w:hAnsi="Arial"/>
          <w:sz w:val="12"/>
          <w:szCs w:val="12"/>
          <w:color w:val="auto"/>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69" w:name="page70"/>
    <w:bookmarkEnd w:id="6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or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81" w:lineRule="exact"/>
        <w:rPr>
          <w:sz w:val="20"/>
          <w:szCs w:val="20"/>
          <w:color w:val="auto"/>
        </w:rPr>
      </w:pPr>
    </w:p>
    <w:p>
      <w:pPr>
        <w:ind w:left="1560" w:right="1679"/>
        <w:spacing w:after="0" w:line="273"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6"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abondoned or otherwise materially impaired.</w:t>
      </w:r>
    </w:p>
    <w:p>
      <w:pPr>
        <w:spacing w:after="0" w:line="69"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The USPTO and various non-U.S. government patent agencies require compliance with several procedural, documentary, and other similar provisions during the patent application process. For example, many 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including due to the effect of the COVID-19 pandemic on us, our licensors or our vendors,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spacing w:after="0" w:line="86" w:lineRule="exact"/>
        <w:rPr>
          <w:sz w:val="20"/>
          <w:szCs w:val="20"/>
          <w:color w:val="auto"/>
        </w:rPr>
      </w:pPr>
    </w:p>
    <w:p>
      <w:pPr>
        <w:ind w:left="1560" w:right="2139"/>
        <w:spacing w:after="0" w:line="298" w:lineRule="auto"/>
        <w:rPr>
          <w:sz w:val="20"/>
          <w:szCs w:val="20"/>
          <w:color w:val="auto"/>
        </w:rPr>
      </w:pPr>
      <w:r>
        <w:rPr>
          <w:rFonts w:ascii="Arial" w:cs="Arial" w:eastAsia="Arial" w:hAnsi="Arial"/>
          <w:sz w:val="12"/>
          <w:szCs w:val="12"/>
          <w:b w:val="1"/>
          <w:bCs w:val="1"/>
          <w:i w:val="1"/>
          <w:iCs w:val="1"/>
          <w:color w:val="auto"/>
        </w:rPr>
        <w:t>Patent terms may be inadequate to protect our competitive position on our product candidates for an adequate amount of time.</w:t>
      </w:r>
    </w:p>
    <w:p>
      <w:pPr>
        <w:spacing w:after="0" w:line="52" w:lineRule="exact"/>
        <w:rPr>
          <w:sz w:val="20"/>
          <w:szCs w:val="20"/>
          <w:color w:val="auto"/>
        </w:rPr>
      </w:pPr>
    </w:p>
    <w:p>
      <w:pPr>
        <w:ind w:left="1560" w:right="1679"/>
        <w:spacing w:after="0" w:line="263" w:lineRule="auto"/>
        <w:rPr>
          <w:sz w:val="20"/>
          <w:szCs w:val="20"/>
          <w:color w:val="auto"/>
        </w:rPr>
      </w:pPr>
      <w:r>
        <w:rPr>
          <w:rFonts w:ascii="Arial" w:cs="Arial" w:eastAsia="Arial" w:hAnsi="Arial"/>
          <w:sz w:val="12"/>
          <w:szCs w:val="12"/>
          <w:color w:val="auto"/>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spacing w:after="0" w:line="80"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Given the amount of time required for the development, testing and regulatory review of our new product candidates such as GSBR-1290, ANPA-0073 and any of our future product candidates, patents protecting</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0" w:name="page71"/>
    <w:bookmarkEnd w:id="7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trials by referencing our clinical and preclinical data and launch their product candidates earlier than might otherwise be the case.</w:t>
      </w:r>
    </w:p>
    <w:p>
      <w:pPr>
        <w:spacing w:after="0" w:line="8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business.</w:t>
      </w:r>
    </w:p>
    <w:p>
      <w:pPr>
        <w:spacing w:after="0" w:line="111" w:lineRule="exact"/>
        <w:rPr>
          <w:sz w:val="20"/>
          <w:szCs w:val="20"/>
          <w:color w:val="auto"/>
        </w:rPr>
      </w:pPr>
    </w:p>
    <w:p>
      <w:pPr>
        <w:jc w:val="both"/>
        <w:ind w:left="1560" w:right="1719"/>
        <w:spacing w:after="0" w:line="288"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25" w:lineRule="exact"/>
        <w:rPr>
          <w:sz w:val="20"/>
          <w:szCs w:val="20"/>
          <w:color w:val="auto"/>
        </w:rPr>
      </w:pPr>
    </w:p>
    <w:p>
      <w:pPr>
        <w:ind w:left="1980" w:right="1779" w:hanging="157"/>
        <w:spacing w:after="0" w:line="308"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others may be able to make compounds or formulations that are similar to our product candidates but that are not covered by the claims of any patents that we own or control;</w:t>
      </w:r>
    </w:p>
    <w:p>
      <w:pPr>
        <w:spacing w:after="0" w:line="3" w:lineRule="exact"/>
        <w:rPr>
          <w:rFonts w:ascii="Arial" w:cs="Arial" w:eastAsia="Arial" w:hAnsi="Arial"/>
          <w:sz w:val="12"/>
          <w:szCs w:val="12"/>
          <w:color w:val="auto"/>
        </w:rPr>
      </w:pPr>
    </w:p>
    <w:p>
      <w:pPr>
        <w:ind w:left="1980" w:right="1859" w:hanging="157"/>
        <w:spacing w:after="0" w:line="308"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or any strategic partners might not have been the first to make the inventions covered by the issued patents or pending patent applications that we own or control;</w:t>
      </w:r>
    </w:p>
    <w:p>
      <w:pPr>
        <w:spacing w:after="0" w:line="13"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certain of the inventions we own or control;</w:t>
      </w:r>
    </w:p>
    <w:p>
      <w:pPr>
        <w:spacing w:after="0" w:line="13" w:lineRule="exact"/>
        <w:rPr>
          <w:rFonts w:ascii="Arial" w:cs="Arial" w:eastAsia="Arial" w:hAnsi="Arial"/>
          <w:sz w:val="12"/>
          <w:szCs w:val="12"/>
          <w:color w:val="auto"/>
        </w:rPr>
      </w:pPr>
    </w:p>
    <w:p>
      <w:pPr>
        <w:ind w:left="1980" w:right="2079" w:hanging="157"/>
        <w:spacing w:after="0" w:line="308"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3" w:lineRule="exact"/>
        <w:rPr>
          <w:rFonts w:ascii="Arial" w:cs="Arial" w:eastAsia="Arial" w:hAnsi="Arial"/>
          <w:sz w:val="12"/>
          <w:szCs w:val="12"/>
          <w:color w:val="auto"/>
        </w:rPr>
      </w:pPr>
    </w:p>
    <w:p>
      <w:pPr>
        <w:ind w:left="1980" w:right="1739" w:hanging="157"/>
        <w:spacing w:after="0" w:line="282"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p>
      <w:pPr>
        <w:spacing w:after="0" w:line="28" w:lineRule="exact"/>
        <w:rPr>
          <w:rFonts w:ascii="Arial" w:cs="Arial" w:eastAsia="Arial" w:hAnsi="Arial"/>
          <w:sz w:val="12"/>
          <w:szCs w:val="12"/>
          <w:color w:val="auto"/>
        </w:rPr>
      </w:pPr>
    </w:p>
    <w:p>
      <w:pPr>
        <w:ind w:left="1980" w:hanging="157"/>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pending patent applications that we own or control may not lead to issued patents;</w:t>
      </w:r>
    </w:p>
    <w:p>
      <w:pPr>
        <w:spacing w:after="0" w:line="65" w:lineRule="exact"/>
        <w:rPr>
          <w:rFonts w:ascii="Arial" w:cs="Arial" w:eastAsia="Arial" w:hAnsi="Arial"/>
          <w:sz w:val="12"/>
          <w:szCs w:val="12"/>
          <w:color w:val="auto"/>
        </w:rPr>
      </w:pPr>
    </w:p>
    <w:p>
      <w:pPr>
        <w:ind w:left="1980" w:right="1959" w:hanging="157"/>
        <w:spacing w:after="0" w:line="308"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issued patents that we own or control may be held invalid or unenforceable as a result of legal challenges;</w:t>
      </w:r>
    </w:p>
    <w:p>
      <w:pPr>
        <w:spacing w:after="0" w:line="13" w:lineRule="exact"/>
        <w:rPr>
          <w:rFonts w:ascii="Arial" w:cs="Arial" w:eastAsia="Arial" w:hAnsi="Arial"/>
          <w:sz w:val="12"/>
          <w:szCs w:val="12"/>
          <w:color w:val="auto"/>
        </w:rPr>
      </w:pPr>
    </w:p>
    <w:p>
      <w:pPr>
        <w:ind w:left="1980" w:right="1639" w:hanging="157"/>
        <w:spacing w:after="0" w:line="278"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p>
      <w:pPr>
        <w:spacing w:after="0" w:line="32" w:lineRule="exact"/>
        <w:rPr>
          <w:rFonts w:ascii="Arial" w:cs="Arial" w:eastAsia="Arial" w:hAnsi="Arial"/>
          <w:sz w:val="12"/>
          <w:szCs w:val="12"/>
          <w:color w:val="auto"/>
        </w:rPr>
      </w:pPr>
    </w:p>
    <w:p>
      <w:pPr>
        <w:ind w:left="1980" w:hanging="157"/>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w:t>
      </w:r>
    </w:p>
    <w:p>
      <w:pPr>
        <w:spacing w:after="0" w:line="65" w:lineRule="exact"/>
        <w:rPr>
          <w:rFonts w:ascii="Arial" w:cs="Arial" w:eastAsia="Arial" w:hAnsi="Arial"/>
          <w:sz w:val="12"/>
          <w:szCs w:val="12"/>
          <w:color w:val="auto"/>
        </w:rPr>
      </w:pPr>
    </w:p>
    <w:p>
      <w:pPr>
        <w:ind w:left="1980" w:right="1619" w:hanging="157"/>
        <w:spacing w:after="0" w:line="282" w:lineRule="auto"/>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1" w:name="page72"/>
    <w:bookmarkEnd w:id="7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jc w:val="both"/>
        <w:ind w:left="1980" w:right="1659" w:hanging="157"/>
        <w:spacing w:after="0" w:line="288" w:lineRule="auto"/>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15" w:lineRule="exact"/>
        <w:rPr>
          <w:rFonts w:ascii="Arial" w:cs="Arial" w:eastAsia="Arial" w:hAnsi="Arial"/>
          <w:sz w:val="12"/>
          <w:szCs w:val="12"/>
          <w:color w:val="auto"/>
        </w:rPr>
      </w:pPr>
    </w:p>
    <w:p>
      <w:pPr>
        <w:ind w:left="1980" w:right="1579" w:hanging="157"/>
        <w:spacing w:after="0" w:line="288" w:lineRule="auto"/>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countries other than the United States may have patent laws that are less favorable to patentees than those upheld by U.S. courts, allowing foreign competitors a better opportunity to create, develop and market competing product candidates;</w:t>
      </w:r>
    </w:p>
    <w:p>
      <w:pPr>
        <w:spacing w:after="0" w:line="15"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claims of any patent issuing based on our patent applications may not provide protection against competitors or any competitive advantages, or may be challenged by third parties;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if enforced, a court may not hold that our patents are valid, enforceable and infringed;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65"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 including if others obtain patents claiming subject matter similar to or improving that covered by our patents and patent applications.</w:t>
      </w:r>
    </w:p>
    <w:p>
      <w:pPr>
        <w:spacing w:after="0" w:line="54" w:lineRule="exact"/>
        <w:rPr>
          <w:sz w:val="20"/>
          <w:szCs w:val="20"/>
          <w:color w:val="auto"/>
        </w:rPr>
      </w:pPr>
    </w:p>
    <w:p>
      <w:pPr>
        <w:ind w:left="1560" w:right="1799"/>
        <w:spacing w:after="0" w:line="277" w:lineRule="auto"/>
        <w:rPr>
          <w:sz w:val="20"/>
          <w:szCs w:val="20"/>
          <w:color w:val="auto"/>
        </w:rPr>
      </w:pPr>
      <w:r>
        <w:rPr>
          <w:rFonts w:ascii="Arial" w:cs="Arial" w:eastAsia="Arial" w:hAnsi="Arial"/>
          <w:sz w:val="12"/>
          <w:szCs w:val="12"/>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226"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3"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2" w:name="page73"/>
    <w:bookmarkEnd w:id="7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99"/>
        <w:spacing w:after="0" w:line="266" w:lineRule="auto"/>
        <w:rPr>
          <w:sz w:val="20"/>
          <w:szCs w:val="20"/>
          <w:color w:val="auto"/>
        </w:rPr>
      </w:pPr>
      <w:r>
        <w:rPr>
          <w:rFonts w:ascii="Arial" w:cs="Arial" w:eastAsia="Arial" w:hAnsi="Arial"/>
          <w:sz w:val="12"/>
          <w:szCs w:val="12"/>
          <w:color w:val="auto"/>
        </w:rPr>
        <w:t>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76"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spacing w:after="0" w:line="78" w:lineRule="exact"/>
        <w:rPr>
          <w:sz w:val="20"/>
          <w:szCs w:val="20"/>
          <w:color w:val="auto"/>
        </w:rPr>
      </w:pPr>
    </w:p>
    <w:p>
      <w:pPr>
        <w:ind w:left="1560" w:right="1579"/>
        <w:spacing w:after="0" w:line="264" w:lineRule="auto"/>
        <w:rPr>
          <w:sz w:val="20"/>
          <w:szCs w:val="20"/>
          <w:color w:val="auto"/>
        </w:rPr>
      </w:pPr>
      <w:r>
        <w:rPr>
          <w:rFonts w:ascii="Arial" w:cs="Arial" w:eastAsia="Arial" w:hAnsi="Arial"/>
          <w:sz w:val="12"/>
          <w:szCs w:val="12"/>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78" w:lineRule="exact"/>
        <w:rPr>
          <w:sz w:val="20"/>
          <w:szCs w:val="20"/>
          <w:color w:val="auto"/>
        </w:rPr>
      </w:pPr>
    </w:p>
    <w:p>
      <w:pPr>
        <w:ind w:left="1560" w:right="1699"/>
        <w:spacing w:after="0" w:line="266" w:lineRule="auto"/>
        <w:rPr>
          <w:sz w:val="20"/>
          <w:szCs w:val="20"/>
          <w:color w:val="auto"/>
        </w:rPr>
      </w:pPr>
      <w:r>
        <w:rPr>
          <w:rFonts w:ascii="Arial" w:cs="Arial" w:eastAsia="Arial" w:hAnsi="Arial"/>
          <w:sz w:val="12"/>
          <w:szCs w:val="12"/>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6"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ind w:left="1560" w:right="1659"/>
        <w:spacing w:after="0" w:line="298" w:lineRule="auto"/>
        <w:rPr>
          <w:sz w:val="20"/>
          <w:szCs w:val="20"/>
          <w:color w:val="auto"/>
        </w:rPr>
      </w:pPr>
      <w:r>
        <w:rPr>
          <w:rFonts w:ascii="Arial" w:cs="Arial" w:eastAsia="Arial" w:hAnsi="Arial"/>
          <w:sz w:val="12"/>
          <w:szCs w:val="12"/>
          <w:b w:val="1"/>
          <w:bCs w:val="1"/>
          <w:i w:val="1"/>
          <w:iCs w:val="1"/>
          <w:color w:val="auto"/>
        </w:rPr>
        <w:t>We may become involved in lawsuits to protect or enforce our patents or other intellectual property, which could be expensive, time consuming and unsuccessful.</w:t>
      </w:r>
    </w:p>
    <w:p>
      <w:pPr>
        <w:spacing w:after="0" w:line="52"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ex parte reexaminations, IPR, or PGR, or oppositions or similar proceedings outside the United States, in parallel with litigation or even outside the context of litigation.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3" w:name="page74"/>
    <w:bookmarkEnd w:id="7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 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w:t>
      </w:r>
    </w:p>
    <w:p>
      <w:pPr>
        <w:spacing w:after="0" w:line="84"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80"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spacing w:after="0" w:line="81"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75" w:lineRule="exact"/>
        <w:rPr>
          <w:sz w:val="20"/>
          <w:szCs w:val="20"/>
          <w:color w:val="auto"/>
        </w:rPr>
      </w:pPr>
    </w:p>
    <w:p>
      <w:pPr>
        <w:ind w:left="1560" w:right="2099"/>
        <w:spacing w:after="0" w:line="298" w:lineRule="auto"/>
        <w:rPr>
          <w:sz w:val="20"/>
          <w:szCs w:val="20"/>
          <w:color w:val="auto"/>
        </w:rPr>
      </w:pPr>
      <w:r>
        <w:rPr>
          <w:rFonts w:ascii="Arial" w:cs="Arial" w:eastAsia="Arial" w:hAnsi="Arial"/>
          <w:sz w:val="12"/>
          <w:szCs w:val="12"/>
          <w:b w:val="1"/>
          <w:bCs w:val="1"/>
          <w:i w:val="1"/>
          <w:iCs w:val="1"/>
          <w:color w:val="auto"/>
        </w:rPr>
        <w:t>Because of the expense and uncertainty of litigation, we may not be in a position to enforce our intellectual property rights against third parties.</w:t>
      </w:r>
    </w:p>
    <w:p>
      <w:pPr>
        <w:spacing w:after="0" w:line="52"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4" w:name="page75"/>
    <w:bookmarkEnd w:id="7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99"/>
        <w:spacing w:after="0" w:line="291" w:lineRule="auto"/>
        <w:rPr>
          <w:sz w:val="20"/>
          <w:szCs w:val="20"/>
          <w:color w:val="auto"/>
        </w:rPr>
      </w:pPr>
      <w:r>
        <w:rPr>
          <w:rFonts w:ascii="Arial" w:cs="Arial" w:eastAsia="Arial" w:hAnsi="Arial"/>
          <w:sz w:val="12"/>
          <w:szCs w:val="12"/>
          <w:color w:val="auto"/>
        </w:rPr>
        <w:t>research programs, in-license needed technologies or other product candidates, or enter into development partnerships that would help us bring our product candidates to market.</w:t>
      </w:r>
    </w:p>
    <w:p>
      <w:pPr>
        <w:spacing w:after="0" w:line="64" w:lineRule="exact"/>
        <w:rPr>
          <w:sz w:val="20"/>
          <w:szCs w:val="20"/>
          <w:color w:val="auto"/>
        </w:rPr>
      </w:pPr>
    </w:p>
    <w:p>
      <w:pPr>
        <w:ind w:left="1560" w:right="1579"/>
        <w:spacing w:after="0" w:line="283" w:lineRule="auto"/>
        <w:rPr>
          <w:sz w:val="20"/>
          <w:szCs w:val="20"/>
          <w:color w:val="auto"/>
        </w:rPr>
      </w:pPr>
      <w:r>
        <w:rPr>
          <w:rFonts w:ascii="Arial" w:cs="Arial" w:eastAsia="Arial" w:hAnsi="Arial"/>
          <w:sz w:val="12"/>
          <w:szCs w:val="12"/>
          <w:b w:val="1"/>
          <w:bCs w:val="1"/>
          <w:i w:val="1"/>
          <w:i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61"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or the Leahy-Smith Act, was signed into law. When implemented, the Leahy-Smith Act included 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20"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w:t>
      </w:r>
    </w:p>
    <w:p>
      <w:pPr>
        <w:spacing w:after="0" w:line="1" w:lineRule="exact"/>
        <w:rPr>
          <w:sz w:val="20"/>
          <w:szCs w:val="20"/>
          <w:color w:val="auto"/>
        </w:rPr>
      </w:pPr>
    </w:p>
    <w:p>
      <w:pPr>
        <w:ind w:left="1560" w:right="1679"/>
        <w:spacing w:after="0" w:line="261" w:lineRule="auto"/>
        <w:rPr>
          <w:sz w:val="20"/>
          <w:szCs w:val="20"/>
          <w:color w:val="auto"/>
        </w:rPr>
      </w:pPr>
      <w:r>
        <w:rPr>
          <w:rFonts w:ascii="Arial" w:cs="Arial" w:eastAsia="Arial" w:hAnsi="Arial"/>
          <w:sz w:val="12"/>
          <w:szCs w:val="12"/>
          <w:color w:val="auto"/>
        </w:rPr>
        <w:t>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79"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The USPTO developed new regulations and procedures governing the administration of the Leahy-Smith Act, and many of the substantive changes to patent law associated with the Leahy-Smith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spacing w:after="0" w:line="78" w:lineRule="exact"/>
        <w:rPr>
          <w:sz w:val="20"/>
          <w:szCs w:val="20"/>
          <w:color w:val="auto"/>
        </w:rPr>
      </w:pPr>
    </w:p>
    <w:p>
      <w:pPr>
        <w:ind w:left="1560" w:right="1659"/>
        <w:spacing w:after="0" w:line="261" w:lineRule="auto"/>
        <w:rPr>
          <w:sz w:val="20"/>
          <w:szCs w:val="20"/>
          <w:color w:val="auto"/>
        </w:rPr>
      </w:pPr>
      <w:r>
        <w:rPr>
          <w:rFonts w:ascii="Arial" w:cs="Arial" w:eastAsia="Arial" w:hAnsi="Arial"/>
          <w:sz w:val="12"/>
          <w:szCs w:val="12"/>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5" w:name="page76"/>
    <w:bookmarkEnd w:id="7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changes in how the relevant governmental authority enforces patent laws or regulations may weaken our ability to obtain new patents or to enforce patents that we have licensed or that we may obtain in the future.</w:t>
      </w:r>
    </w:p>
    <w:p>
      <w:pPr>
        <w:spacing w:after="0" w:line="64" w:lineRule="exact"/>
        <w:rPr>
          <w:sz w:val="20"/>
          <w:szCs w:val="20"/>
          <w:color w:val="auto"/>
        </w:rPr>
      </w:pPr>
    </w:p>
    <w:p>
      <w:pPr>
        <w:ind w:left="1560" w:right="1679"/>
        <w:spacing w:after="0" w:line="315" w:lineRule="auto"/>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 which could negatively impact our business.</w:t>
      </w:r>
    </w:p>
    <w:p>
      <w:pPr>
        <w:spacing w:after="0" w:line="42"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Filing, prosecuting and defending patents covering our current and any future product candidates throughout the world would be prohibitively expensive, and our intellectual property rights in some countries outside the 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80"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spacing w:after="0" w:line="80" w:lineRule="exact"/>
        <w:rPr>
          <w:sz w:val="20"/>
          <w:szCs w:val="20"/>
          <w:color w:val="auto"/>
        </w:rPr>
      </w:pPr>
    </w:p>
    <w:p>
      <w:pPr>
        <w:ind w:left="1560" w:right="1639"/>
        <w:spacing w:after="0" w:line="262" w:lineRule="auto"/>
        <w:rPr>
          <w:sz w:val="20"/>
          <w:szCs w:val="20"/>
          <w:color w:val="auto"/>
        </w:rPr>
      </w:pPr>
      <w:r>
        <w:rPr>
          <w:rFonts w:ascii="Arial" w:cs="Arial" w:eastAsia="Arial" w:hAnsi="Arial"/>
          <w:sz w:val="12"/>
          <w:szCs w:val="12"/>
          <w:color w:val="auto"/>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81" w:lineRule="exact"/>
        <w:rPr>
          <w:sz w:val="20"/>
          <w:szCs w:val="20"/>
          <w:color w:val="auto"/>
        </w:rPr>
      </w:pPr>
    </w:p>
    <w:p>
      <w:pPr>
        <w:ind w:left="1560" w:right="1659"/>
        <w:spacing w:after="0" w:line="277"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spacing w:after="0" w:line="216" w:lineRule="exact"/>
        <w:rPr>
          <w:sz w:val="20"/>
          <w:szCs w:val="20"/>
          <w:color w:val="auto"/>
        </w:rPr>
      </w:pPr>
    </w:p>
    <w:p>
      <w:pPr>
        <w:ind w:left="1560" w:right="1639"/>
        <w:spacing w:after="0" w:line="262" w:lineRule="auto"/>
        <w:rPr>
          <w:sz w:val="20"/>
          <w:szCs w:val="20"/>
          <w:color w:val="auto"/>
        </w:rPr>
      </w:pPr>
      <w:r>
        <w:rPr>
          <w:rFonts w:ascii="Arial" w:cs="Arial" w:eastAsia="Arial" w:hAnsi="Arial"/>
          <w:sz w:val="12"/>
          <w:szCs w:val="12"/>
          <w:color w:val="auto"/>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30" w:lineRule="exact"/>
        <w:rPr>
          <w:sz w:val="20"/>
          <w:szCs w:val="20"/>
          <w:color w:val="auto"/>
        </w:rPr>
      </w:pPr>
    </w:p>
    <w:p>
      <w:pPr>
        <w:ind w:left="1560" w:right="1679"/>
        <w:spacing w:after="0" w:line="272" w:lineRule="auto"/>
        <w:rPr>
          <w:sz w:val="20"/>
          <w:szCs w:val="20"/>
          <w:color w:val="auto"/>
        </w:rPr>
      </w:pPr>
      <w:r>
        <w:rPr>
          <w:rFonts w:ascii="Arial" w:cs="Arial" w:eastAsia="Arial" w:hAnsi="Arial"/>
          <w:sz w:val="12"/>
          <w:szCs w:val="12"/>
          <w:color w:val="auto"/>
        </w:rPr>
        <w:t>We may be subject to claims that former employees, collaborators, or other third parties have an interest in our patents or other intellectual property as an inventor or co-inventor. The failure to name the proper inventors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6" w:name="page77"/>
    <w:bookmarkEnd w:id="7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spacing w:after="0" w:line="80"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spacing w:after="0" w:line="78"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83" w:lineRule="exact"/>
        <w:rPr>
          <w:sz w:val="20"/>
          <w:szCs w:val="20"/>
          <w:color w:val="auto"/>
        </w:rPr>
      </w:pPr>
    </w:p>
    <w:p>
      <w:pPr>
        <w:ind w:left="1560" w:right="1659"/>
        <w:spacing w:after="0" w:line="275" w:lineRule="auto"/>
        <w:rPr>
          <w:sz w:val="20"/>
          <w:szCs w:val="20"/>
          <w:color w:val="auto"/>
        </w:rPr>
      </w:pPr>
      <w:r>
        <w:rPr>
          <w:rFonts w:ascii="Arial" w:cs="Arial" w:eastAsia="Arial" w:hAnsi="Arial"/>
          <w:sz w:val="12"/>
          <w:szCs w:val="12"/>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5"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230"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the claims of our patent applications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7" w:name="page78"/>
    <w:bookmarkEnd w:id="7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March 16, 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spacing w:after="0" w:line="80" w:lineRule="exact"/>
        <w:rPr>
          <w:sz w:val="20"/>
          <w:szCs w:val="20"/>
          <w:color w:val="auto"/>
        </w:rPr>
      </w:pPr>
    </w:p>
    <w:p>
      <w:pPr>
        <w:ind w:left="1560" w:right="1879"/>
        <w:spacing w:after="0" w:line="287" w:lineRule="auto"/>
        <w:rPr>
          <w:sz w:val="20"/>
          <w:szCs w:val="20"/>
          <w:color w:val="auto"/>
        </w:rPr>
      </w:pPr>
      <w:r>
        <w:rPr>
          <w:rFonts w:ascii="Arial" w:cs="Arial" w:eastAsia="Arial" w:hAnsi="Arial"/>
          <w:sz w:val="12"/>
          <w:szCs w:val="12"/>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209"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84"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Risks Related to Our ADSs and This Offering</w:t>
      </w:r>
    </w:p>
    <w:p>
      <w:pPr>
        <w:spacing w:after="0" w:line="106" w:lineRule="exact"/>
        <w:rPr>
          <w:sz w:val="20"/>
          <w:szCs w:val="20"/>
          <w:color w:val="auto"/>
        </w:rPr>
      </w:pPr>
    </w:p>
    <w:p>
      <w:pPr>
        <w:ind w:left="1560" w:right="1739"/>
        <w:spacing w:after="0" w:line="315" w:lineRule="auto"/>
        <w:rPr>
          <w:sz w:val="20"/>
          <w:szCs w:val="20"/>
          <w:color w:val="auto"/>
        </w:rPr>
      </w:pPr>
      <w:r>
        <w:rPr>
          <w:rFonts w:ascii="Arial" w:cs="Arial" w:eastAsia="Arial" w:hAnsi="Arial"/>
          <w:sz w:val="12"/>
          <w:szCs w:val="12"/>
          <w:b w:val="1"/>
          <w:bCs w:val="1"/>
          <w:i w:val="1"/>
          <w:iCs w:val="1"/>
          <w:color w:val="auto"/>
        </w:rPr>
        <w:t>An active trading market for our ADSs may not develop and you may not be able to resell your ADSs at or above the initial offering price, if at all.</w:t>
      </w:r>
    </w:p>
    <w:p>
      <w:pPr>
        <w:spacing w:after="0" w:line="42"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This offering constitutes the initial public offering of our ADSs, and no public market has previously existed for our ADSs or ordinary shares. There can be no assurance that an active trading market for the ADSs will develop or be sustained after this offering is completed and we do not intend to separately list our ordinary shares for trading on any exchange. The lack of an active trading market may also reduce the fair market value of the ADSs. To the extent certain of our existing shareholders and their affiliated entities participate in this offering, such purchases would reduce the non-affiliated public float of our shares, meaning the number of shares of our common stock that are not held by officers, directors and controlling shareholders. A reduction in the public float could reduce the number of shares that are available to be traded at any given time, thereby adversely impacting the liquidity of our common stock and depressing the price at which you may be able to sell your ADSs purchased in this offering. The initial offering price was determined by negotiations among the lead underwriters and us. Among the factors considered in determining the initial public offering price were our future prospects and the prospects of our industry in general, existing preclinical and clinical data with respect to our product candidates and platform technology, our financial and operating results from recent periods, and the market prices of securities and certain financial and operating information of companies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8" w:name="page79"/>
    <w:bookmarkEnd w:id="7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engaged in activities similar to ours. However, there can be no assurance that, following the completion of this offering, the ADSs will trade at a price equal to or greater than the initial public offering price.</w:t>
      </w:r>
    </w:p>
    <w:p>
      <w:pPr>
        <w:spacing w:after="0" w:line="7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The price of our ADSs may be volatile, and you could lose all or part of your investment.</w:t>
      </w:r>
    </w:p>
    <w:p>
      <w:pPr>
        <w:spacing w:after="0" w:line="111"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The trading price of our ADSs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25" w:lineRule="exact"/>
        <w:rPr>
          <w:sz w:val="20"/>
          <w:szCs w:val="20"/>
          <w:color w:val="auto"/>
        </w:rPr>
      </w:pPr>
    </w:p>
    <w:p>
      <w:pPr>
        <w:ind w:left="1980" w:right="1619" w:hanging="157"/>
        <w:spacing w:after="0" w:line="282"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commencement, enrollment or results of our ongoing and planned preclinical studies and clinical trials, or any future preclinical studies or clinical trials, we may conduct of our current and any future product candidates, or changes in the development status of our current and any future product candidates;</w:t>
      </w:r>
    </w:p>
    <w:p>
      <w:pPr>
        <w:spacing w:after="0" w:line="18" w:lineRule="exact"/>
        <w:rPr>
          <w:rFonts w:ascii="Arial" w:cs="Arial" w:eastAsia="Arial" w:hAnsi="Arial"/>
          <w:sz w:val="12"/>
          <w:szCs w:val="12"/>
          <w:color w:val="auto"/>
        </w:rPr>
      </w:pPr>
    </w:p>
    <w:p>
      <w:pPr>
        <w:ind w:left="1980" w:right="1739" w:hanging="157"/>
        <w:spacing w:after="0" w:line="27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p>
      <w:pPr>
        <w:spacing w:after="0" w:line="32"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adverse results or delays in our preclinical studies and clinical trials;</w:t>
      </w:r>
    </w:p>
    <w:p>
      <w:pPr>
        <w:spacing w:after="0" w:line="65"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decision to initiate a clinical trial, not to initiate a clinical trial, or to terminate an existing clinical trial;</w:t>
      </w:r>
    </w:p>
    <w:p>
      <w:pPr>
        <w:spacing w:after="0" w:line="3"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adverse regulatory decisions, including failure to receive marketing approval for our current and any future product candidates;</w:t>
      </w:r>
    </w:p>
    <w:p>
      <w:pPr>
        <w:spacing w:after="0" w:line="3"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changes in laws or regulations applicable to our current and any future product candidates, including but not limited to clinical trial requirements for approvals;</w:t>
      </w:r>
    </w:p>
    <w:p>
      <w:pPr>
        <w:spacing w:after="0" w:line="3"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failure to obtain coverage and adequate reimbursement of our current and any future product candidates, if approved;</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changes on the structure of healthcare payment systems;</w:t>
      </w:r>
    </w:p>
    <w:p>
      <w:pPr>
        <w:spacing w:after="0" w:line="65"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changes to our relationship with any manufacturers, suppliers, licensors, future collaborators or other strategic partners;</w:t>
      </w:r>
    </w:p>
    <w:p>
      <w:pPr>
        <w:spacing w:after="0" w:line="3"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inability to obtain adequate product supply for any approved drug product or inability to do so at acceptable prices;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inability to establish collaborations if needed;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failure to commercialize our current and any future product candidates;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additions or departures of key scientific or management personnel;</w:t>
      </w:r>
    </w:p>
    <w:p>
      <w:pPr>
        <w:spacing w:after="0" w:line="74" w:lineRule="exact"/>
        <w:rPr>
          <w:rFonts w:ascii="Arial" w:cs="Arial" w:eastAsia="Arial" w:hAnsi="Arial"/>
          <w:sz w:val="12"/>
          <w:szCs w:val="12"/>
          <w:color w:val="auto"/>
        </w:rPr>
      </w:pPr>
    </w:p>
    <w:p>
      <w:pPr>
        <w:ind w:left="1980" w:right="199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unanticipated serious safety concerns related to the use of our current and any future product candidates;</w:t>
      </w:r>
    </w:p>
    <w:p>
      <w:pPr>
        <w:spacing w:after="0" w:line="3" w:lineRule="exact"/>
        <w:rPr>
          <w:rFonts w:ascii="Arial" w:cs="Arial" w:eastAsia="Arial" w:hAnsi="Arial"/>
          <w:sz w:val="12"/>
          <w:szCs w:val="12"/>
          <w:color w:val="auto"/>
        </w:rPr>
      </w:pPr>
    </w:p>
    <w:p>
      <w:pPr>
        <w:ind w:left="1980" w:right="215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introduction of new products or services offered by us or our competitors, or the release or publication of clinical trial results from competing product candidates;</w:t>
      </w:r>
    </w:p>
    <w:p>
      <w:pPr>
        <w:spacing w:after="0" w:line="3" w:lineRule="exact"/>
        <w:rPr>
          <w:rFonts w:ascii="Arial" w:cs="Arial" w:eastAsia="Arial" w:hAnsi="Arial"/>
          <w:sz w:val="12"/>
          <w:szCs w:val="12"/>
          <w:color w:val="auto"/>
        </w:rPr>
      </w:pPr>
    </w:p>
    <w:p>
      <w:pPr>
        <w:ind w:left="1980" w:right="217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announcements of significant acquisitions, strategic partnerships, joint ventures, or capital commitments by us or our competitors;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ability to effectively manage our growth;</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actual or anticipated variations in quarterly operating results;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cash position;</w:t>
      </w:r>
    </w:p>
    <w:p>
      <w:pPr>
        <w:spacing w:after="0" w:line="65" w:lineRule="exact"/>
        <w:rPr>
          <w:rFonts w:ascii="Arial" w:cs="Arial" w:eastAsia="Arial" w:hAnsi="Arial"/>
          <w:sz w:val="12"/>
          <w:szCs w:val="12"/>
          <w:color w:val="auto"/>
        </w:rPr>
      </w:pPr>
    </w:p>
    <w:p>
      <w:pPr>
        <w:ind w:left="1980" w:right="199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failure to meet the estimates and projections of the investment community or that we may otherwise provide to the public;</w:t>
      </w:r>
    </w:p>
    <w:p>
      <w:pPr>
        <w:spacing w:after="0" w:line="3"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publication of research reports about us or our industry or positive or negative recommendations or withdrawal of research coverage by securities analysts;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changes in the market valuations of similar companies;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overall performance of the equity markets;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79" w:name="page80"/>
    <w:bookmarkEnd w:id="7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issuances of debt or equity securities;</w:t>
      </w:r>
    </w:p>
    <w:p>
      <w:pPr>
        <w:spacing w:after="0" w:line="65" w:lineRule="exact"/>
        <w:rPr>
          <w:rFonts w:ascii="Arial" w:cs="Arial" w:eastAsia="Arial" w:hAnsi="Arial"/>
          <w:sz w:val="12"/>
          <w:szCs w:val="12"/>
          <w:color w:val="auto"/>
        </w:rPr>
      </w:pPr>
    </w:p>
    <w:p>
      <w:pPr>
        <w:ind w:left="1980" w:right="1859" w:hanging="157"/>
        <w:spacing w:after="0" w:line="308" w:lineRule="auto"/>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sales of our ADSs by us or our shareholders in the future, or the perception that such sales may occur;</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trading volume of our ADSs;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accounting practices;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ineffectiveness of our internal controls;</w:t>
      </w:r>
    </w:p>
    <w:p>
      <w:pPr>
        <w:spacing w:after="0" w:line="65"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disputes or other developments relating to proprietary rights, including patents, litigation matters, and our ability to obtain patent protection for our technologies;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significant lawsuits, including patent or shareholder litigation;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general political and economic conditions, including the COVID-19 pandemic; and</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other events or factors, many of which are beyond our control.</w:t>
      </w:r>
    </w:p>
    <w:p>
      <w:pPr>
        <w:spacing w:after="0" w:line="104"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If the market price of our ADSs after this offering does not exceed the initial public offering price, you may not realize any return on your investment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91" w:lineRule="exact"/>
        <w:rPr>
          <w:sz w:val="20"/>
          <w:szCs w:val="20"/>
          <w:color w:val="auto"/>
        </w:rPr>
      </w:pPr>
    </w:p>
    <w:p>
      <w:pPr>
        <w:ind w:left="1560" w:right="1619"/>
        <w:spacing w:after="0" w:line="315" w:lineRule="auto"/>
        <w:rPr>
          <w:sz w:val="20"/>
          <w:szCs w:val="20"/>
          <w:color w:val="auto"/>
        </w:rPr>
      </w:pPr>
      <w:r>
        <w:rPr>
          <w:rFonts w:ascii="Arial" w:cs="Arial" w:eastAsia="Arial" w:hAnsi="Arial"/>
          <w:sz w:val="12"/>
          <w:szCs w:val="12"/>
          <w:b w:val="1"/>
          <w:bCs w:val="1"/>
          <w:i w:val="1"/>
          <w:iCs w:val="1"/>
          <w:color w:val="auto"/>
        </w:rPr>
        <w:t>We have broad discretion in the use of the net proceeds from this offering and may not use them effectively.</w:t>
      </w:r>
    </w:p>
    <w:p>
      <w:pPr>
        <w:spacing w:after="0" w:line="42"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Our management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The failure by our management to apply these funds effectively could harm our business. We intend to invest the net proceeds to us from the offering that are not used as described above in short term, investment grade, interest-bearing securities such as money market funds, certificates of deposit, corporate bonds and commercial paper, and obligations of the U.S. government. These investments may not yield a favorable return to our shareholders. If we do not invest or apply the net proceeds from this offering in ways that enhance shareholder value, we may fail to achieve expected financial results, which could cause the price of our ADSs to decline.</w:t>
      </w:r>
    </w:p>
    <w:p>
      <w:pPr>
        <w:spacing w:after="0" w:line="243"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b w:val="1"/>
          <w:bCs w:val="1"/>
          <w:i w:val="1"/>
          <w:iCs w:val="1"/>
          <w:color w:val="auto"/>
        </w:rPr>
        <w:t>Although the audit report included in this prospectus is prepared by auditors who are currently subject to inspection by the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or the Accelerating Holding Foreign Companies Accountable Act if the SEC subsequently identifies that our audit work is performed by an auditor that the PCAOB is unable to inspect or investigate completely, and as a result, U.S. national securities exchanges, such as the Nasdaq, may delist our securities.</w:t>
      </w:r>
    </w:p>
    <w:p>
      <w:pPr>
        <w:spacing w:after="0" w:line="234"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As part of a continued regulatory focus in the United States on access to audit and other information, the United States passed the Holding Foreign Companies Accountable Act, or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spacing w:after="0" w:line="73" w:lineRule="exact"/>
        <w:rPr>
          <w:sz w:val="20"/>
          <w:szCs w:val="20"/>
          <w:color w:val="auto"/>
        </w:rPr>
      </w:pPr>
    </w:p>
    <w:p>
      <w:pPr>
        <w:jc w:val="both"/>
        <w:ind w:left="1560" w:right="1679"/>
        <w:spacing w:after="0" w:line="288" w:lineRule="auto"/>
        <w:rPr>
          <w:sz w:val="20"/>
          <w:szCs w:val="20"/>
          <w:color w:val="auto"/>
        </w:rPr>
      </w:pPr>
      <w:r>
        <w:rPr>
          <w:rFonts w:ascii="Arial" w:cs="Arial" w:eastAsia="Arial" w:hAnsi="Arial"/>
          <w:sz w:val="12"/>
          <w:szCs w:val="12"/>
          <w:color w:val="auto"/>
        </w:rPr>
        <w:t>The HFCA Act also provides that if an auditor of a U.S. listed company’s financial statements is not subject for three consecutive “non-inspection years” after the HFCA Act becomes effective, the SEC must prohibit the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0" w:name="page81"/>
    <w:bookmarkEnd w:id="8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securities of such issuer from being traded on a U.S. national securities exchange. However, in June 2021, the U.S. Senate passed the Accelerating Holding Foreign Companies Accountable Act, or AHFCA Act, which, if enacted, would amend the HFCA Act and require the SEC to prohibit an issuer’s securities from trading on any U.S. stock exchanges if its auditor is subject to two “non-inspection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 accounting firms headquartered in Mainland China and in Hong Kong. Also, in December 2021, the SEC adopted final amendments to its rules implementing the HFCA Act and established procedures to identify issuers and prohibit the trading of the securities of certain registrants as required by the HFCA Act. This rule stated that only the principal accountant, as defined by Rule 2-05 of Regulation S-X and PCAOB AS 1205, is “deemed ‘retained’ for purposes of Section 104(i) of the Sarbanes-Oxley Act and the Commission’s determination of where the registration statement should be a Commission Identified Issuer.”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an audit.</w:t>
      </w:r>
    </w:p>
    <w:p>
      <w:pPr>
        <w:spacing w:after="0" w:line="89"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We have retained PricewaterhouseCoopers LLP as our independent registered public accounting firm. PricewaterhouseCoopers LLP is headquartered in the United States, is registered with the PCAOB and is an auditor of companies that are both registered with the SEC and publicly traded in the United States. As a result, the HFCA Act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the audit such as in our current situation. There are currently no such proposals.</w:t>
      </w:r>
    </w:p>
    <w:p>
      <w:pPr>
        <w:spacing w:after="0" w:line="85"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Further, while we understand that there has been dialogue among the CSRC, the SEC and the PCAOB regarding the inspection of PCAOB-registered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spacing w:after="0" w:line="80" w:lineRule="exact"/>
        <w:rPr>
          <w:sz w:val="20"/>
          <w:szCs w:val="20"/>
          <w:color w:val="auto"/>
        </w:rPr>
      </w:pPr>
    </w:p>
    <w:p>
      <w:pPr>
        <w:ind w:left="1560" w:right="1639"/>
        <w:spacing w:after="0" w:line="269" w:lineRule="auto"/>
        <w:rPr>
          <w:sz w:val="20"/>
          <w:szCs w:val="20"/>
          <w:color w:val="auto"/>
        </w:rPr>
      </w:pPr>
      <w:r>
        <w:rPr>
          <w:rFonts w:ascii="Arial" w:cs="Arial" w:eastAsia="Arial" w:hAnsi="Arial"/>
          <w:sz w:val="12"/>
          <w:szCs w:val="12"/>
          <w:b w:val="1"/>
          <w:bCs w:val="1"/>
          <w:i w:val="1"/>
          <w:iCs w:val="1"/>
          <w:color w:val="auto"/>
        </w:rPr>
        <w:t>We have identified material weaknesses in our internal control over financial reporting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221" w:lineRule="exact"/>
        <w:rPr>
          <w:sz w:val="20"/>
          <w:szCs w:val="20"/>
          <w:color w:val="auto"/>
        </w:rPr>
      </w:pPr>
    </w:p>
    <w:p>
      <w:pPr>
        <w:jc w:val="both"/>
        <w:ind w:left="1560" w:right="1619"/>
        <w:spacing w:after="0" w:line="271" w:lineRule="auto"/>
        <w:rPr>
          <w:sz w:val="20"/>
          <w:szCs w:val="20"/>
          <w:color w:val="auto"/>
        </w:rPr>
      </w:pPr>
      <w:r>
        <w:rPr>
          <w:rFonts w:ascii="Arial" w:cs="Arial" w:eastAsia="Arial" w:hAnsi="Arial"/>
          <w:sz w:val="12"/>
          <w:szCs w:val="12"/>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These material weaknesses are as follows:</w:t>
      </w:r>
    </w:p>
    <w:p>
      <w:pPr>
        <w:spacing w:after="0" w:line="73"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78" w:lineRule="exact"/>
        <w:rPr>
          <w:sz w:val="20"/>
          <w:szCs w:val="20"/>
          <w:color w:val="auto"/>
        </w:rPr>
      </w:pPr>
    </w:p>
    <w:p>
      <w:pPr>
        <w:ind w:left="1560" w:right="1879"/>
        <w:spacing w:after="0" w:line="291" w:lineRule="auto"/>
        <w:rPr>
          <w:sz w:val="20"/>
          <w:szCs w:val="20"/>
          <w:color w:val="auto"/>
        </w:rPr>
      </w:pPr>
      <w:r>
        <w:rPr>
          <w:rFonts w:ascii="Arial" w:cs="Arial" w:eastAsia="Arial" w:hAnsi="Arial"/>
          <w:sz w:val="12"/>
          <w:szCs w:val="12"/>
          <w:color w:val="auto"/>
        </w:rPr>
        <w:t>We did not design and maintain effective controls to ensure adequate segregation of duties within our financial reporting function, including controls related to the procurement and payroll processes, journal</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1" w:name="page82"/>
    <w:bookmarkEnd w:id="8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99"/>
        <w:spacing w:after="0" w:line="271" w:lineRule="auto"/>
        <w:rPr>
          <w:sz w:val="20"/>
          <w:szCs w:val="20"/>
          <w:color w:val="auto"/>
        </w:rPr>
      </w:pPr>
      <w:r>
        <w:rPr>
          <w:rFonts w:ascii="Arial" w:cs="Arial" w:eastAsia="Arial" w:hAnsi="Arial"/>
          <w:sz w:val="12"/>
          <w:szCs w:val="12"/>
          <w:color w:val="auto"/>
        </w:rPr>
        <w:t>entries and account reconciliations. Specifically, certain personnel have incompatible duties including the ability to (i) 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spacing w:after="0" w:line="73"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We did not design and maintain effective controls over certain information technology, or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spacing w:after="0" w:line="227" w:lineRule="exact"/>
        <w:rPr>
          <w:sz w:val="20"/>
          <w:szCs w:val="20"/>
          <w:color w:val="auto"/>
        </w:rPr>
      </w:pPr>
    </w:p>
    <w:p>
      <w:pPr>
        <w:ind w:left="1560" w:right="1759"/>
        <w:spacing w:after="0" w:line="271" w:lineRule="auto"/>
        <w:rPr>
          <w:sz w:val="20"/>
          <w:szCs w:val="20"/>
          <w:color w:val="auto"/>
        </w:rPr>
      </w:pPr>
      <w:r>
        <w:rPr>
          <w:rFonts w:ascii="Arial" w:cs="Arial" w:eastAsia="Arial" w:hAnsi="Arial"/>
          <w:sz w:val="12"/>
          <w:szCs w:val="12"/>
          <w:color w:val="auto"/>
        </w:rPr>
        <w:t>These material weaknesses did not result in any misstatements to the consolidated financial statements. However,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73"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We have taken and will continue to take certain measures to remediate the material weaknesses described above, including the following:</w:t>
      </w:r>
    </w:p>
    <w:p>
      <w:pPr>
        <w:spacing w:after="0" w:line="23" w:lineRule="exact"/>
        <w:rPr>
          <w:sz w:val="20"/>
          <w:szCs w:val="20"/>
          <w:color w:val="auto"/>
        </w:rPr>
      </w:pPr>
    </w:p>
    <w:p>
      <w:pPr>
        <w:ind w:left="1980" w:right="1639" w:hanging="157"/>
        <w:spacing w:after="0" w:line="282" w:lineRule="auto"/>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Hiring additional accounting and IT personnel, including but not limited to, a senior director of SEC reporting and technical reporting, director of finance and financial planning and analysis and director of information security as well as appointing our existing chief operating officer as our chief financial officer to bolster our reporting, accounting and IT capabilities;</w:t>
      </w:r>
    </w:p>
    <w:p>
      <w:pPr>
        <w:spacing w:after="0" w:line="18" w:lineRule="exact"/>
        <w:rPr>
          <w:rFonts w:ascii="Arial" w:cs="Arial" w:eastAsia="Arial" w:hAnsi="Arial"/>
          <w:sz w:val="12"/>
          <w:szCs w:val="12"/>
          <w:color w:val="auto"/>
        </w:rPr>
      </w:pPr>
    </w:p>
    <w:p>
      <w:pPr>
        <w:ind w:left="1980" w:right="1859" w:hanging="157"/>
        <w:spacing w:after="0" w:line="308" w:lineRule="auto"/>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Engaging a third party to assist in designing and implementing controls related to segregation of duties and IT general controls;</w:t>
      </w:r>
    </w:p>
    <w:p>
      <w:pPr>
        <w:spacing w:after="0" w:line="3" w:lineRule="exact"/>
        <w:rPr>
          <w:rFonts w:ascii="Arial" w:cs="Arial" w:eastAsia="Arial" w:hAnsi="Arial"/>
          <w:sz w:val="12"/>
          <w:szCs w:val="12"/>
          <w:color w:val="auto"/>
        </w:rPr>
      </w:pPr>
    </w:p>
    <w:p>
      <w:pPr>
        <w:ind w:left="1980" w:right="1719" w:hanging="157"/>
        <w:spacing w:after="0" w:line="308" w:lineRule="auto"/>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Designing and implementing controls to formalize roles and review responsibilities to align with our team’s skills and experience and designing and implementing controls over segregation of duties.</w:t>
      </w:r>
    </w:p>
    <w:p>
      <w:pPr>
        <w:spacing w:after="0" w:line="13"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Designing and implementing controls over the preparation and review of account reconciliations and journal entries supporting our period-end financial reporting process; and</w:t>
      </w:r>
    </w:p>
    <w:p>
      <w:pPr>
        <w:spacing w:after="0" w:line="3" w:lineRule="exact"/>
        <w:rPr>
          <w:rFonts w:ascii="Arial" w:cs="Arial" w:eastAsia="Arial" w:hAnsi="Arial"/>
          <w:sz w:val="12"/>
          <w:szCs w:val="12"/>
          <w:color w:val="auto"/>
        </w:rPr>
      </w:pPr>
    </w:p>
    <w:p>
      <w:pPr>
        <w:jc w:val="both"/>
        <w:ind w:left="1980" w:right="1739" w:hanging="157"/>
        <w:spacing w:after="0" w:line="288" w:lineRule="auto"/>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Designing and implementing IT general controls, including controls over change management, the review and update of user access rights and privileges, controls over processing of data and data backups and recovery.</w:t>
      </w:r>
    </w:p>
    <w:p>
      <w:pPr>
        <w:spacing w:after="0" w:line="74"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We have begun to hire additional accounting and IT personnel, including but not limited to, a senior director of SEC reporting and technical reporting, director of finance and financial planning and analysis, and director of information security. We have also appointed our existing chief operating officer as our chief financial officer. We engaged third-party resources to assist us in designing and implementing controls related to period-end financial reporting, segregation of duties and IT general controls, and we have begun to implement appropriate segregation of duties in the operation of manual controls.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71" w:lineRule="exact"/>
        <w:rPr>
          <w:sz w:val="20"/>
          <w:szCs w:val="20"/>
          <w:color w:val="auto"/>
        </w:rPr>
      </w:pPr>
    </w:p>
    <w:p>
      <w:pPr>
        <w:ind w:left="1560" w:right="1679"/>
        <w:spacing w:after="0" w:line="278" w:lineRule="auto"/>
        <w:rPr>
          <w:sz w:val="20"/>
          <w:szCs w:val="20"/>
          <w:color w:val="auto"/>
        </w:rPr>
      </w:pPr>
      <w:r>
        <w:rPr>
          <w:rFonts w:ascii="Arial" w:cs="Arial" w:eastAsia="Arial" w:hAnsi="Arial"/>
          <w:sz w:val="12"/>
          <w:szCs w:val="12"/>
          <w:color w:val="auto"/>
        </w:rPr>
        <w:t>We are working to remediate the material weaknesses as efficiently and effectively as possible and full remediation may go beyond December 31, 2022.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spacing w:after="0" w:line="81"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Although we have begun to implement measures to address the material weaknesses, the implementation of these measures may not fully address the material weaknesses and deficiencies in our internal control over financial reporting. Further, in the future we may determine that we have additional material weaknesses. Our failure to remediate the material weaknesses or failure to identify and address any other material weaknesses could result in material misstatements to our financial statements and could also impair our ability to comply with applicable financial reporting requirements and related regulatory filings on a timely basis, which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2" w:name="page83"/>
    <w:bookmarkEnd w:id="8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91" w:lineRule="auto"/>
        <w:rPr>
          <w:sz w:val="20"/>
          <w:szCs w:val="20"/>
          <w:color w:val="auto"/>
        </w:rPr>
      </w:pPr>
      <w:r>
        <w:rPr>
          <w:rFonts w:ascii="Arial" w:cs="Arial" w:eastAsia="Arial" w:hAnsi="Arial"/>
          <w:sz w:val="12"/>
          <w:szCs w:val="12"/>
          <w:color w:val="auto"/>
        </w:rPr>
        <w:t>could cause investors to lose confidence in our reported financial information, which may result in volatility in and a decline in the market price of our securities.</w:t>
      </w:r>
    </w:p>
    <w:p>
      <w:pPr>
        <w:spacing w:after="0" w:line="64" w:lineRule="exact"/>
        <w:rPr>
          <w:sz w:val="20"/>
          <w:szCs w:val="20"/>
          <w:color w:val="auto"/>
        </w:rPr>
      </w:pPr>
    </w:p>
    <w:p>
      <w:pPr>
        <w:ind w:left="1560" w:right="1619"/>
        <w:spacing w:after="0" w:line="315" w:lineRule="auto"/>
        <w:rPr>
          <w:sz w:val="20"/>
          <w:szCs w:val="20"/>
          <w:color w:val="auto"/>
        </w:rPr>
      </w:pPr>
      <w:r>
        <w:rPr>
          <w:rFonts w:ascii="Arial" w:cs="Arial" w:eastAsia="Arial" w:hAnsi="Arial"/>
          <w:sz w:val="12"/>
          <w:szCs w:val="12"/>
          <w:b w:val="1"/>
          <w:bCs w:val="1"/>
          <w:i w:val="1"/>
          <w:iCs w:val="1"/>
          <w:color w:val="auto"/>
        </w:rPr>
        <w:t>If you purchase our ADSs in this offering, you will incur immediate and substantial dilution in the book value of your shares.</w:t>
      </w:r>
    </w:p>
    <w:p>
      <w:pPr>
        <w:spacing w:after="0" w:line="42"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If you purchase our ADSs in this offering, your interest will be diluted to the extent of the difference between the initial public offering price per ADS and our net tangible book value per ADS after this offering. Dilution results from the fact that the initial public offering price per ADS is substantially in excess of the book value per share attributable to our existing shareholders. Therefore, based on the initial public offering price of $15.00 per ADS, you will experience immediate dilution of  $8.42 per ADS, representing the difference between our pro forma as adjusted net tangible book value per ADS after this offering and the initial public offering price per ADS. After this offering, we will also have outstanding options to purchase ordinary shares with exercise prices lower than the initial public offering price (based on the ratio of ADSs to ordinary shares). To the extent these outstanding options are exercised, there will be further dilution to investors in this offering. For further information regarding the dilution resulting from this offering, see the section titled “Dilution”.</w:t>
      </w:r>
    </w:p>
    <w:p>
      <w:pPr>
        <w:spacing w:after="0" w:line="232" w:lineRule="exact"/>
        <w:rPr>
          <w:sz w:val="20"/>
          <w:szCs w:val="20"/>
          <w:color w:val="auto"/>
        </w:rPr>
      </w:pPr>
    </w:p>
    <w:p>
      <w:pPr>
        <w:ind w:left="1560" w:right="1699"/>
        <w:spacing w:after="0" w:line="298" w:lineRule="auto"/>
        <w:rPr>
          <w:sz w:val="20"/>
          <w:szCs w:val="20"/>
          <w:color w:val="auto"/>
        </w:rPr>
      </w:pPr>
      <w:r>
        <w:rPr>
          <w:rFonts w:ascii="Arial" w:cs="Arial" w:eastAsia="Arial" w:hAnsi="Arial"/>
          <w:sz w:val="12"/>
          <w:szCs w:val="12"/>
          <w:b w:val="1"/>
          <w:bCs w:val="1"/>
          <w:i w:val="1"/>
          <w:iCs w:val="1"/>
          <w:color w:val="auto"/>
        </w:rPr>
        <w:t>Our principal shareholders and management own a significant percentage of our voting securities and will be able to exert significant control over matters subject to shareholder approval.</w:t>
      </w:r>
    </w:p>
    <w:p>
      <w:pPr>
        <w:spacing w:after="0" w:line="206"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As of December 31, 2022, our executive officers, directors, five percent shareholders and their affiliates beneficially owned approximately 73.07% of the voting power of our outstanding share capital, and, upon the closing of this offering, that same group will hold approximately 52.15% of the voting power of our outstanding share capital (assuming no exercise of the underwriters’ option to purchase additional ADSs and no purchases of ADSs pursuant to the contemplated directed share program or otherwise by any of this group). Therefore, even after this offering, these shareholders will have the ability to influence us through their ownership positions. These shareholders may be able to determine all matters requiring shareholder approval. For example, these shareholders, acting together, may be able to control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spacing w:after="0" w:line="89" w:lineRule="exact"/>
        <w:rPr>
          <w:sz w:val="20"/>
          <w:szCs w:val="20"/>
          <w:color w:val="auto"/>
        </w:rPr>
      </w:pPr>
    </w:p>
    <w:p>
      <w:pPr>
        <w:ind w:left="1560" w:right="1599"/>
        <w:spacing w:after="0" w:line="283"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This could cause the market price of our ADSs to drop significantly, even if our business is doing well.</w:t>
      </w:r>
    </w:p>
    <w:p>
      <w:pPr>
        <w:spacing w:after="0" w:line="61" w:lineRule="exact"/>
        <w:rPr>
          <w:sz w:val="20"/>
          <w:szCs w:val="20"/>
          <w:color w:val="auto"/>
        </w:rPr>
      </w:pPr>
    </w:p>
    <w:p>
      <w:pPr>
        <w:ind w:left="1560" w:right="1679"/>
        <w:spacing w:after="0" w:line="272" w:lineRule="auto"/>
        <w:rPr>
          <w:sz w:val="20"/>
          <w:szCs w:val="20"/>
          <w:color w:val="auto"/>
        </w:rPr>
      </w:pPr>
      <w:r>
        <w:rPr>
          <w:rFonts w:ascii="Arial" w:cs="Arial" w:eastAsia="Arial" w:hAnsi="Arial"/>
          <w:sz w:val="12"/>
          <w:szCs w:val="12"/>
          <w:color w:val="auto"/>
        </w:rPr>
        <w:t>Sales of a substantial number of our ADSs in the public market could occur at any time. If our shareholders sell, or the market perceives that our shareholders intend to sell, substantial amounts of our ADSs in the public market following this offering, the market price of our ADSs could decline significantly.</w:t>
      </w:r>
    </w:p>
    <w:p>
      <w:pPr>
        <w:spacing w:after="0" w:line="72"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Upon completion of this offering, we will have 109,764,741 ordinary shares outstanding, including ordinary shares represented by ADSs, based on the number of shares outstanding as of September 30, 2022. The ADSs sold in this offering will be freely tradable immediately. The remaining ordinary shares will be available for sale in the public market beginning 180 days after the date of this prospectus following the expiration of lock-up agreements entered into by substantially all of our shareholders in connection with the offering. Jefferies LLC and SVB Securities LLC may agree to release these shareholders from their lock-up agreements at any time and without notice, which would allow for earlier sales of ordinary shares (through ADSs) in the public market. Sales of a substantial number of such shares upon expiration of the lock-up agreements, the perception that such sales may occur, or early release of restrictions in the lock-up agreements, could cause the market price of our ADSs to fall or make it more difficult for you to sell your ADSs at a time and price that you deem appropriate.</w:t>
      </w:r>
    </w:p>
    <w:p>
      <w:pPr>
        <w:spacing w:after="0" w:line="83"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In addition, promptly following the completion of this offering, we intend to file one or more registration statements registering the issuance of approximately 22,099,376 ordinary shares (which may be in the form of ADSs) subject to options or other equity awards issued or reserved for future issuance under our equity incentive plans. Shares (or ADSs) registered under these registration statements will be available for sale in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3" w:name="page84"/>
    <w:bookmarkEnd w:id="8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939"/>
        <w:spacing w:after="0" w:line="291" w:lineRule="auto"/>
        <w:rPr>
          <w:sz w:val="20"/>
          <w:szCs w:val="20"/>
          <w:color w:val="auto"/>
        </w:rPr>
      </w:pPr>
      <w:r>
        <w:rPr>
          <w:rFonts w:ascii="Arial" w:cs="Arial" w:eastAsia="Arial" w:hAnsi="Arial"/>
          <w:sz w:val="12"/>
          <w:szCs w:val="12"/>
          <w:color w:val="auto"/>
        </w:rPr>
        <w:t>the public market subject to vesting arrangements and exercise of options, the lock-up agreements described above and, in the case of our affiliates, the restrictions of Rule 144 under the Securities Act.</w:t>
      </w:r>
    </w:p>
    <w:p>
      <w:pPr>
        <w:spacing w:after="0" w:line="62" w:lineRule="exact"/>
        <w:rPr>
          <w:sz w:val="20"/>
          <w:szCs w:val="20"/>
          <w:color w:val="auto"/>
        </w:rPr>
      </w:pPr>
    </w:p>
    <w:p>
      <w:pPr>
        <w:ind w:left="1560" w:right="1679"/>
        <w:spacing w:after="0" w:line="264" w:lineRule="auto"/>
        <w:rPr>
          <w:sz w:val="20"/>
          <w:szCs w:val="20"/>
          <w:color w:val="auto"/>
        </w:rPr>
      </w:pPr>
      <w:r>
        <w:rPr>
          <w:rFonts w:ascii="Arial" w:cs="Arial" w:eastAsia="Arial" w:hAnsi="Arial"/>
          <w:sz w:val="12"/>
          <w:szCs w:val="12"/>
          <w:color w:val="auto"/>
        </w:rPr>
        <w:t>Additionally, after this offering, the holders of an aggregate of 67,018,087 of our ordinary shares, or their transferees, will have rights, subject to some conditions, to require us to file one or more registration statements covering their shares (or ADSs representing such shares) or to include their shares (or ADSs representing such shares) in registration statements that we may file for ourselves or other shareholders. If we were to register the resale of these shares or ADSs, they could be freely sold in the public market. If these additional shares or ADSs are sold, or if it is perceived that they will be sold, in the public market, the trading price of our ADSs could decline.</w:t>
      </w:r>
    </w:p>
    <w:p>
      <w:pPr>
        <w:spacing w:after="0" w:line="80" w:lineRule="exact"/>
        <w:rPr>
          <w:sz w:val="20"/>
          <w:szCs w:val="20"/>
          <w:color w:val="auto"/>
        </w:rPr>
      </w:pPr>
    </w:p>
    <w:p>
      <w:pPr>
        <w:ind w:left="1560" w:right="1879"/>
        <w:spacing w:after="0" w:line="315" w:lineRule="auto"/>
        <w:rPr>
          <w:sz w:val="20"/>
          <w:szCs w:val="20"/>
          <w:color w:val="auto"/>
        </w:rPr>
      </w:pPr>
      <w:r>
        <w:rPr>
          <w:rFonts w:ascii="Arial" w:cs="Arial" w:eastAsia="Arial" w:hAnsi="Arial"/>
          <w:sz w:val="12"/>
          <w:szCs w:val="12"/>
          <w:b w:val="1"/>
          <w:bCs w:val="1"/>
          <w:i w:val="1"/>
          <w:iCs w:val="1"/>
          <w:color w:val="auto"/>
        </w:rPr>
        <w:t>Holders of our ADSs have fewer rights than our shareholders and must act through the depositary to exercise their rights.</w:t>
      </w:r>
    </w:p>
    <w:p>
      <w:pPr>
        <w:spacing w:after="0" w:line="42"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85" w:lineRule="exact"/>
        <w:rPr>
          <w:sz w:val="20"/>
          <w:szCs w:val="20"/>
          <w:color w:val="auto"/>
        </w:rPr>
      </w:pPr>
    </w:p>
    <w:p>
      <w:pPr>
        <w:ind w:left="1560" w:right="1699"/>
        <w:spacing w:after="0" w:line="287"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209"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4" w:name="page85"/>
    <w:bookmarkEnd w:id="8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76" w:lineRule="exact"/>
        <w:rPr>
          <w:sz w:val="20"/>
          <w:szCs w:val="20"/>
          <w:color w:val="auto"/>
        </w:rPr>
      </w:pPr>
    </w:p>
    <w:p>
      <w:pPr>
        <w:ind w:left="1560" w:right="1719"/>
        <w:spacing w:after="0" w:line="315" w:lineRule="auto"/>
        <w:rPr>
          <w:sz w:val="20"/>
          <w:szCs w:val="20"/>
          <w:color w:val="auto"/>
        </w:rPr>
      </w:pPr>
      <w:r>
        <w:rPr>
          <w:rFonts w:ascii="Arial" w:cs="Arial" w:eastAsia="Arial" w:hAnsi="Arial"/>
          <w:sz w:val="12"/>
          <w:szCs w:val="12"/>
          <w:b w:val="1"/>
          <w:bCs w:val="1"/>
          <w:i w:val="1"/>
          <w:iCs w:val="1"/>
          <w:color w:val="auto"/>
        </w:rPr>
        <w:t>You may not receive distributions on our ordinary shares represented by the ADSs or any value for them if it is illegal or impractical to make them available to holders of ADSs.</w:t>
      </w:r>
    </w:p>
    <w:p>
      <w:pPr>
        <w:spacing w:after="0" w:line="42"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Although we do not have any present plans to declare or pay any dividends on our ordinary shares after this offering,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88" w:lineRule="exact"/>
        <w:rPr>
          <w:sz w:val="20"/>
          <w:szCs w:val="20"/>
          <w:color w:val="auto"/>
        </w:rPr>
      </w:pPr>
    </w:p>
    <w:p>
      <w:pPr>
        <w:ind w:left="1560" w:right="1879"/>
        <w:spacing w:after="0" w:line="315" w:lineRule="auto"/>
        <w:rPr>
          <w:sz w:val="20"/>
          <w:szCs w:val="20"/>
          <w:color w:val="auto"/>
        </w:rPr>
      </w:pPr>
      <w:r>
        <w:rPr>
          <w:rFonts w:ascii="Arial" w:cs="Arial" w:eastAsia="Arial" w:hAnsi="Arial"/>
          <w:sz w:val="12"/>
          <w:szCs w:val="12"/>
          <w:b w:val="1"/>
          <w:bCs w:val="1"/>
          <w:i w:val="1"/>
          <w:iCs w:val="1"/>
          <w:color w:val="auto"/>
        </w:rPr>
        <w:t>Your right to participate in any future rights offerings may be limited, which may cause dilution to your holdings.</w:t>
      </w:r>
    </w:p>
    <w:p>
      <w:pPr>
        <w:spacing w:after="0" w:line="52" w:lineRule="exact"/>
        <w:rPr>
          <w:sz w:val="20"/>
          <w:szCs w:val="20"/>
          <w:color w:val="auto"/>
        </w:rPr>
      </w:pPr>
    </w:p>
    <w:p>
      <w:pPr>
        <w:ind w:left="1560" w:right="1699"/>
        <w:spacing w:after="0" w:line="273" w:lineRule="auto"/>
        <w:rPr>
          <w:sz w:val="20"/>
          <w:szCs w:val="20"/>
          <w:color w:val="auto"/>
        </w:rPr>
      </w:pPr>
      <w:r>
        <w:rPr>
          <w:rFonts w:ascii="Arial" w:cs="Arial" w:eastAsia="Arial" w:hAnsi="Arial"/>
          <w:sz w:val="12"/>
          <w:szCs w:val="12"/>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74" w:lineRule="exact"/>
        <w:rPr>
          <w:sz w:val="20"/>
          <w:szCs w:val="20"/>
          <w:color w:val="auto"/>
        </w:rPr>
      </w:pPr>
    </w:p>
    <w:p>
      <w:pPr>
        <w:ind w:left="1560" w:right="1779"/>
        <w:spacing w:after="0" w:line="292" w:lineRule="auto"/>
        <w:rPr>
          <w:sz w:val="20"/>
          <w:szCs w:val="20"/>
          <w:color w:val="auto"/>
        </w:rPr>
      </w:pPr>
      <w:r>
        <w:rPr>
          <w:rFonts w:ascii="Arial" w:cs="Arial" w:eastAsia="Arial" w:hAnsi="Arial"/>
          <w:sz w:val="12"/>
          <w:szCs w:val="12"/>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65"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 our inability to pay our debts as they fall due in the ordinary course of business. In addition, our shareholders may, subject to our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 Investors seeking cash dividends should not purchase our ADSs in this offering.</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5" w:name="page86"/>
    <w:bookmarkEnd w:id="8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We are subject to tax in the Cayman Islands and the United States.</w:t>
      </w:r>
    </w:p>
    <w:p>
      <w:pPr>
        <w:spacing w:after="0" w:line="111" w:lineRule="exact"/>
        <w:rPr>
          <w:sz w:val="20"/>
          <w:szCs w:val="20"/>
          <w:color w:val="auto"/>
        </w:rPr>
      </w:pPr>
    </w:p>
    <w:p>
      <w:pPr>
        <w:ind w:left="1560" w:right="1659"/>
        <w:spacing w:after="0" w:line="263" w:lineRule="auto"/>
        <w:rPr>
          <w:sz w:val="20"/>
          <w:szCs w:val="20"/>
          <w:color w:val="auto"/>
        </w:rPr>
      </w:pPr>
      <w:r>
        <w:rPr>
          <w:rFonts w:ascii="Arial" w:cs="Arial" w:eastAsia="Arial" w:hAnsi="Arial"/>
          <w:sz w:val="12"/>
          <w:szCs w:val="12"/>
          <w:color w:val="auto"/>
        </w:rPr>
        <w:t>We are and will continue to be a Cayman Islands corporation as of the date of this prospectus. We are treated as an exempted company for Cayman Islands tax purposes. We are also treated as a U.S. corporation subject to U.S. federal income tax pursuant to Section 7874 of the Internal Revenue Code of 1986, as amended, or the Code, and are subject to U.S. federal income tax on our worldwide income. As a result, we are subject to tax both in the Cayman Islands and the United States, which could have a material adverse effect on our financial condition and results of operations.</w:t>
      </w:r>
    </w:p>
    <w:p>
      <w:pPr>
        <w:spacing w:after="0" w:line="79" w:lineRule="exact"/>
        <w:rPr>
          <w:sz w:val="20"/>
          <w:szCs w:val="20"/>
          <w:color w:val="auto"/>
        </w:rPr>
      </w:pPr>
    </w:p>
    <w:p>
      <w:pPr>
        <w:ind w:left="1560" w:right="1599"/>
        <w:spacing w:after="0" w:line="270" w:lineRule="auto"/>
        <w:rPr>
          <w:sz w:val="20"/>
          <w:szCs w:val="20"/>
          <w:color w:val="auto"/>
        </w:rPr>
      </w:pPr>
      <w:r>
        <w:rPr>
          <w:rFonts w:ascii="Arial" w:cs="Arial" w:eastAsia="Arial" w:hAnsi="Arial"/>
          <w:sz w:val="12"/>
          <w:szCs w:val="12"/>
          <w:color w:val="auto"/>
        </w:rPr>
        <w:t>It is unlikely that we will pay any dividends on our ordinary shares or ADSs in the foreseeable future. However, dividends received by “non-U.S. holders” (as​ defined in the section titled “Material U.S. Federal Income Tax Consequences”) will be subject to U.S. withholding tax. In addition, because the ordinary shares or ADSs are treated as shares of a U.S. domestic corporation, the U.S. gift, estate and generation-skipping transfer tax rules generally apply to a non-U.S. holder of ordinary shares or ADSs.</w:t>
      </w:r>
    </w:p>
    <w:p>
      <w:pPr>
        <w:spacing w:after="0" w:line="75" w:lineRule="exact"/>
        <w:rPr>
          <w:sz w:val="20"/>
          <w:szCs w:val="20"/>
          <w:color w:val="auto"/>
        </w:rPr>
      </w:pPr>
    </w:p>
    <w:p>
      <w:pPr>
        <w:ind w:left="1560" w:right="2199"/>
        <w:spacing w:after="0" w:line="291" w:lineRule="auto"/>
        <w:rPr>
          <w:sz w:val="20"/>
          <w:szCs w:val="20"/>
          <w:color w:val="auto"/>
        </w:rPr>
      </w:pPr>
      <w:r>
        <w:rPr>
          <w:rFonts w:ascii="Arial" w:cs="Arial" w:eastAsia="Arial" w:hAnsi="Arial"/>
          <w:sz w:val="12"/>
          <w:szCs w:val="12"/>
          <w:color w:val="auto"/>
        </w:rPr>
        <w:t>Each holder or prospective holder of our ordinary shares or ADSs should seek tax advice from an independent tax advisor based on such holder’s particular circumstances.</w:t>
      </w:r>
    </w:p>
    <w:p>
      <w:pPr>
        <w:spacing w:after="0" w:line="73" w:lineRule="exact"/>
        <w:rPr>
          <w:sz w:val="20"/>
          <w:szCs w:val="20"/>
          <w:color w:val="auto"/>
        </w:rPr>
      </w:pPr>
    </w:p>
    <w:p>
      <w:pPr>
        <w:ind w:left="1560" w:right="1619"/>
        <w:spacing w:after="0" w:line="277" w:lineRule="auto"/>
        <w:rPr>
          <w:sz w:val="20"/>
          <w:szCs w:val="20"/>
          <w:color w:val="auto"/>
        </w:rPr>
      </w:pPr>
      <w:r>
        <w:rPr>
          <w:rFonts w:ascii="Arial" w:cs="Arial" w:eastAsia="Arial" w:hAnsi="Arial"/>
          <w:sz w:val="12"/>
          <w:szCs w:val="12"/>
          <w:b w:val="1"/>
          <w:bCs w:val="1"/>
          <w:i w:val="1"/>
          <w:iCs w:val="1"/>
          <w:color w:val="auto"/>
        </w:rPr>
        <w:t>Our ability to use our net operating loss carryforwards and certain other tax attributes may be limited.</w:t>
      </w:r>
    </w:p>
    <w:p>
      <w:pPr>
        <w:spacing w:after="0" w:line="24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As of December 31, 2021, we had $51.5 million of U.S. federal net operating losses, or NOLs, and</w:t>
      </w:r>
    </w:p>
    <w:p>
      <w:pPr>
        <w:spacing w:after="0" w:line="19"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$43.4 million of state NOLs. U.S. federal NOL carryforwards totaling $51.5 million can be carried forward indefinitely under current law. State NOL carryforwards totaling $43.4 million will begin to expire in 2037, unless previously utilized. As of December 31, 2021, we also had aggregate U.S. federal and state research and development, or R&amp;D, credits of approximately $0.3 million and $0.1 million, respectively. U.S. federal R&amp;D credits carryforwards begin to expire in 2029 unless previously utilized. The state R&amp;D credit carryforwards do not expire. Our NOL carryforwards and R&amp;D credits are subject to review and possible adjustment by the U.S. and state tax authorities.</w:t>
      </w:r>
    </w:p>
    <w:p>
      <w:pPr>
        <w:spacing w:after="0" w:line="83"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including as a result of this offering.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31" w:lineRule="exact"/>
        <w:rPr>
          <w:sz w:val="20"/>
          <w:szCs w:val="20"/>
          <w:color w:val="auto"/>
        </w:rPr>
      </w:pPr>
    </w:p>
    <w:p>
      <w:pPr>
        <w:ind w:left="1560" w:right="1839"/>
        <w:spacing w:after="0" w:line="275" w:lineRule="auto"/>
        <w:rPr>
          <w:sz w:val="20"/>
          <w:szCs w:val="20"/>
          <w:color w:val="auto"/>
        </w:rPr>
      </w:pPr>
      <w:r>
        <w:rPr>
          <w:rFonts w:ascii="Arial" w:cs="Arial" w:eastAsia="Arial" w:hAnsi="Arial"/>
          <w:sz w:val="12"/>
          <w:szCs w:val="12"/>
          <w:b w:val="1"/>
          <w:bCs w:val="1"/>
          <w:i w:val="1"/>
          <w:iCs w:val="1"/>
          <w:color w:val="auto"/>
        </w:rPr>
        <w:t>We will incur significantly increased costs as a result of operating as a company whose ADSs are publicly traded in the United States, and our management will be required to devote substantial time to new compliance initiatives.</w:t>
      </w:r>
    </w:p>
    <w:p>
      <w:pPr>
        <w:spacing w:after="0" w:line="65"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As a public company in the United States, we will incur significant legal, accounting and other expenses that we did not incur previously. These expenses will likely be even more significant after we no longer qualify as an emerging growth company and/or a smaller reporting company. The Sarbanes-Oxley Act, the Dodd-Frank Wall Street Reform and Consumer Protection Act, or the Dodd-Frank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6" w:name="page87"/>
    <w:bookmarkEnd w:id="8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73" w:lineRule="exact"/>
        <w:rPr>
          <w:sz w:val="20"/>
          <w:szCs w:val="20"/>
          <w:color w:val="auto"/>
        </w:rPr>
      </w:pPr>
    </w:p>
    <w:p>
      <w:pPr>
        <w:ind w:left="1560" w:right="1639"/>
        <w:spacing w:after="0" w:line="268" w:lineRule="auto"/>
        <w:rPr>
          <w:sz w:val="20"/>
          <w:szCs w:val="20"/>
          <w:color w:val="auto"/>
        </w:rPr>
      </w:pPr>
      <w:r>
        <w:rPr>
          <w:rFonts w:ascii="Arial" w:cs="Arial" w:eastAsia="Arial" w:hAnsi="Arial"/>
          <w:sz w:val="12"/>
          <w:szCs w:val="12"/>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25"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Pursuant to Section 404 of the Sarbanes-Oxley Act, beginning with our annual report on Form 10-K for the fiscal year ended December 31, 2023, we will be required to furnish a report by our senior management on our internal control over financial reporting. However, while we remain an emerging growth company or a smaller reporting company with less than $100 million in annual revenues, we will not be required to include an attestation report on internal controls over financial reporting issued by our independent registered public accounting firm. To prepare for eventual compliance with Section 404,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 Despite our efforts, there is a risk that we will not be able to conclude, within the prescribed time frame or at all, that our internal controls over financial reporting is effective as required by Section 404.</w:t>
      </w:r>
    </w:p>
    <w:p>
      <w:pPr>
        <w:spacing w:after="0" w:line="86" w:lineRule="exact"/>
        <w:rPr>
          <w:sz w:val="20"/>
          <w:szCs w:val="20"/>
          <w:color w:val="auto"/>
        </w:rPr>
      </w:pPr>
    </w:p>
    <w:p>
      <w:pPr>
        <w:jc w:val="both"/>
        <w:ind w:left="1560" w:right="1819"/>
        <w:spacing w:after="0" w:line="275" w:lineRule="auto"/>
        <w:rPr>
          <w:sz w:val="20"/>
          <w:szCs w:val="20"/>
          <w:color w:val="auto"/>
        </w:rPr>
      </w:pPr>
      <w:r>
        <w:rPr>
          <w:rFonts w:ascii="Arial" w:cs="Arial" w:eastAsia="Arial" w:hAnsi="Arial"/>
          <w:sz w:val="12"/>
          <w:szCs w:val="12"/>
          <w:b w:val="1"/>
          <w:bCs w:val="1"/>
          <w:i w:val="1"/>
          <w:iCs w:val="1"/>
          <w:color w:val="auto"/>
        </w:rPr>
        <w:t>We are an emerging growth company and a smaller reporting company, and the reduced reporting requirements applicable to emerging growth companies and smaller reporting companies may make our ADSs less attractive to investors.</w:t>
      </w:r>
    </w:p>
    <w:p>
      <w:pPr>
        <w:spacing w:after="0" w:line="65"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We are an “emerging growth company”, as defined in the JOBS Act. For as long as we continue to be an emerging growth company, we may take advantage of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under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may take advantage of these exemptions until the last day of the fiscal year ending after the fifth anniversary of this offering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equal or exceed $1.235 billion or we issue more than $1.0 billion of non-convertible debt in any three-year period prior to such time. In particular, in this prospectus, we have provided only two years of audited financial statements and have not included all of the executive compensation related information that would be required if we were not an emerging growth company, and we may elect to take advantage of other reduced reporting requirements in future filings. Accordingly, the information contained herein may be different than the information you receive from other public companies in which you hold stock.</w:t>
      </w:r>
    </w:p>
    <w:p>
      <w:pPr>
        <w:spacing w:after="0" w:line="84"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In addition, the JOBS Act provides that an emerging growth company can take advantage of an extended transition period for complying with certain new or revised accounting standards until those standards would otherwise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76" w:lineRule="exact"/>
        <w:rPr>
          <w:sz w:val="20"/>
          <w:szCs w:val="20"/>
          <w:color w:val="auto"/>
        </w:rPr>
      </w:pPr>
    </w:p>
    <w:p>
      <w:pPr>
        <w:ind w:left="1560" w:right="1739"/>
        <w:spacing w:after="0" w:line="266" w:lineRule="auto"/>
        <w:rPr>
          <w:sz w:val="20"/>
          <w:szCs w:val="20"/>
          <w:color w:val="auto"/>
        </w:rPr>
      </w:pPr>
      <w:r>
        <w:rPr>
          <w:rFonts w:ascii="Arial" w:cs="Arial" w:eastAsia="Arial" w:hAnsi="Arial"/>
          <w:sz w:val="12"/>
          <w:szCs w:val="12"/>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ADSs held by non-affiliates is less than $250.0 million measured</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7" w:name="page88"/>
    <w:bookmarkEnd w:id="8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on the last business day of our second fiscal quarter, or our annual revenue is less than $100.0 million during the most recently completed fiscal year and our ADSs held by non-affiliates is less than $700.0 million measured on the last business day of our second fiscal quarter.</w:t>
      </w:r>
    </w:p>
    <w:p>
      <w:pPr>
        <w:spacing w:after="0" w:line="76" w:lineRule="exact"/>
        <w:rPr>
          <w:sz w:val="20"/>
          <w:szCs w:val="20"/>
          <w:color w:val="auto"/>
        </w:rPr>
      </w:pPr>
    </w:p>
    <w:p>
      <w:pPr>
        <w:ind w:left="1560" w:right="1759"/>
        <w:spacing w:after="0" w:line="315" w:lineRule="auto"/>
        <w:rPr>
          <w:sz w:val="20"/>
          <w:szCs w:val="20"/>
          <w:color w:val="auto"/>
        </w:rPr>
      </w:pPr>
      <w:r>
        <w:rPr>
          <w:rFonts w:ascii="Arial" w:cs="Arial" w:eastAsia="Arial" w:hAnsi="Arial"/>
          <w:sz w:val="12"/>
          <w:szCs w:val="12"/>
          <w:b w:val="1"/>
          <w:bCs w:val="1"/>
          <w:i w:val="1"/>
          <w:iCs w:val="1"/>
          <w:color w:val="auto"/>
        </w:rPr>
        <w:t>Since shareholder rights under Cayman Islands law differ from those under U.S. law, you may have difficulty protecting your shareholder rights.</w:t>
      </w:r>
    </w:p>
    <w:p>
      <w:pPr>
        <w:spacing w:after="0" w:line="42"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We are an exempted company limited by shares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83"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81"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71"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sections titled “Enforcement of Civil Liabilties” and “Description of Share Capital—Differences in Corporate Law.”</w:t>
      </w:r>
    </w:p>
    <w:p>
      <w:pPr>
        <w:spacing w:after="0" w:line="84" w:lineRule="exact"/>
        <w:rPr>
          <w:sz w:val="20"/>
          <w:szCs w:val="20"/>
          <w:color w:val="auto"/>
        </w:rPr>
      </w:pPr>
    </w:p>
    <w:p>
      <w:pPr>
        <w:ind w:left="1560" w:right="1659"/>
        <w:spacing w:after="0" w:line="284" w:lineRule="auto"/>
        <w:rPr>
          <w:sz w:val="20"/>
          <w:szCs w:val="20"/>
          <w:color w:val="auto"/>
        </w:rPr>
      </w:pPr>
      <w:r>
        <w:rPr>
          <w:rFonts w:ascii="Arial" w:cs="Arial" w:eastAsia="Arial" w:hAnsi="Arial"/>
          <w:sz w:val="12"/>
          <w:szCs w:val="12"/>
          <w:b w:val="1"/>
          <w:bCs w:val="1"/>
          <w:i w:val="1"/>
          <w:iCs w:val="1"/>
          <w:color w:val="auto"/>
        </w:rPr>
        <w:t>Provisions in our amended and restated memorandum and articles of association to be effective in connection with the closing of this offering may prevent or frustrate attempts by our shareholders to change our management and hinder efforts to acquire a controlling interest in us, and the market price of our ADSs may be lower as a result.</w:t>
      </w:r>
    </w:p>
    <w:p>
      <w:pPr>
        <w:spacing w:after="0" w:line="70"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There are provisions in our amended and restated memorandum and articles of association to be effective in connection with the closing of this offering that may make it difficult for a third party to acquire, or attempt to acquire, control of our company, even if a change of control was considered favorable by you and other shareholders. For example, our board of directors will have the authority to issue up to 100,000,000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8" w:name="page89"/>
    <w:bookmarkEnd w:id="8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transaction. As a result, the market price of our ADSs and the voting and other rights of our shareholders may be adversely affected. An issuance of other classes of shares may result in the loss of voting control to other shareholders.</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Our charter documents will also contain other provisions that could have an anti-takeover effect, including:</w:t>
      </w:r>
    </w:p>
    <w:p>
      <w:pPr>
        <w:spacing w:after="0" w:line="65" w:lineRule="exact"/>
        <w:rPr>
          <w:sz w:val="20"/>
          <w:szCs w:val="20"/>
          <w:color w:val="auto"/>
        </w:rPr>
      </w:pPr>
    </w:p>
    <w:p>
      <w:pPr>
        <w:ind w:left="1980" w:hanging="157"/>
        <w:spacing w:after="0"/>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only one of our three classes of directors will be elected each year;</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shareholders will be entitled to remove directors only for cause;</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shareholders will not be permitted to take actions by written consent; and</w:t>
      </w:r>
    </w:p>
    <w:p>
      <w:pPr>
        <w:spacing w:after="0" w:line="65"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shareholders must give advance notice to nominate directors or submit proposals for consideration at annual general meetings.</w:t>
      </w:r>
    </w:p>
    <w:p>
      <w:pPr>
        <w:spacing w:after="0" w:line="52"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8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You may be subject to limitations on transfers of your ADSs.</w:t>
      </w:r>
    </w:p>
    <w:p>
      <w:pPr>
        <w:spacing w:after="0" w:line="102" w:lineRule="exact"/>
        <w:rPr>
          <w:sz w:val="20"/>
          <w:szCs w:val="20"/>
          <w:color w:val="auto"/>
        </w:rPr>
      </w:pPr>
    </w:p>
    <w:p>
      <w:pPr>
        <w:ind w:left="1560" w:right="1579"/>
        <w:spacing w:after="0" w:line="264" w:lineRule="auto"/>
        <w:rPr>
          <w:sz w:val="20"/>
          <w:szCs w:val="20"/>
          <w:color w:val="auto"/>
        </w:rPr>
      </w:pPr>
      <w:r>
        <w:rPr>
          <w:rFonts w:ascii="Arial" w:cs="Arial" w:eastAsia="Arial" w:hAnsi="Arial"/>
          <w:sz w:val="12"/>
          <w:szCs w:val="12"/>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General Risk Factors</w:t>
      </w:r>
    </w:p>
    <w:p>
      <w:pPr>
        <w:spacing w:after="0" w:line="115" w:lineRule="exact"/>
        <w:rPr>
          <w:sz w:val="20"/>
          <w:szCs w:val="20"/>
          <w:color w:val="auto"/>
        </w:rPr>
      </w:pPr>
    </w:p>
    <w:p>
      <w:pPr>
        <w:ind w:left="1560" w:right="1819"/>
        <w:spacing w:after="0" w:line="287" w:lineRule="auto"/>
        <w:rPr>
          <w:sz w:val="20"/>
          <w:szCs w:val="20"/>
          <w:color w:val="auto"/>
        </w:rPr>
      </w:pPr>
      <w:r>
        <w:rPr>
          <w:rFonts w:ascii="Arial" w:cs="Arial" w:eastAsia="Arial" w:hAnsi="Arial"/>
          <w:sz w:val="12"/>
          <w:szCs w:val="12"/>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209"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Act was enacted and included significant corporate governance and executive compensation related provisions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2"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89" w:name="page90"/>
    <w:bookmarkEnd w:id="8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1560" w:right="2099"/>
        <w:spacing w:after="0" w:line="283" w:lineRule="auto"/>
        <w:rPr>
          <w:sz w:val="20"/>
          <w:szCs w:val="20"/>
          <w:color w:val="auto"/>
        </w:rPr>
      </w:pPr>
      <w:r>
        <w:rPr>
          <w:rFonts w:ascii="Arial" w:cs="Arial" w:eastAsia="Arial" w:hAnsi="Arial"/>
          <w:sz w:val="12"/>
          <w:szCs w:val="12"/>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61"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As a public company, we will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2023, we must perform system and process evaluation and testing of our internal controls over financial reporting to allow management to report on the effectiveness of our internal controls over financial reporting in our annual report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24" w:lineRule="exact"/>
        <w:rPr>
          <w:sz w:val="20"/>
          <w:szCs w:val="20"/>
          <w:color w:val="auto"/>
        </w:rPr>
      </w:pPr>
    </w:p>
    <w:p>
      <w:pPr>
        <w:ind w:left="1560" w:right="1639"/>
        <w:spacing w:after="0" w:line="259" w:lineRule="auto"/>
        <w:rPr>
          <w:sz w:val="20"/>
          <w:szCs w:val="20"/>
          <w:color w:val="auto"/>
        </w:rPr>
      </w:pPr>
      <w:r>
        <w:rPr>
          <w:rFonts w:ascii="Arial" w:cs="Arial" w:eastAsia="Arial" w:hAnsi="Arial"/>
          <w:sz w:val="12"/>
          <w:szCs w:val="12"/>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8" w:lineRule="exact"/>
        <w:rPr>
          <w:sz w:val="20"/>
          <w:szCs w:val="20"/>
          <w:color w:val="auto"/>
        </w:rPr>
      </w:pPr>
    </w:p>
    <w:p>
      <w:pPr>
        <w:ind w:left="1560" w:right="1579"/>
        <w:spacing w:after="0" w:line="265" w:lineRule="auto"/>
        <w:rPr>
          <w:sz w:val="20"/>
          <w:szCs w:val="20"/>
          <w:color w:val="auto"/>
        </w:rPr>
      </w:pPr>
      <w:r>
        <w:rPr>
          <w:rFonts w:ascii="Arial" w:cs="Arial" w:eastAsia="Arial" w:hAnsi="Arial"/>
          <w:sz w:val="12"/>
          <w:szCs w:val="12"/>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79" w:lineRule="exact"/>
        <w:rPr>
          <w:sz w:val="20"/>
          <w:szCs w:val="20"/>
          <w:color w:val="auto"/>
        </w:rPr>
      </w:pPr>
    </w:p>
    <w:p>
      <w:pPr>
        <w:ind w:left="1560" w:right="1599"/>
        <w:spacing w:after="0" w:line="298" w:lineRule="auto"/>
        <w:rPr>
          <w:sz w:val="20"/>
          <w:szCs w:val="20"/>
          <w:color w:val="auto"/>
        </w:rPr>
      </w:pPr>
      <w:r>
        <w:rPr>
          <w:rFonts w:ascii="Arial" w:cs="Arial" w:eastAsia="Arial" w:hAnsi="Arial"/>
          <w:sz w:val="12"/>
          <w:szCs w:val="12"/>
          <w:b w:val="1"/>
          <w:bCs w:val="1"/>
          <w:i w:val="1"/>
          <w:iCs w:val="1"/>
          <w:color w:val="auto"/>
        </w:rPr>
        <w:t>If we are unable to maintain effective internal controls, our business, financial position and results of operations could be adversely affected.</w:t>
      </w:r>
    </w:p>
    <w:p>
      <w:pPr>
        <w:spacing w:after="0" w:line="5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As a public company, beginning with our annual report on Form 10-K for the fiscal year ending</w:t>
      </w:r>
    </w:p>
    <w:p>
      <w:pPr>
        <w:spacing w:after="0" w:line="19" w:lineRule="exact"/>
        <w:rPr>
          <w:sz w:val="20"/>
          <w:szCs w:val="20"/>
          <w:color w:val="auto"/>
        </w:rPr>
      </w:pPr>
    </w:p>
    <w:p>
      <w:pPr>
        <w:jc w:val="both"/>
        <w:ind w:left="1560" w:right="1599"/>
        <w:spacing w:after="0" w:line="283" w:lineRule="auto"/>
        <w:rPr>
          <w:sz w:val="20"/>
          <w:szCs w:val="20"/>
          <w:color w:val="auto"/>
        </w:rPr>
      </w:pPr>
      <w:r>
        <w:rPr>
          <w:rFonts w:ascii="Arial" w:cs="Arial" w:eastAsia="Arial" w:hAnsi="Arial"/>
          <w:sz w:val="12"/>
          <w:szCs w:val="12"/>
          <w:color w:val="auto"/>
        </w:rPr>
        <w:t>December 31, 2023, we will be subject to the requirements of Section 404 of the Sarbanes-Oxley Act, which require annual management assessments of the effectiveness of our internal control over financial reporting.</w:t>
      </w:r>
    </w:p>
    <w:p>
      <w:pPr>
        <w:spacing w:after="0" w:line="1" w:lineRule="exact"/>
        <w:rPr>
          <w:sz w:val="20"/>
          <w:szCs w:val="20"/>
          <w:color w:val="auto"/>
        </w:rPr>
      </w:pPr>
    </w:p>
    <w:p>
      <w:pPr>
        <w:ind w:left="1560" w:right="1679"/>
        <w:spacing w:after="0" w:line="265" w:lineRule="auto"/>
        <w:rPr>
          <w:sz w:val="20"/>
          <w:szCs w:val="20"/>
          <w:color w:val="auto"/>
        </w:rPr>
      </w:pPr>
      <w:r>
        <w:rPr>
          <w:rFonts w:ascii="Arial" w:cs="Arial" w:eastAsia="Arial" w:hAnsi="Arial"/>
          <w:sz w:val="12"/>
          <w:szCs w:val="12"/>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59"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0" w:name="page91"/>
    <w:bookmarkEnd w:id="9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right="1919"/>
        <w:spacing w:after="0" w:line="277" w:lineRule="auto"/>
        <w:rPr>
          <w:sz w:val="20"/>
          <w:szCs w:val="20"/>
          <w:color w:val="auto"/>
        </w:rPr>
      </w:pPr>
      <w:r>
        <w:rPr>
          <w:rFonts w:ascii="Arial" w:cs="Arial" w:eastAsia="Arial" w:hAnsi="Arial"/>
          <w:sz w:val="12"/>
          <w:szCs w:val="12"/>
          <w:b w:val="1"/>
          <w:bCs w:val="1"/>
          <w:i w:val="1"/>
          <w:iCs w:val="1"/>
          <w:color w:val="auto"/>
        </w:rPr>
        <w:t>Our disclosure controls and procedures may not prevent or detect all errors or acts of fraud.</w:t>
      </w:r>
    </w:p>
    <w:p>
      <w:pPr>
        <w:spacing w:after="0" w:line="245"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Upon the completion of this offering, we will become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ind w:left="1560" w:right="1759"/>
        <w:spacing w:after="0" w:line="298" w:lineRule="auto"/>
        <w:rPr>
          <w:sz w:val="20"/>
          <w:szCs w:val="20"/>
          <w:color w:val="auto"/>
        </w:rPr>
      </w:pPr>
      <w:r>
        <w:rPr>
          <w:rFonts w:ascii="Arial" w:cs="Arial" w:eastAsia="Arial" w:hAnsi="Arial"/>
          <w:sz w:val="12"/>
          <w:szCs w:val="12"/>
          <w:b w:val="1"/>
          <w:bCs w:val="1"/>
          <w:i w:val="1"/>
          <w:iCs w:val="1"/>
          <w:color w:val="auto"/>
        </w:rPr>
        <w:t>Future changes in financial accounting standards or practices may cause adverse and unexpected revenue fluctuations and adversely affect our reported results of operations.</w:t>
      </w:r>
    </w:p>
    <w:p>
      <w:pPr>
        <w:spacing w:after="0" w:line="52"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Operations—Recent Accounting Pronouncements.”</w:t>
      </w:r>
    </w:p>
    <w:p>
      <w:pPr>
        <w:spacing w:after="0" w:line="81" w:lineRule="exact"/>
        <w:rPr>
          <w:sz w:val="20"/>
          <w:szCs w:val="20"/>
          <w:color w:val="auto"/>
        </w:rPr>
      </w:pPr>
    </w:p>
    <w:p>
      <w:pPr>
        <w:ind w:left="1560" w:right="1659"/>
        <w:spacing w:after="0" w:line="283" w:lineRule="auto"/>
        <w:rPr>
          <w:sz w:val="20"/>
          <w:szCs w:val="20"/>
          <w:color w:val="auto"/>
        </w:rPr>
      </w:pPr>
      <w:r>
        <w:rPr>
          <w:rFonts w:ascii="Arial" w:cs="Arial" w:eastAsia="Arial" w:hAnsi="Arial"/>
          <w:sz w:val="12"/>
          <w:szCs w:val="12"/>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61"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after the completion of this offering,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9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We could be subject to securities class action litigation.</w:t>
      </w:r>
    </w:p>
    <w:p>
      <w:pPr>
        <w:spacing w:after="0" w:line="102"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75" w:lineRule="exact"/>
        <w:rPr>
          <w:sz w:val="20"/>
          <w:szCs w:val="20"/>
          <w:color w:val="auto"/>
        </w:rPr>
      </w:pPr>
    </w:p>
    <w:p>
      <w:pPr>
        <w:ind w:left="1560" w:right="1739"/>
        <w:spacing w:after="0" w:line="283" w:lineRule="auto"/>
        <w:rPr>
          <w:sz w:val="20"/>
          <w:szCs w:val="20"/>
          <w:color w:val="auto"/>
        </w:rPr>
      </w:pPr>
      <w:r>
        <w:rPr>
          <w:rFonts w:ascii="Arial" w:cs="Arial" w:eastAsia="Arial" w:hAnsi="Arial"/>
          <w:sz w:val="12"/>
          <w:szCs w:val="12"/>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61"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1" w:name="page92"/>
    <w:bookmarkEnd w:id="9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spacing w:after="0" w:line="86" w:lineRule="exact"/>
        <w:rPr>
          <w:sz w:val="20"/>
          <w:szCs w:val="20"/>
          <w:color w:val="auto"/>
        </w:rPr>
      </w:pPr>
    </w:p>
    <w:p>
      <w:pPr>
        <w:ind w:left="1560" w:right="1759"/>
        <w:spacing w:after="0" w:line="292" w:lineRule="auto"/>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5"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73" w:lineRule="exact"/>
        <w:rPr>
          <w:sz w:val="20"/>
          <w:szCs w:val="20"/>
          <w:color w:val="auto"/>
        </w:rPr>
      </w:pPr>
    </w:p>
    <w:p>
      <w:pPr>
        <w:ind w:left="1560" w:right="1719"/>
        <w:spacing w:after="0" w:line="278" w:lineRule="auto"/>
        <w:rPr>
          <w:sz w:val="20"/>
          <w:szCs w:val="20"/>
          <w:color w:val="auto"/>
        </w:rPr>
      </w:pPr>
      <w:r>
        <w:rPr>
          <w:rFonts w:ascii="Arial" w:cs="Arial" w:eastAsia="Arial" w:hAnsi="Arial"/>
          <w:sz w:val="12"/>
          <w:szCs w:val="12"/>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3"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79" w:lineRule="exact"/>
        <w:rPr>
          <w:sz w:val="20"/>
          <w:szCs w:val="20"/>
          <w:color w:val="auto"/>
        </w:rPr>
      </w:pPr>
    </w:p>
    <w:p>
      <w:pPr>
        <w:ind w:left="1560" w:right="1759"/>
        <w:spacing w:after="0" w:line="277" w:lineRule="auto"/>
        <w:rPr>
          <w:sz w:val="20"/>
          <w:szCs w:val="20"/>
          <w:color w:val="auto"/>
        </w:rPr>
      </w:pPr>
      <w:r>
        <w:rPr>
          <w:rFonts w:ascii="Arial" w:cs="Arial" w:eastAsia="Arial" w:hAnsi="Arial"/>
          <w:sz w:val="12"/>
          <w:szCs w:val="12"/>
          <w:b w:val="1"/>
          <w:bCs w:val="1"/>
          <w:i w:val="1"/>
          <w:iCs w:val="1"/>
          <w:color w:val="auto"/>
        </w:rPr>
        <w:t>Our failure to meet Nasdaq’s continued listing requirements could result in a delisting of our ADSs.</w:t>
      </w:r>
    </w:p>
    <w:p>
      <w:pPr>
        <w:spacing w:after="0" w:line="255"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If, after listing,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2" w:name="page93"/>
    <w:bookmarkEnd w:id="92"/>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253"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This prospectus contains forward-looking statements that reflect our current expectations and views of future events. The forward-looking statements are contained principally in the sections titled “Prospectus Summary,” “Risk Factors,” “Management’s Discussion and Analysis of Financial Condition and Results of Operations,” and “Business.” Known and unknown risks, uncertainties and other factors, including those listed in the section titled “Risk Factors,” may cause our actual results, performance or achievements to be materially different from those expressed or implied by the forward-looking statements.</w:t>
      </w:r>
    </w:p>
    <w:p>
      <w:pPr>
        <w:spacing w:after="0" w:line="73"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You can identify some of these forward-looking statements by words or phrases, such as “aim,” “anticipate,” “assume,” “believe,” “contemplate,” “continue,” “could,” “design,” “due,” “estimate,” “expect,” “goal,” “intend,” “may,” “objective,” “plan,” “positioned,” “potential,” “predict,” “seek,” “should,” “target,” “will,” “would”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34" w:lineRule="exact"/>
        <w:rPr>
          <w:sz w:val="20"/>
          <w:szCs w:val="20"/>
          <w:color w:val="auto"/>
        </w:rPr>
      </w:pPr>
    </w:p>
    <w:p>
      <w:pPr>
        <w:ind w:left="1980" w:right="177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timing, progress and results of preclinical studies and clinical trials for our product candidates, including our product development plans and strategies;</w:t>
      </w:r>
    </w:p>
    <w:p>
      <w:pPr>
        <w:spacing w:after="0" w:line="13" w:lineRule="exact"/>
        <w:rPr>
          <w:rFonts w:ascii="Arial" w:cs="Arial" w:eastAsia="Arial" w:hAnsi="Arial"/>
          <w:sz w:val="12"/>
          <w:szCs w:val="12"/>
          <w:color w:val="auto"/>
        </w:rPr>
      </w:pPr>
    </w:p>
    <w:p>
      <w:pPr>
        <w:ind w:left="1980" w:right="157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timing, scope and likelihood of regulatory filings and approvals, including final regulatory approval of our product candidates;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potential benefits and market opportunity for our product candidates and discovery platform;</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expectations regarding the size, scope and design of clinical trials;</w:t>
      </w:r>
    </w:p>
    <w:p>
      <w:pPr>
        <w:spacing w:after="0" w:line="74" w:lineRule="exact"/>
        <w:rPr>
          <w:rFonts w:ascii="Arial" w:cs="Arial" w:eastAsia="Arial" w:hAnsi="Arial"/>
          <w:sz w:val="12"/>
          <w:szCs w:val="12"/>
          <w:color w:val="auto"/>
        </w:rPr>
      </w:pPr>
    </w:p>
    <w:p>
      <w:pPr>
        <w:ind w:left="1980" w:right="205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plans and strategy with respect to our drug discovery efforts and potential benefits of our discovery platform;</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manufacturing, commercialization, and marketing plans and strategies;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plans to hire additional personnel and our ability to attract and retain such personnel;</w:t>
      </w:r>
    </w:p>
    <w:p>
      <w:pPr>
        <w:spacing w:after="0" w:line="74"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estimates of the number of patients who suffer from the diseases we are targeting and potential growth in our target markets;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expectations regarding the approval and use of our product candidates;</w:t>
      </w:r>
    </w:p>
    <w:p>
      <w:pPr>
        <w:spacing w:after="0" w:line="65"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competitive position and the development and impact of competing therapies that are or may become available;</w:t>
      </w:r>
    </w:p>
    <w:p>
      <w:pPr>
        <w:spacing w:after="0" w:line="13" w:lineRule="exact"/>
        <w:rPr>
          <w:rFonts w:ascii="Arial" w:cs="Arial" w:eastAsia="Arial" w:hAnsi="Arial"/>
          <w:sz w:val="12"/>
          <w:szCs w:val="12"/>
          <w:color w:val="auto"/>
        </w:rPr>
      </w:pPr>
    </w:p>
    <w:p>
      <w:pPr>
        <w:ind w:left="1980" w:right="1719" w:hanging="157"/>
        <w:spacing w:after="0" w:line="28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expectations regarding future events under collaboration and licensing agreements, including potential future payments, as well as our plans and strategies for entering into further collaboration and licensing agreements;</w:t>
      </w:r>
    </w:p>
    <w:p>
      <w:pPr>
        <w:spacing w:after="0" w:line="25" w:lineRule="exact"/>
        <w:rPr>
          <w:rFonts w:ascii="Arial" w:cs="Arial" w:eastAsia="Arial" w:hAnsi="Arial"/>
          <w:sz w:val="12"/>
          <w:szCs w:val="12"/>
          <w:color w:val="auto"/>
        </w:rPr>
      </w:pPr>
    </w:p>
    <w:p>
      <w:pPr>
        <w:ind w:left="1980" w:right="1639" w:hanging="157"/>
        <w:spacing w:after="0" w:line="27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22"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rate and degree of market acceptance and clinical utility of product candidates we may develop;</w:t>
      </w:r>
    </w:p>
    <w:p>
      <w:pPr>
        <w:spacing w:after="0" w:line="74"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estimates regarding expenses, future revenue, capital requirements and needs for additional financing;</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future financial performance;</w:t>
      </w:r>
    </w:p>
    <w:p>
      <w:pPr>
        <w:spacing w:after="0" w:line="74" w:lineRule="exact"/>
        <w:rPr>
          <w:rFonts w:ascii="Arial" w:cs="Arial" w:eastAsia="Arial" w:hAnsi="Arial"/>
          <w:sz w:val="12"/>
          <w:szCs w:val="12"/>
          <w:color w:val="auto"/>
        </w:rPr>
      </w:pPr>
    </w:p>
    <w:p>
      <w:pPr>
        <w:ind w:left="1980" w:right="1739" w:hanging="157"/>
        <w:spacing w:after="0" w:line="308"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period over which we estimate our existing cash, cash equivalents and short-term investments will be sufficient to fund our future operating expenses and capital expenditure requirements;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impact of laws and regulations;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impact of the COVID-19 pandemic and actions to slow its spread; and</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anticipated use of the net proceeds from this offering.</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3" w:name="page94"/>
    <w:bookmarkEnd w:id="9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You should not rely on forward-looking statements as predictions of future events. These forward-looking statements involve various risks and uncertainties. Although we believe that our expectations expressed in these forward- 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the sections titled “Prospectus Summary,” “Risk Factors,” “Management’s Discussion and Analysis of Financial Condition and Results of Operations,” “Business,”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84"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3"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4" w:name="page95"/>
    <w:bookmarkEnd w:id="94"/>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MARKET AND INDUSTRY DATA</w:t>
      </w:r>
    </w:p>
    <w:p>
      <w:pPr>
        <w:spacing w:after="0" w:line="253"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Unless otherwise expressly stated,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71" w:lineRule="exact"/>
        <w:rPr>
          <w:sz w:val="20"/>
          <w:szCs w:val="20"/>
          <w:color w:val="auto"/>
        </w:rPr>
      </w:pPr>
    </w:p>
    <w:p>
      <w:pPr>
        <w:ind w:left="1560" w:right="1659"/>
        <w:spacing w:after="0" w:line="274" w:lineRule="auto"/>
        <w:rPr>
          <w:sz w:val="20"/>
          <w:szCs w:val="20"/>
          <w:color w:val="auto"/>
        </w:rPr>
      </w:pPr>
      <w:r>
        <w:rPr>
          <w:rFonts w:ascii="Arial" w:cs="Arial" w:eastAsia="Arial" w:hAnsi="Arial"/>
          <w:sz w:val="12"/>
          <w:szCs w:val="12"/>
          <w:color w:val="auto"/>
        </w:rPr>
        <w:t>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Although we are responsible for all of the disclosure contained in this prospectus and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5" w:name="page96"/>
    <w:bookmarkEnd w:id="95"/>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USE OF PROCEEDS</w:t>
      </w:r>
    </w:p>
    <w:p>
      <w:pPr>
        <w:spacing w:after="0" w:line="79" w:lineRule="exact"/>
        <w:rPr>
          <w:sz w:val="20"/>
          <w:szCs w:val="20"/>
          <w:color w:val="auto"/>
        </w:rPr>
      </w:pPr>
    </w:p>
    <w:p>
      <w:pPr>
        <w:ind w:left="1560" w:right="1719"/>
        <w:spacing w:after="0" w:line="259" w:lineRule="auto"/>
        <w:rPr>
          <w:sz w:val="20"/>
          <w:szCs w:val="20"/>
          <w:color w:val="auto"/>
        </w:rPr>
      </w:pPr>
      <w:r>
        <w:rPr>
          <w:rFonts w:ascii="Arial" w:cs="Arial" w:eastAsia="Arial" w:hAnsi="Arial"/>
          <w:sz w:val="12"/>
          <w:szCs w:val="12"/>
          <w:color w:val="auto"/>
        </w:rPr>
        <w:t>We estimate that the net proceeds to us from our issuance and sale of 10,740,000 ADSs in this offering will be approximately $144.8 million (or approximately $167.2 million if the underwriters exercise in full their option to purchase additional ADSs), after deducting the underwriting discounts and commissions and estimated offering expenses payable by us.</w:t>
      </w:r>
    </w:p>
    <w:p>
      <w:pPr>
        <w:spacing w:after="0" w:line="42" w:lineRule="exact"/>
        <w:rPr>
          <w:sz w:val="20"/>
          <w:szCs w:val="20"/>
          <w:color w:val="auto"/>
        </w:rPr>
      </w:pPr>
    </w:p>
    <w:p>
      <w:pPr>
        <w:ind w:left="1560" w:right="1719"/>
        <w:spacing w:after="0" w:line="291" w:lineRule="auto"/>
        <w:rPr>
          <w:sz w:val="20"/>
          <w:szCs w:val="20"/>
          <w:color w:val="auto"/>
        </w:rPr>
      </w:pPr>
      <w:r>
        <w:rPr>
          <w:rFonts w:ascii="Arial" w:cs="Arial" w:eastAsia="Arial" w:hAnsi="Arial"/>
          <w:sz w:val="12"/>
          <w:szCs w:val="12"/>
          <w:color w:val="auto"/>
        </w:rPr>
        <w:t>The principal purposes of this offering are to obtain additional capital to support our operations, to create a public market for our ordinary shares and to facilitate our future access to the public equity markets.</w:t>
      </w:r>
    </w:p>
    <w:p>
      <w:pPr>
        <w:spacing w:after="0" w:line="23" w:lineRule="exact"/>
        <w:rPr>
          <w:sz w:val="20"/>
          <w:szCs w:val="20"/>
          <w:color w:val="auto"/>
        </w:rPr>
      </w:pPr>
    </w:p>
    <w:p>
      <w:pPr>
        <w:ind w:left="1560" w:right="1859"/>
        <w:spacing w:after="0" w:line="275" w:lineRule="auto"/>
        <w:rPr>
          <w:sz w:val="20"/>
          <w:szCs w:val="20"/>
          <w:color w:val="auto"/>
        </w:rPr>
      </w:pPr>
      <w:r>
        <w:rPr>
          <w:rFonts w:ascii="Arial" w:cs="Arial" w:eastAsia="Arial" w:hAnsi="Arial"/>
          <w:sz w:val="12"/>
          <w:szCs w:val="12"/>
          <w:color w:val="auto"/>
        </w:rPr>
        <w:t>We intend to use the net proceeds of this offering, together with our existing cash, cash equivalents and short-term investments, as follows:</w:t>
      </w:r>
    </w:p>
    <w:p>
      <w:pPr>
        <w:spacing w:after="0" w:line="32" w:lineRule="exact"/>
        <w:rPr>
          <w:sz w:val="20"/>
          <w:szCs w:val="20"/>
          <w:color w:val="auto"/>
        </w:rPr>
      </w:pPr>
    </w:p>
    <w:p>
      <w:pPr>
        <w:jc w:val="both"/>
        <w:ind w:left="1980" w:right="1839" w:hanging="157"/>
        <w:spacing w:after="0" w:line="288"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approximately $90.0 million to advance the development of our GLP-1R franchise, including the completion of a Phase 1b MAD study and Phase 2a proof-of-concept study, and next generation GLP-1R candidates including dual GLP-1R/GIPR agonists;</w:t>
      </w:r>
    </w:p>
    <w:p>
      <w:pPr>
        <w:spacing w:after="0" w:line="44" w:lineRule="exact"/>
        <w:rPr>
          <w:rFonts w:ascii="Arial" w:cs="Arial" w:eastAsia="Arial" w:hAnsi="Arial"/>
          <w:sz w:val="12"/>
          <w:szCs w:val="12"/>
          <w:color w:val="auto"/>
        </w:rPr>
      </w:pPr>
    </w:p>
    <w:p>
      <w:pPr>
        <w:ind w:left="1980" w:right="1679" w:hanging="157"/>
        <w:spacing w:after="0" w:line="282"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approximately $13.0 million to advance the development of our (i) APJR agonist program, including through the initiation of a Phase 1 formulation bridging PK study as well as additional preclinical development studies in IPF and PAH, and (ii) LPA1R antagonist program, including preclinical development and initiation of our first-in-human study in IPF; and</w:t>
      </w:r>
    </w:p>
    <w:p>
      <w:pPr>
        <w:spacing w:after="0" w:line="37" w:lineRule="exact"/>
        <w:rPr>
          <w:rFonts w:ascii="Arial" w:cs="Arial" w:eastAsia="Arial" w:hAnsi="Arial"/>
          <w:sz w:val="12"/>
          <w:szCs w:val="12"/>
          <w:color w:val="auto"/>
        </w:rPr>
      </w:pPr>
    </w:p>
    <w:p>
      <w:pPr>
        <w:ind w:left="1980" w:right="1759" w:hanging="157"/>
        <w:spacing w:after="0" w:line="288"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remaining proceeds to fund other research and development activities and general corporate purposes, which we expect will include the hiring of additional personnel, capital expenditures and the costs of operating as a public company.</w:t>
      </w:r>
    </w:p>
    <w:p>
      <w:pPr>
        <w:spacing w:after="0" w:line="25" w:lineRule="exact"/>
        <w:rPr>
          <w:sz w:val="20"/>
          <w:szCs w:val="20"/>
          <w:color w:val="auto"/>
        </w:rPr>
      </w:pPr>
    </w:p>
    <w:p>
      <w:pPr>
        <w:jc w:val="both"/>
        <w:ind w:left="1560" w:right="1779"/>
        <w:spacing w:after="0" w:line="272" w:lineRule="auto"/>
        <w:rPr>
          <w:sz w:val="20"/>
          <w:szCs w:val="20"/>
          <w:color w:val="auto"/>
        </w:rPr>
      </w:pPr>
      <w:r>
        <w:rPr>
          <w:rFonts w:ascii="Arial" w:cs="Arial" w:eastAsia="Arial" w:hAnsi="Arial"/>
          <w:sz w:val="12"/>
          <w:szCs w:val="12"/>
          <w:color w:val="auto"/>
        </w:rPr>
        <w:t>Based on our current business plan, we estimate that our existing cash, cash equivalents and short-term investments as of the date of this prospectus, together with the estimated net proceeds from this offering, will be sufficient to fund our projected operations through at least 2025.</w:t>
      </w:r>
    </w:p>
    <w:p>
      <w:pPr>
        <w:spacing w:after="0" w:line="34" w:lineRule="exact"/>
        <w:rPr>
          <w:sz w:val="20"/>
          <w:szCs w:val="20"/>
          <w:color w:val="auto"/>
        </w:rPr>
      </w:pPr>
    </w:p>
    <w:p>
      <w:pPr>
        <w:ind w:left="1560" w:right="1659"/>
        <w:spacing w:after="0" w:line="249" w:lineRule="auto"/>
        <w:rPr>
          <w:sz w:val="20"/>
          <w:szCs w:val="20"/>
          <w:color w:val="auto"/>
        </w:rPr>
      </w:pPr>
      <w:r>
        <w:rPr>
          <w:rFonts w:ascii="Arial" w:cs="Arial" w:eastAsia="Arial" w:hAnsi="Arial"/>
          <w:sz w:val="12"/>
          <w:szCs w:val="12"/>
          <w:color w:val="auto"/>
        </w:rPr>
        <w:t>The expected use of net proceeds from this offering represents our intentions based on our current plans and business conditions, which we could change in our discretion in the future as our plans and business conditions evolve. Due to the many variables inherent to the development of our product candidates at this time, such as the timing of patient enrollment and evolving regulatory requirements, we cannot currently predict the stage of development we expect to achieve for our product candidates with the net proceeds of this offering. The amounts and timing of our actual expenditures may vary significantly depending on numerous factors, including the progress of our development, such as any collaborations or licensing agreements we may enter into with third parties for any additional product candidates or technologies we may in-license, the status of and results from the preclinical studies and clinical trials of our product candidates, and our operating costs and expenditures. As a result, our management will have broad discretion over the use of the net proceeds from this offering and may change the allocation of use of these proceeds among the uses described above. An investor will not have the opportunity to evaluate the economic, financial or other information on which we base our decisions on how to use the proceeds.</w:t>
      </w:r>
    </w:p>
    <w:p>
      <w:pPr>
        <w:spacing w:after="0" w:line="53" w:lineRule="exact"/>
        <w:rPr>
          <w:sz w:val="20"/>
          <w:szCs w:val="20"/>
          <w:color w:val="auto"/>
        </w:rPr>
      </w:pPr>
    </w:p>
    <w:p>
      <w:pPr>
        <w:ind w:left="1560" w:right="1899"/>
        <w:spacing w:after="0" w:line="263" w:lineRule="auto"/>
        <w:rPr>
          <w:sz w:val="20"/>
          <w:szCs w:val="20"/>
          <w:color w:val="auto"/>
        </w:rPr>
      </w:pPr>
      <w:r>
        <w:rPr>
          <w:rFonts w:ascii="Arial" w:cs="Arial" w:eastAsia="Arial" w:hAnsi="Arial"/>
          <w:sz w:val="12"/>
          <w:szCs w:val="12"/>
          <w:color w:val="auto"/>
        </w:rPr>
        <w:t>The expected net proceeds of this offering will not be sufficient for us to fund all our product candidates through regulatory approval, and we will need to raise substantial additional capital to complete the development and commercialization of our product candidates.</w:t>
      </w:r>
    </w:p>
    <w:p>
      <w:pPr>
        <w:spacing w:after="0" w:line="39" w:lineRule="exact"/>
        <w:rPr>
          <w:sz w:val="20"/>
          <w:szCs w:val="20"/>
          <w:color w:val="auto"/>
        </w:rPr>
      </w:pPr>
    </w:p>
    <w:p>
      <w:pPr>
        <w:ind w:left="1560" w:right="1639"/>
        <w:spacing w:after="0" w:line="259" w:lineRule="auto"/>
        <w:rPr>
          <w:sz w:val="20"/>
          <w:szCs w:val="20"/>
          <w:color w:val="auto"/>
        </w:rPr>
      </w:pPr>
      <w:r>
        <w:rPr>
          <w:rFonts w:ascii="Arial" w:cs="Arial" w:eastAsia="Arial" w:hAnsi="Arial"/>
          <w:sz w:val="12"/>
          <w:szCs w:val="12"/>
          <w:color w:val="auto"/>
        </w:rPr>
        <w:t>Pending the uses described above, we intend to invest the net proceeds from this offering in short term, investment-grade, interest-bearing securities such as money market funds, certificates of deposit, corporate bonds and commercial paper, and obligations of the U.S. government, including guaranteed obligations of the U.S. government, including treasuries and government-sponsored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6" w:name="page97"/>
    <w:bookmarkEnd w:id="96"/>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DIVIDEND POLICY</w:t>
      </w:r>
    </w:p>
    <w:p>
      <w:pPr>
        <w:spacing w:after="0" w:line="253"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We have never declared or paid dividends on our ordinary shares. We currently expect to retain all future earnings for use in the operation and expansion of our business and do not anticipate paying cash dividends in the foreseeable future. The declaration, amount and payment of any dividends in the future will be determined by our board of directors, in its discretion, and will depend on a number of factors, including our earnings, capital requirements, overall financial condition and contractual, legal, tax and regulatory restrictions. If we elect to pay such dividends in the future, we may reduce or discontinue entirely the payment of such dividends at any time. If we pay any dividends, ADS holders will generally have the right to receive the dividends paid on the underlying ordinary shares, subject to the terms of the deposit agreement, including the fees and expenses payable thereunder. See the section titled “Description of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7" w:name="page98"/>
    <w:bookmarkEnd w:id="97"/>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CAPITALIZATION</w:t>
      </w:r>
    </w:p>
    <w:p>
      <w:pPr>
        <w:spacing w:after="0" w:line="253" w:lineRule="exact"/>
        <w:rPr>
          <w:sz w:val="20"/>
          <w:szCs w:val="20"/>
          <w:color w:val="auto"/>
        </w:rPr>
      </w:pPr>
    </w:p>
    <w:p>
      <w:pPr>
        <w:ind w:left="1560" w:right="1699"/>
        <w:spacing w:after="0" w:line="308" w:lineRule="auto"/>
        <w:rPr>
          <w:sz w:val="20"/>
          <w:szCs w:val="20"/>
          <w:color w:val="auto"/>
        </w:rPr>
      </w:pPr>
      <w:r>
        <w:rPr>
          <w:rFonts w:ascii="Arial" w:cs="Arial" w:eastAsia="Arial" w:hAnsi="Arial"/>
          <w:sz w:val="12"/>
          <w:szCs w:val="12"/>
          <w:color w:val="auto"/>
        </w:rPr>
        <w:t>The following table sets forth our cash, cash equivalents and short-term investments and our capitalization as of September 30, 2022:</w:t>
      </w:r>
    </w:p>
    <w:p>
      <w:pPr>
        <w:spacing w:after="0" w:line="33" w:lineRule="exact"/>
        <w:rPr>
          <w:sz w:val="20"/>
          <w:szCs w:val="20"/>
          <w:color w:val="auto"/>
        </w:rPr>
      </w:pPr>
    </w:p>
    <w:p>
      <w:pPr>
        <w:ind w:left="1980" w:hanging="157"/>
        <w:spacing w:after="0"/>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84" w:lineRule="exact"/>
        <w:rPr>
          <w:rFonts w:ascii="Arial" w:cs="Arial" w:eastAsia="Arial" w:hAnsi="Arial"/>
          <w:sz w:val="12"/>
          <w:szCs w:val="12"/>
          <w:color w:val="auto"/>
        </w:rPr>
      </w:pPr>
    </w:p>
    <w:p>
      <w:pPr>
        <w:ind w:left="1980" w:right="1639" w:hanging="157"/>
        <w:spacing w:after="0" w:line="282" w:lineRule="auto"/>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on a pro forma basis to give effect to (i) automatic conversion of all our outstanding preferred shares into an aggregate of 67,018,087 ordinary shares upon the closing of this offering and (ii) the effectiveness of our amended and restated memorandum and articles of association immediately upon the closing of this offering; and</w:t>
      </w:r>
    </w:p>
    <w:p>
      <w:pPr>
        <w:spacing w:after="0" w:line="37" w:lineRule="exact"/>
        <w:rPr>
          <w:rFonts w:ascii="Arial" w:cs="Arial" w:eastAsia="Arial" w:hAnsi="Arial"/>
          <w:sz w:val="12"/>
          <w:szCs w:val="12"/>
          <w:color w:val="auto"/>
        </w:rPr>
      </w:pPr>
    </w:p>
    <w:p>
      <w:pPr>
        <w:ind w:left="1980" w:right="1599" w:hanging="157"/>
        <w:spacing w:after="0" w:line="282" w:lineRule="auto"/>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on a pro forma as adjusted basis to give further effect to the issuance and sale of 32,220,000 ordinary shares represented by ADSs by us in this offering at the inital public offering price of  $15.00 per ADS, after deducting the underwriting discounts and commissions and estimated offering expenses payable by us.</w:t>
      </w:r>
    </w:p>
    <w:p>
      <w:pPr>
        <w:spacing w:after="0" w:line="67" w:lineRule="exact"/>
        <w:rPr>
          <w:sz w:val="20"/>
          <w:szCs w:val="20"/>
          <w:color w:val="auto"/>
        </w:rPr>
      </w:pPr>
    </w:p>
    <w:p>
      <w:pPr>
        <w:jc w:val="both"/>
        <w:ind w:left="1560" w:right="1779"/>
        <w:spacing w:after="0" w:line="305" w:lineRule="auto"/>
        <w:rPr>
          <w:sz w:val="20"/>
          <w:szCs w:val="20"/>
          <w:color w:val="auto"/>
        </w:rPr>
      </w:pPr>
      <w:r>
        <w:rPr>
          <w:rFonts w:ascii="Arial" w:cs="Arial" w:eastAsia="Arial" w:hAnsi="Arial"/>
          <w:sz w:val="12"/>
          <w:szCs w:val="12"/>
          <w:color w:val="auto"/>
        </w:rPr>
        <w:t>You should read this information in conjunction with our consolidated financial statements and the related notes included elsewhere in this prospectus, as well as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62865</wp:posOffset>
            </wp:positionV>
            <wp:extent cx="420560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05605" cy="6350"/>
                    </a:xfrm>
                    <a:prstGeom prst="rect">
                      <a:avLst/>
                    </a:prstGeom>
                    <a:noFill/>
                  </pic:spPr>
                </pic:pic>
              </a:graphicData>
            </a:graphic>
          </wp:anchor>
        </w:drawing>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9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9"/>
          </w:tcPr>
          <w:p>
            <w:pPr>
              <w:ind w:left="20"/>
              <w:spacing w:after="0"/>
              <w:rPr>
                <w:sz w:val="20"/>
                <w:szCs w:val="20"/>
                <w:color w:val="auto"/>
              </w:rPr>
            </w:pPr>
            <w:r>
              <w:rPr>
                <w:rFonts w:ascii="Arial" w:cs="Arial" w:eastAsia="Arial" w:hAnsi="Arial"/>
                <w:sz w:val="10"/>
                <w:szCs w:val="10"/>
                <w:b w:val="1"/>
                <w:bCs w:val="1"/>
                <w:color w:val="auto"/>
              </w:rPr>
              <w:t>AS OF SEPTEMBER 30, 2022</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jc w:val="right"/>
              <w:ind w:right="68"/>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right"/>
              <w:ind w:right="39"/>
              <w:spacing w:after="0"/>
              <w:rPr>
                <w:sz w:val="20"/>
                <w:szCs w:val="20"/>
                <w:color w:val="auto"/>
              </w:rPr>
            </w:pPr>
            <w:r>
              <w:rPr>
                <w:rFonts w:ascii="Arial" w:cs="Arial" w:eastAsia="Arial" w:hAnsi="Arial"/>
                <w:sz w:val="10"/>
                <w:szCs w:val="10"/>
                <w:b w:val="1"/>
                <w:bCs w:val="1"/>
                <w:color w:val="auto"/>
              </w:rPr>
              <w:t>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ACTUAL</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 ​</w:t>
            </w: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PRO FORMA</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 ​</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ADJUSTED</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jc w:val="right"/>
              <w:ind w:right="68"/>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89"/>
        </w:trPr>
        <w:tc>
          <w:tcPr>
            <w:tcW w:w="900" w:type="dxa"/>
            <w:vAlign w:val="bottom"/>
          </w:tcPr>
          <w:p>
            <w:pPr>
              <w:spacing w:after="0"/>
              <w:rPr>
                <w:sz w:val="7"/>
                <w:szCs w:val="7"/>
                <w:color w:val="auto"/>
              </w:rPr>
            </w:pPr>
          </w:p>
        </w:tc>
        <w:tc>
          <w:tcPr>
            <w:tcW w:w="3220" w:type="dxa"/>
            <w:vAlign w:val="bottom"/>
          </w:tcPr>
          <w:p>
            <w:pPr>
              <w:spacing w:after="0" w:line="90" w:lineRule="exact"/>
              <w:rPr>
                <w:sz w:val="20"/>
                <w:szCs w:val="20"/>
                <w:color w:val="auto"/>
              </w:rPr>
            </w:pPr>
            <w:r>
              <w:rPr>
                <w:rFonts w:ascii="Arial" w:cs="Arial" w:eastAsia="Arial" w:hAnsi="Arial"/>
                <w:sz w:val="10"/>
                <w:szCs w:val="10"/>
                <w:b w:val="1"/>
                <w:bCs w:val="1"/>
                <w:color w:val="auto"/>
              </w:rPr>
              <w:t>​</w:t>
            </w:r>
          </w:p>
        </w:tc>
        <w:tc>
          <w:tcPr>
            <w:tcW w:w="3400" w:type="dxa"/>
            <w:vAlign w:val="bottom"/>
            <w:gridSpan w:val="19"/>
          </w:tcPr>
          <w:p>
            <w:pPr>
              <w:spacing w:after="0" w:line="90" w:lineRule="exact"/>
              <w:rPr>
                <w:sz w:val="20"/>
                <w:szCs w:val="20"/>
                <w:color w:val="auto"/>
              </w:rPr>
            </w:pPr>
            <w:r>
              <w:rPr>
                <w:rFonts w:ascii="Arial" w:cs="Arial" w:eastAsia="Arial" w:hAnsi="Arial"/>
                <w:sz w:val="10"/>
                <w:szCs w:val="10"/>
                <w:b w:val="1"/>
                <w:bCs w:val="1"/>
                <w:color w:val="auto"/>
              </w:rPr>
              <w:t>​(IN THOUSANDS, EXCEPT SHARE AND PER SHARE AMOUNTS)​</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102,751</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 ​ ​</w:t>
            </w:r>
          </w:p>
        </w:tc>
        <w:tc>
          <w:tcPr>
            <w:tcW w:w="160" w:type="dxa"/>
            <w:vAlign w:val="bottom"/>
            <w:gridSpan w:val="2"/>
          </w:tcPr>
          <w:p>
            <w:pPr>
              <w:ind w:left="40"/>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102,751</w:t>
            </w: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tcPr>
          <w:p>
            <w:pPr>
              <w:ind w:left="60"/>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249,757</w:t>
            </w:r>
          </w:p>
        </w:tc>
        <w:tc>
          <w:tcPr>
            <w:tcW w:w="80" w:type="dxa"/>
            <w:vAlign w:val="bottom"/>
          </w:tcPr>
          <w:p>
            <w:pPr>
              <w:spacing w:after="0"/>
              <w:rPr>
                <w:sz w:val="14"/>
                <w:szCs w:val="14"/>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2"/>
                <w:szCs w:val="12"/>
                <w:color w:val="auto"/>
              </w:rPr>
              <w:t>Redeemable noncontrolling interests:</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260" w:type="dxa"/>
            <w:vAlign w:val="bottom"/>
            <w:vMerge w:val="restart"/>
          </w:tcPr>
          <w:p>
            <w:pPr>
              <w:jc w:val="right"/>
              <w:ind w:right="1"/>
              <w:spacing w:after="0"/>
              <w:rPr>
                <w:sz w:val="20"/>
                <w:szCs w:val="20"/>
                <w:color w:val="auto"/>
              </w:rPr>
            </w:pPr>
            <w:r>
              <w:rPr>
                <w:rFonts w:ascii="Arial" w:cs="Arial" w:eastAsia="Arial" w:hAnsi="Arial"/>
                <w:sz w:val="12"/>
                <w:szCs w:val="12"/>
                <w:color w:val="auto"/>
              </w:rPr>
              <w:t>​ ​ ​</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 ​ ​</w:t>
            </w:r>
          </w:p>
        </w:tc>
        <w:tc>
          <w:tcPr>
            <w:tcW w:w="1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25"/>
        </w:trPr>
        <w:tc>
          <w:tcPr>
            <w:tcW w:w="900" w:type="dxa"/>
            <w:vAlign w:val="bottom"/>
          </w:tcPr>
          <w:p>
            <w:pPr>
              <w:spacing w:after="0"/>
              <w:rPr>
                <w:sz w:val="10"/>
                <w:szCs w:val="10"/>
                <w:color w:val="auto"/>
              </w:rPr>
            </w:pPr>
          </w:p>
        </w:tc>
        <w:tc>
          <w:tcPr>
            <w:tcW w:w="32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w:t>
            </w:r>
          </w:p>
        </w:tc>
        <w:tc>
          <w:tcPr>
            <w:tcW w:w="4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60" w:type="dxa"/>
            <w:vAlign w:val="bottom"/>
            <w:gridSpan w:val="2"/>
          </w:tcPr>
          <w:p>
            <w:pPr>
              <w:ind w:left="4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220" w:type="dxa"/>
            <w:vAlign w:val="bottom"/>
          </w:tcPr>
          <w:p>
            <w:pPr>
              <w:ind w:left="120"/>
              <w:spacing w:after="0"/>
              <w:rPr>
                <w:sz w:val="20"/>
                <w:szCs w:val="20"/>
                <w:color w:val="auto"/>
              </w:rPr>
            </w:pPr>
            <w:r>
              <w:rPr>
                <w:rFonts w:ascii="Arial" w:cs="Arial" w:eastAsia="Arial" w:hAnsi="Arial"/>
                <w:sz w:val="12"/>
                <w:szCs w:val="12"/>
                <w:color w:val="auto"/>
              </w:rPr>
              <w:t>Series A preferred shares, $0.0001 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19,200,000 shares authorized, 19,200,000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issued and outstanding, actual, and no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authorized or outstanding, pro forma and pro forma as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adjusted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32,001</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 ​ ​</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w w:val="99"/>
              </w:rPr>
              <w:t>​ $</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220" w:type="dxa"/>
            <w:vAlign w:val="bottom"/>
          </w:tcPr>
          <w:p>
            <w:pPr>
              <w:ind w:left="120"/>
              <w:spacing w:after="0"/>
              <w:rPr>
                <w:sz w:val="20"/>
                <w:szCs w:val="20"/>
                <w:color w:val="auto"/>
              </w:rPr>
            </w:pPr>
            <w:r>
              <w:rPr>
                <w:rFonts w:ascii="Arial" w:cs="Arial" w:eastAsia="Arial" w:hAnsi="Arial"/>
                <w:sz w:val="12"/>
                <w:szCs w:val="12"/>
                <w:color w:val="auto"/>
              </w:rPr>
              <w:t>Series A+ preferred shares, $0.0001 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12,799,681 shares authorized, 12,799,681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issued and outstanding, actual, and no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authorized or outstanding, pro forma and pro forma as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adjusted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 ​ ​</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220" w:type="dxa"/>
            <w:vAlign w:val="bottom"/>
          </w:tcPr>
          <w:p>
            <w:pPr>
              <w:ind w:left="120"/>
              <w:spacing w:after="0"/>
              <w:rPr>
                <w:sz w:val="20"/>
                <w:szCs w:val="20"/>
                <w:color w:val="auto"/>
              </w:rPr>
            </w:pPr>
            <w:r>
              <w:rPr>
                <w:rFonts w:ascii="Arial" w:cs="Arial" w:eastAsia="Arial" w:hAnsi="Arial"/>
                <w:sz w:val="12"/>
                <w:szCs w:val="12"/>
                <w:color w:val="auto"/>
              </w:rPr>
              <w:t>Series B preferred shares, $0.0001 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32,857,004 shares authorized, 32,857,004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issued and outstanding, actual, and no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authorized or outstanding, pro forma and pro forma as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adjusted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133,015</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 ​ ​</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220" w:type="dxa"/>
            <w:vAlign w:val="bottom"/>
          </w:tcPr>
          <w:p>
            <w:pPr>
              <w:ind w:left="120"/>
              <w:spacing w:after="0"/>
              <w:rPr>
                <w:sz w:val="20"/>
                <w:szCs w:val="20"/>
                <w:color w:val="auto"/>
              </w:rPr>
            </w:pPr>
            <w:r>
              <w:rPr>
                <w:rFonts w:ascii="Arial" w:cs="Arial" w:eastAsia="Arial" w:hAnsi="Arial"/>
                <w:sz w:val="12"/>
                <w:szCs w:val="12"/>
                <w:color w:val="auto"/>
              </w:rPr>
              <w:t>Series B-1 preferred shares, $0.0001 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2,161,402 shares authorized, 2,161,402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issued and outstanding, actual, and no 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authorized or outstanding, pro forma and pro forma as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adjusted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8,959</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 ​ ​</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2"/>
                <w:szCs w:val="12"/>
                <w:color w:val="auto"/>
              </w:rPr>
              <w:t>Shareholders’ equity (deficit):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 ​ ​</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220" w:type="dxa"/>
            <w:vAlign w:val="bottom"/>
          </w:tcPr>
          <w:p>
            <w:pPr>
              <w:ind w:left="120"/>
              <w:spacing w:after="0"/>
              <w:rPr>
                <w:sz w:val="20"/>
                <w:szCs w:val="20"/>
                <w:color w:val="auto"/>
              </w:rPr>
            </w:pPr>
            <w:r>
              <w:rPr>
                <w:rFonts w:ascii="Arial" w:cs="Arial" w:eastAsia="Arial" w:hAnsi="Arial"/>
                <w:sz w:val="12"/>
                <w:szCs w:val="12"/>
                <w:color w:val="auto"/>
              </w:rPr>
              <w:t>Undesignated shares, $0.0001 par value; no 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authorized, issued or outstanding, actual;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100,000,000 shares authorized, no shares issued 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3220" w:type="dxa"/>
            <w:vAlign w:val="bottom"/>
          </w:tcPr>
          <w:p>
            <w:pPr>
              <w:ind w:left="240"/>
              <w:spacing w:after="0"/>
              <w:rPr>
                <w:sz w:val="20"/>
                <w:szCs w:val="20"/>
                <w:color w:val="auto"/>
              </w:rPr>
            </w:pPr>
            <w:r>
              <w:rPr>
                <w:rFonts w:ascii="Arial" w:cs="Arial" w:eastAsia="Arial" w:hAnsi="Arial"/>
                <w:sz w:val="12"/>
                <w:szCs w:val="12"/>
                <w:color w:val="auto"/>
              </w:rPr>
              <w:t>outstanding, pro forma and pro forma as adjusted</w:t>
            </w:r>
          </w:p>
        </w:tc>
        <w:tc>
          <w:tcPr>
            <w:tcW w:w="220" w:type="dxa"/>
            <w:vAlign w:val="bottom"/>
            <w:gridSpan w:val="3"/>
            <w:vMerge w:val="restart"/>
          </w:tcPr>
          <w:p>
            <w:pPr>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gridSpan w:val="3"/>
            <w:vMerge w:val="restart"/>
          </w:tcPr>
          <w:p>
            <w:pPr>
              <w:ind w:left="40"/>
              <w:spacing w:after="0"/>
              <w:rPr>
                <w:sz w:val="20"/>
                <w:szCs w:val="20"/>
                <w:color w:val="auto"/>
              </w:rPr>
            </w:pPr>
            <w:r>
              <w:rPr>
                <w:rFonts w:ascii="Arial" w:cs="Arial" w:eastAsia="Arial" w:hAnsi="Arial"/>
                <w:sz w:val="12"/>
                <w:szCs w:val="12"/>
                <w:color w:val="auto"/>
              </w:rPr>
              <w:t>​ ​ ​  ​</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 ​ ​</w:t>
            </w:r>
          </w:p>
        </w:tc>
        <w:tc>
          <w:tcPr>
            <w:tcW w:w="22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2"/>
        </w:trPr>
        <w:tc>
          <w:tcPr>
            <w:tcW w:w="900" w:type="dxa"/>
            <w:vAlign w:val="bottom"/>
          </w:tcPr>
          <w:p>
            <w:pPr>
              <w:spacing w:after="0"/>
              <w:rPr>
                <w:sz w:val="24"/>
                <w:szCs w:val="24"/>
                <w:color w:val="auto"/>
              </w:rPr>
            </w:pPr>
          </w:p>
        </w:tc>
        <w:tc>
          <w:tcPr>
            <w:tcW w:w="3220" w:type="dxa"/>
            <w:vAlign w:val="bottom"/>
            <w:tcBorders>
              <w:top w:val="single" w:sz="8" w:color="auto"/>
            </w:tcBorders>
          </w:tcPr>
          <w:p>
            <w:pPr>
              <w:ind w:left="2860"/>
              <w:spacing w:after="0"/>
              <w:rPr>
                <w:sz w:val="20"/>
                <w:szCs w:val="20"/>
                <w:color w:val="auto"/>
              </w:rPr>
            </w:pPr>
            <w:r>
              <w:rPr>
                <w:rFonts w:ascii="Arial" w:cs="Arial" w:eastAsia="Arial" w:hAnsi="Arial"/>
                <w:sz w:val="12"/>
                <w:szCs w:val="12"/>
                <w:color w:val="auto"/>
              </w:rPr>
              <w:t>96</w:t>
            </w: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-3419475</wp:posOffset>
            </wp:positionV>
            <wp:extent cx="4205605" cy="1041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05605" cy="1041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-3216910</wp:posOffset>
            </wp:positionV>
            <wp:extent cx="4205605" cy="4914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05605" cy="49149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-2233930</wp:posOffset>
            </wp:positionV>
            <wp:extent cx="4205605" cy="4914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05605" cy="49149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-1251585</wp:posOffset>
            </wp:positionV>
            <wp:extent cx="4205605"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05605" cy="8572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-3498850</wp:posOffset>
            </wp:positionV>
            <wp:extent cx="9842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-3498850</wp:posOffset>
            </wp:positionV>
            <wp:extent cx="9842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-24130</wp:posOffset>
            </wp:positionV>
            <wp:extent cx="3175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-24130</wp:posOffset>
            </wp:positionV>
            <wp:extent cx="3175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8" w:name="page99"/>
    <w:bookmarkEnd w:id="98"/>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383540</wp:posOffset>
            </wp:positionV>
            <wp:extent cx="37572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572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560" w:type="dxa"/>
        <w:tblCellMar>
          <w:top w:w="0" w:type="dxa"/>
          <w:left w:w="0" w:type="dxa"/>
          <w:bottom w:w="0" w:type="dxa"/>
          <w:right w:w="0" w:type="dxa"/>
        </w:tblCellMar>
      </w:tblPr>
      <w:tr>
        <w:trPr>
          <w:trHeight w:val="132"/>
        </w:trPr>
        <w:tc>
          <w:tcPr>
            <w:tcW w:w="3100" w:type="dxa"/>
            <w:vAlign w:val="bottom"/>
          </w:tcPr>
          <w:p>
            <w:pPr>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w:t>
            </w:r>
          </w:p>
        </w:tc>
        <w:tc>
          <w:tcPr>
            <w:tcW w:w="1940" w:type="dxa"/>
            <w:vAlign w:val="bottom"/>
            <w:tcBorders>
              <w:bottom w:val="single" w:sz="8" w:color="auto"/>
            </w:tcBorders>
            <w:gridSpan w:val="8"/>
          </w:tcPr>
          <w:p>
            <w:pPr>
              <w:jc w:val="center"/>
              <w:ind w:left="301"/>
              <w:spacing w:after="0"/>
              <w:rPr>
                <w:sz w:val="20"/>
                <w:szCs w:val="20"/>
                <w:color w:val="auto"/>
              </w:rPr>
            </w:pPr>
            <w:r>
              <w:rPr>
                <w:rFonts w:ascii="Arial" w:cs="Arial" w:eastAsia="Arial" w:hAnsi="Arial"/>
                <w:sz w:val="10"/>
                <w:szCs w:val="10"/>
                <w:b w:val="1"/>
                <w:bCs w:val="1"/>
                <w:color w:val="auto"/>
              </w:rPr>
              <w:t>AS OF SEPTEMBER 30, 2022</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PRO FORMA</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20"/>
                <w:szCs w:val="20"/>
                <w:color w:val="auto"/>
              </w:rPr>
            </w:pPr>
            <w:r>
              <w:rPr>
                <w:rFonts w:ascii="Arial" w:cs="Arial" w:eastAsia="Arial" w:hAnsi="Arial"/>
                <w:sz w:val="10"/>
                <w:szCs w:val="10"/>
                <w:b w:val="1"/>
                <w:bCs w:val="1"/>
                <w:color w:val="auto"/>
              </w:rPr>
              <w:t>​</w:t>
            </w:r>
          </w:p>
        </w:tc>
        <w:tc>
          <w:tcPr>
            <w:tcW w:w="700" w:type="dxa"/>
            <w:vAlign w:val="bottom"/>
            <w:gridSpan w:val="3"/>
          </w:tcPr>
          <w:p>
            <w:pPr>
              <w:spacing w:after="0"/>
              <w:rPr>
                <w:sz w:val="20"/>
                <w:szCs w:val="20"/>
                <w:color w:val="auto"/>
              </w:rPr>
            </w:pPr>
            <w:r>
              <w:rPr>
                <w:rFonts w:ascii="Arial" w:cs="Arial" w:eastAsia="Arial" w:hAnsi="Arial"/>
                <w:sz w:val="10"/>
                <w:szCs w:val="10"/>
                <w:b w:val="1"/>
                <w:bCs w:val="1"/>
                <w:color w:val="auto"/>
              </w:rPr>
              <w:t>​   ACTUAL</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700" w:type="dxa"/>
            <w:vAlign w:val="bottom"/>
            <w:gridSpan w:val="3"/>
          </w:tcPr>
          <w:p>
            <w:pPr>
              <w:ind w:left="40"/>
              <w:spacing w:after="0"/>
              <w:rPr>
                <w:sz w:val="20"/>
                <w:szCs w:val="20"/>
                <w:color w:val="auto"/>
              </w:rPr>
            </w:pPr>
            <w:r>
              <w:rPr>
                <w:rFonts w:ascii="Arial" w:cs="Arial" w:eastAsia="Arial" w:hAnsi="Arial"/>
                <w:sz w:val="10"/>
                <w:szCs w:val="10"/>
                <w:b w:val="1"/>
                <w:bCs w:val="1"/>
                <w:color w:val="auto"/>
              </w:rPr>
              <w:t>PRO FORMA</w:t>
            </w:r>
          </w:p>
        </w:tc>
        <w:tc>
          <w:tcPr>
            <w:tcW w:w="1180" w:type="dxa"/>
            <w:vAlign w:val="bottom"/>
            <w:gridSpan w:val="6"/>
          </w:tcPr>
          <w:p>
            <w:pPr>
              <w:jc w:val="right"/>
              <w:spacing w:after="0"/>
              <w:rPr>
                <w:sz w:val="20"/>
                <w:szCs w:val="20"/>
                <w:color w:val="auto"/>
              </w:rPr>
            </w:pPr>
            <w:r>
              <w:rPr>
                <w:rFonts w:ascii="Arial" w:cs="Arial" w:eastAsia="Arial" w:hAnsi="Arial"/>
                <w:sz w:val="10"/>
                <w:szCs w:val="10"/>
                <w:b w:val="1"/>
                <w:bCs w:val="1"/>
                <w:color w:val="auto"/>
              </w:rPr>
              <w:t>​ ​ AS ADJUSTED ​</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2820" w:type="dxa"/>
            <w:vAlign w:val="bottom"/>
            <w:tcBorders>
              <w:top w:val="single" w:sz="8" w:color="auto"/>
            </w:tcBorders>
            <w:gridSpan w:val="12"/>
          </w:tcPr>
          <w:p>
            <w:pPr>
              <w:jc w:val="center"/>
              <w:ind w:right="20"/>
              <w:spacing w:after="0"/>
              <w:rPr>
                <w:sz w:val="20"/>
                <w:szCs w:val="20"/>
                <w:color w:val="auto"/>
              </w:rPr>
            </w:pPr>
            <w:r>
              <w:rPr>
                <w:rFonts w:ascii="Arial" w:cs="Arial" w:eastAsia="Arial" w:hAnsi="Arial"/>
                <w:sz w:val="10"/>
                <w:szCs w:val="10"/>
                <w:b w:val="1"/>
                <w:bCs w:val="1"/>
                <w:color w:val="auto"/>
              </w:rPr>
              <w:t>(IN THOUSANDS, EXCEPT SHARE AND PER SHARE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20"/>
                <w:szCs w:val="20"/>
                <w:color w:val="auto"/>
              </w:rPr>
            </w:pPr>
            <w:r>
              <w:rPr>
                <w:rFonts w:ascii="Arial" w:cs="Arial" w:eastAsia="Arial" w:hAnsi="Arial"/>
                <w:sz w:val="10"/>
                <w:szCs w:val="10"/>
                <w:b w:val="1"/>
                <w:bCs w:val="1"/>
                <w:color w:val="auto"/>
              </w:rPr>
              <w:t>​</w:t>
            </w:r>
          </w:p>
        </w:tc>
        <w:tc>
          <w:tcPr>
            <w:tcW w:w="26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rPr>
              <w:t>AMOUNTS)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rPr>
                <w:sz w:val="20"/>
                <w:szCs w:val="20"/>
                <w:color w:val="auto"/>
              </w:rPr>
            </w:pPr>
            <w:r>
              <w:rPr>
                <w:rFonts w:ascii="Arial" w:cs="Arial" w:eastAsia="Arial" w:hAnsi="Arial"/>
                <w:sz w:val="12"/>
                <w:szCs w:val="12"/>
                <w:color w:val="auto"/>
              </w:rPr>
              <w:t>Ordinary shares, $0.0001 par value; 432,981,913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40"/>
              <w:spacing w:after="0"/>
              <w:rPr>
                <w:sz w:val="20"/>
                <w:szCs w:val="20"/>
                <w:color w:val="auto"/>
              </w:rPr>
            </w:pPr>
            <w:r>
              <w:rPr>
                <w:rFonts w:ascii="Arial" w:cs="Arial" w:eastAsia="Arial" w:hAnsi="Arial"/>
                <w:sz w:val="12"/>
                <w:szCs w:val="12"/>
                <w:color w:val="auto"/>
              </w:rPr>
              <w:t>shares authorized, 10,526,654 shares issued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40"/>
              <w:spacing w:after="0"/>
              <w:rPr>
                <w:sz w:val="20"/>
                <w:szCs w:val="20"/>
                <w:color w:val="auto"/>
              </w:rPr>
            </w:pPr>
            <w:r>
              <w:rPr>
                <w:rFonts w:ascii="Arial" w:cs="Arial" w:eastAsia="Arial" w:hAnsi="Arial"/>
                <w:sz w:val="12"/>
                <w:szCs w:val="12"/>
                <w:color w:val="auto"/>
              </w:rPr>
              <w:t>outstanding, actual; 500,000,000 shares authorized,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40"/>
              <w:spacing w:after="0"/>
              <w:rPr>
                <w:sz w:val="20"/>
                <w:szCs w:val="20"/>
                <w:color w:val="auto"/>
              </w:rPr>
            </w:pPr>
            <w:r>
              <w:rPr>
                <w:rFonts w:ascii="Arial" w:cs="Arial" w:eastAsia="Arial" w:hAnsi="Arial"/>
                <w:sz w:val="12"/>
                <w:szCs w:val="12"/>
                <w:color w:val="auto"/>
              </w:rPr>
              <w:t>77,544,741 shares issued and 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40"/>
              <w:spacing w:after="0"/>
              <w:rPr>
                <w:sz w:val="20"/>
                <w:szCs w:val="20"/>
                <w:color w:val="auto"/>
              </w:rPr>
            </w:pPr>
            <w:r>
              <w:rPr>
                <w:rFonts w:ascii="Arial" w:cs="Arial" w:eastAsia="Arial" w:hAnsi="Arial"/>
                <w:sz w:val="12"/>
                <w:szCs w:val="12"/>
                <w:color w:val="auto"/>
              </w:rPr>
              <w:t>pro forma; and 500,000,000 shares authorized,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40"/>
              <w:spacing w:after="0"/>
              <w:rPr>
                <w:sz w:val="20"/>
                <w:szCs w:val="20"/>
                <w:color w:val="auto"/>
              </w:rPr>
            </w:pPr>
            <w:r>
              <w:rPr>
                <w:rFonts w:ascii="Arial" w:cs="Arial" w:eastAsia="Arial" w:hAnsi="Arial"/>
                <w:sz w:val="12"/>
                <w:szCs w:val="12"/>
                <w:color w:val="auto"/>
              </w:rPr>
              <w:t>109,764,741 shares issued and 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ind w:left="240"/>
              <w:spacing w:after="0"/>
              <w:rPr>
                <w:sz w:val="20"/>
                <w:szCs w:val="20"/>
                <w:color w:val="auto"/>
              </w:rPr>
            </w:pPr>
            <w:r>
              <w:rPr>
                <w:rFonts w:ascii="Arial" w:cs="Arial" w:eastAsia="Arial" w:hAnsi="Arial"/>
                <w:sz w:val="12"/>
                <w:szCs w:val="12"/>
                <w:color w:val="auto"/>
              </w:rPr>
              <w:t>pro forma as adjusted</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440" w:type="dxa"/>
            <w:vAlign w:val="bottom"/>
          </w:tcPr>
          <w:p>
            <w:pPr>
              <w:jc w:val="right"/>
              <w:spacing w:after="0"/>
              <w:rPr>
                <w:sz w:val="20"/>
                <w:szCs w:val="20"/>
                <w:color w:val="auto"/>
              </w:rPr>
            </w:pPr>
            <w:r>
              <w:rPr>
                <w:rFonts w:ascii="Arial" w:cs="Arial" w:eastAsia="Arial" w:hAnsi="Arial"/>
                <w:sz w:val="12"/>
                <w:szCs w:val="12"/>
                <w:color w:val="auto"/>
              </w:rPr>
              <w:t>1</w:t>
            </w:r>
          </w:p>
        </w:tc>
        <w:tc>
          <w:tcPr>
            <w:tcW w:w="280" w:type="dxa"/>
            <w:vAlign w:val="bottom"/>
          </w:tcPr>
          <w:p>
            <w:pPr>
              <w:jc w:val="right"/>
              <w:spacing w:after="0"/>
              <w:rPr>
                <w:sz w:val="20"/>
                <w:szCs w:val="20"/>
                <w:color w:val="auto"/>
              </w:rPr>
            </w:pPr>
            <w:r>
              <w:rPr>
                <w:rFonts w:ascii="Arial" w:cs="Arial" w:eastAsia="Arial" w:hAnsi="Arial"/>
                <w:sz w:val="12"/>
                <w:szCs w:val="12"/>
                <w:color w:val="auto"/>
              </w:rPr>
              <w:t>​​ ​</w:t>
            </w:r>
          </w:p>
        </w:tc>
        <w:tc>
          <w:tcPr>
            <w:tcW w:w="22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480" w:type="dxa"/>
            <w:vAlign w:val="bottom"/>
          </w:tcPr>
          <w:p>
            <w:pPr>
              <w:jc w:val="right"/>
              <w:spacing w:after="0"/>
              <w:rPr>
                <w:sz w:val="20"/>
                <w:szCs w:val="20"/>
                <w:color w:val="auto"/>
              </w:rPr>
            </w:pPr>
            <w:r>
              <w:rPr>
                <w:rFonts w:ascii="Arial" w:cs="Arial" w:eastAsia="Arial" w:hAnsi="Arial"/>
                <w:sz w:val="12"/>
                <w:szCs w:val="12"/>
                <w:color w:val="auto"/>
              </w:rPr>
              <w:t>8</w:t>
            </w:r>
          </w:p>
        </w:tc>
        <w:tc>
          <w:tcPr>
            <w:tcW w:w="340" w:type="dxa"/>
            <w:vAlign w:val="bottom"/>
          </w:tcPr>
          <w:p>
            <w:pPr>
              <w:jc w:val="right"/>
              <w:ind w:right="41"/>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6" w:lineRule="exact"/>
              <w:rPr>
                <w:sz w:val="20"/>
                <w:szCs w:val="20"/>
                <w:color w:val="auto"/>
              </w:rPr>
            </w:pPr>
            <w:r>
              <w:rPr>
                <w:rFonts w:ascii="Arial" w:cs="Arial" w:eastAsia="Arial" w:hAnsi="Arial"/>
                <w:sz w:val="12"/>
                <w:szCs w:val="12"/>
                <w:color w:val="auto"/>
              </w:rPr>
              <w:t>Additional paid-in capital</w:t>
            </w:r>
          </w:p>
        </w:tc>
        <w:tc>
          <w:tcPr>
            <w:tcW w:w="260" w:type="dxa"/>
            <w:vAlign w:val="bottom"/>
            <w:gridSpan w:val="2"/>
          </w:tcPr>
          <w:p>
            <w:pPr>
              <w:spacing w:after="0" w:line="136" w:lineRule="exact"/>
              <w:rPr>
                <w:sz w:val="20"/>
                <w:szCs w:val="20"/>
                <w:color w:val="auto"/>
              </w:rPr>
            </w:pPr>
            <w:r>
              <w:rPr>
                <w:rFonts w:ascii="Arial" w:cs="Arial" w:eastAsia="Arial" w:hAnsi="Arial"/>
                <w:sz w:val="12"/>
                <w:szCs w:val="12"/>
                <w:color w:val="auto"/>
              </w:rPr>
              <w:t>​ ​ ​</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1,298</w:t>
            </w:r>
          </w:p>
        </w:tc>
        <w:tc>
          <w:tcPr>
            <w:tcW w:w="280" w:type="dxa"/>
            <w:vAlign w:val="bottom"/>
          </w:tcPr>
          <w:p>
            <w:pPr>
              <w:jc w:val="right"/>
              <w:spacing w:after="0" w:line="136" w:lineRule="exact"/>
              <w:rPr>
                <w:sz w:val="20"/>
                <w:szCs w:val="20"/>
                <w:color w:val="auto"/>
              </w:rPr>
            </w:pPr>
            <w:r>
              <w:rPr>
                <w:rFonts w:ascii="Arial" w:cs="Arial" w:eastAsia="Arial" w:hAnsi="Arial"/>
                <w:sz w:val="12"/>
                <w:szCs w:val="12"/>
                <w:color w:val="auto"/>
              </w:rPr>
              <w:t>​​ ​</w:t>
            </w:r>
          </w:p>
        </w:tc>
        <w:tc>
          <w:tcPr>
            <w:tcW w:w="22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 ​</w:t>
            </w: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201,908</w:t>
            </w:r>
          </w:p>
        </w:tc>
        <w:tc>
          <w:tcPr>
            <w:tcW w:w="340" w:type="dxa"/>
            <w:vAlign w:val="bottom"/>
          </w:tcPr>
          <w:p>
            <w:pPr>
              <w:jc w:val="right"/>
              <w:ind w:right="41"/>
              <w:spacing w:after="0" w:line="136" w:lineRule="exact"/>
              <w:rPr>
                <w:sz w:val="20"/>
                <w:szCs w:val="20"/>
                <w:color w:val="auto"/>
              </w:rPr>
            </w:pPr>
            <w:r>
              <w:rPr>
                <w:rFonts w:ascii="Arial" w:cs="Arial" w:eastAsia="Arial" w:hAnsi="Arial"/>
                <w:sz w:val="12"/>
                <w:szCs w:val="12"/>
                <w:color w:val="auto"/>
              </w:rPr>
              <w:t>​​ ​</w:t>
            </w:r>
          </w:p>
        </w:tc>
        <w:tc>
          <w:tcPr>
            <w:tcW w:w="8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346,678</w:t>
            </w:r>
          </w:p>
        </w:tc>
        <w:tc>
          <w:tcPr>
            <w:tcW w:w="120" w:type="dxa"/>
            <w:vAlign w:val="bottom"/>
          </w:tcPr>
          <w:p>
            <w:pPr>
              <w:spacing w:after="0"/>
              <w:rPr>
                <w:sz w:val="11"/>
                <w:szCs w:val="11"/>
                <w:color w:val="auto"/>
              </w:rPr>
            </w:pPr>
          </w:p>
        </w:tc>
        <w:tc>
          <w:tcPr>
            <w:tcW w:w="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6" w:lineRule="exact"/>
              <w:rPr>
                <w:sz w:val="20"/>
                <w:szCs w:val="20"/>
                <w:color w:val="auto"/>
              </w:rPr>
            </w:pPr>
            <w:r>
              <w:rPr>
                <w:rFonts w:ascii="Arial" w:cs="Arial" w:eastAsia="Arial" w:hAnsi="Arial"/>
                <w:sz w:val="12"/>
                <w:szCs w:val="12"/>
                <w:color w:val="auto"/>
              </w:rPr>
              <w:t>Accumulated other comprehensive income</w:t>
            </w:r>
          </w:p>
        </w:tc>
        <w:tc>
          <w:tcPr>
            <w:tcW w:w="260" w:type="dxa"/>
            <w:vAlign w:val="bottom"/>
            <w:gridSpan w:val="2"/>
          </w:tcPr>
          <w:p>
            <w:pPr>
              <w:spacing w:after="0" w:line="136" w:lineRule="exact"/>
              <w:rPr>
                <w:sz w:val="20"/>
                <w:szCs w:val="20"/>
                <w:color w:val="auto"/>
              </w:rPr>
            </w:pPr>
            <w:r>
              <w:rPr>
                <w:rFonts w:ascii="Arial" w:cs="Arial" w:eastAsia="Arial" w:hAnsi="Arial"/>
                <w:sz w:val="12"/>
                <w:szCs w:val="12"/>
                <w:color w:val="auto"/>
              </w:rPr>
              <w:t>​ ​ ​</w:t>
            </w:r>
          </w:p>
        </w:tc>
        <w:tc>
          <w:tcPr>
            <w:tcW w:w="7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(135) ​​ ​</w:t>
            </w:r>
          </w:p>
        </w:tc>
        <w:tc>
          <w:tcPr>
            <w:tcW w:w="22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 ​</w:t>
            </w:r>
          </w:p>
        </w:tc>
        <w:tc>
          <w:tcPr>
            <w:tcW w:w="82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(135) ​​ ​</w:t>
            </w:r>
          </w:p>
        </w:tc>
        <w:tc>
          <w:tcPr>
            <w:tcW w:w="8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(135) ​​</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20"/>
                <w:szCs w:val="20"/>
                <w:color w:val="auto"/>
              </w:rPr>
            </w:pPr>
            <w:r>
              <w:rPr>
                <w:rFonts w:ascii="Arial" w:cs="Arial" w:eastAsia="Arial" w:hAnsi="Arial"/>
                <w:sz w:val="12"/>
                <w:szCs w:val="12"/>
                <w:color w:val="auto"/>
              </w:rPr>
              <w:t>Accumulated deficit</w:t>
            </w:r>
          </w:p>
        </w:tc>
        <w:tc>
          <w:tcPr>
            <w:tcW w:w="980" w:type="dxa"/>
            <w:vAlign w:val="bottom"/>
            <w:gridSpan w:val="4"/>
          </w:tcPr>
          <w:p>
            <w:pPr>
              <w:spacing w:after="0"/>
              <w:rPr>
                <w:sz w:val="20"/>
                <w:szCs w:val="20"/>
                <w:color w:val="auto"/>
              </w:rPr>
            </w:pPr>
            <w:r>
              <w:rPr>
                <w:rFonts w:ascii="Arial" w:cs="Arial" w:eastAsia="Arial" w:hAnsi="Arial"/>
                <w:sz w:val="12"/>
                <w:szCs w:val="12"/>
                <w:color w:val="auto"/>
              </w:rPr>
              <w:t>​ ​ ​(105,077) ​​ ​</w:t>
            </w:r>
          </w:p>
        </w:tc>
        <w:tc>
          <w:tcPr>
            <w:tcW w:w="1040" w:type="dxa"/>
            <w:vAlign w:val="bottom"/>
            <w:gridSpan w:val="4"/>
          </w:tcPr>
          <w:p>
            <w:pPr>
              <w:jc w:val="right"/>
              <w:ind w:right="41"/>
              <w:spacing w:after="0"/>
              <w:rPr>
                <w:sz w:val="20"/>
                <w:szCs w:val="20"/>
                <w:color w:val="auto"/>
              </w:rPr>
            </w:pPr>
            <w:r>
              <w:rPr>
                <w:rFonts w:ascii="Arial" w:cs="Arial" w:eastAsia="Arial" w:hAnsi="Arial"/>
                <w:sz w:val="12"/>
                <w:szCs w:val="12"/>
                <w:color w:val="auto"/>
              </w:rPr>
              <w:t>​ ​ (105,719) ​​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(105,719)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Total shareholders’ deficit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 ​​ ​</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2"/>
                <w:szCs w:val="12"/>
                <w:color w:val="auto"/>
              </w:rPr>
              <w:t>​​ ​</w:t>
            </w: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35"/>
        </w:trPr>
        <w:tc>
          <w:tcPr>
            <w:tcW w:w="3100" w:type="dxa"/>
            <w:vAlign w:val="bottom"/>
            <w:vMerge w:val="continue"/>
            <w:shd w:val="clear" w:color="auto" w:fill="CCEEFF"/>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 ​(103,913</w:t>
            </w:r>
          </w:p>
        </w:tc>
        <w:tc>
          <w:tcPr>
            <w:tcW w:w="280" w:type="dxa"/>
            <w:vAlign w:val="bottom"/>
            <w:vMerge w:val="continue"/>
          </w:tcPr>
          <w:p>
            <w:pPr>
              <w:spacing w:after="0"/>
              <w:rPr>
                <w:sz w:val="11"/>
                <w:szCs w:val="11"/>
                <w:color w:val="auto"/>
              </w:rPr>
            </w:pPr>
          </w:p>
        </w:tc>
        <w:tc>
          <w:tcPr>
            <w:tcW w:w="2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 ​</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96,062</w:t>
            </w:r>
          </w:p>
        </w:tc>
        <w:tc>
          <w:tcPr>
            <w:tcW w:w="340" w:type="dxa"/>
            <w:vAlign w:val="bottom"/>
            <w:vMerge w:val="continue"/>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240,835</w:t>
            </w:r>
          </w:p>
        </w:tc>
        <w:tc>
          <w:tcPr>
            <w:tcW w:w="1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tcPr>
          <w:p>
            <w:pPr>
              <w:ind w:left="120"/>
              <w:spacing w:after="0" w:line="135" w:lineRule="exact"/>
              <w:rPr>
                <w:sz w:val="20"/>
                <w:szCs w:val="20"/>
                <w:color w:val="auto"/>
              </w:rPr>
            </w:pPr>
            <w:r>
              <w:rPr>
                <w:rFonts w:ascii="Arial" w:cs="Arial" w:eastAsia="Arial" w:hAnsi="Arial"/>
                <w:sz w:val="12"/>
                <w:szCs w:val="12"/>
                <w:color w:val="auto"/>
              </w:rPr>
              <w:t>Total capitalization</w:t>
            </w:r>
          </w:p>
        </w:tc>
        <w:tc>
          <w:tcPr>
            <w:tcW w:w="10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line="135"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96,062</w:t>
            </w: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 ​</w:t>
            </w:r>
          </w:p>
        </w:tc>
        <w:tc>
          <w:tcPr>
            <w:tcW w:w="220" w:type="dxa"/>
            <w:vAlign w:val="bottom"/>
            <w:gridSpan w:val="2"/>
          </w:tcPr>
          <w:p>
            <w:pPr>
              <w:ind w:left="60"/>
              <w:spacing w:after="0" w:line="135"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96,062</w:t>
            </w:r>
          </w:p>
        </w:tc>
        <w:tc>
          <w:tcPr>
            <w:tcW w:w="3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 ​</w:t>
            </w:r>
          </w:p>
        </w:tc>
        <w:tc>
          <w:tcPr>
            <w:tcW w:w="80" w:type="dxa"/>
            <w:vAlign w:val="bottom"/>
          </w:tcPr>
          <w:p>
            <w:pPr>
              <w:spacing w:after="0" w:line="135"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240,835</w:t>
            </w:r>
          </w:p>
        </w:tc>
        <w:tc>
          <w:tcPr>
            <w:tcW w:w="120" w:type="dxa"/>
            <w:vAlign w:val="bottom"/>
          </w:tcPr>
          <w:p>
            <w:pPr>
              <w:spacing w:after="0"/>
              <w:rPr>
                <w:sz w:val="11"/>
                <w:szCs w:val="11"/>
                <w:color w:val="auto"/>
              </w:rPr>
            </w:pPr>
          </w:p>
        </w:tc>
        <w:tc>
          <w:tcPr>
            <w:tcW w:w="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-1251585</wp:posOffset>
            </wp:positionV>
            <wp:extent cx="3757295" cy="687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57295" cy="68770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-478155</wp:posOffset>
            </wp:positionV>
            <wp:extent cx="3757295"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57295" cy="8572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-300355</wp:posOffset>
            </wp:positionV>
            <wp:extent cx="3757295" cy="984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57295" cy="98425"/>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-1430020</wp:posOffset>
            </wp:positionV>
            <wp:extent cx="9842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-1430020</wp:posOffset>
            </wp:positionV>
            <wp:extent cx="9842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8425" cy="6350"/>
                    </a:xfrm>
                    <a:prstGeom prst="rect">
                      <a:avLst/>
                    </a:prstGeom>
                    <a:noFill/>
                  </pic:spPr>
                </pic:pic>
              </a:graphicData>
            </a:graphic>
          </wp:anchor>
        </w:drawing>
      </w:r>
    </w:p>
    <w:p>
      <w:pPr>
        <w:spacing w:after="0" w:line="70"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The number of ordinary shares to be outstanding after this offering is based on 77,544,741 ordinary shares outstanding as of September 30, 2022 (including 572,742 restricted ordinary shares that remained subject to repurchase rights as of such date, and assuming or after giving effect to the automatic conversion of all of our preferred shares outstanding), and excludes:</w:t>
      </w:r>
    </w:p>
    <w:p>
      <w:pPr>
        <w:spacing w:after="0" w:line="19" w:lineRule="exact"/>
        <w:rPr>
          <w:sz w:val="20"/>
          <w:szCs w:val="20"/>
          <w:color w:val="auto"/>
        </w:rPr>
      </w:pPr>
    </w:p>
    <w:p>
      <w:pPr>
        <w:ind w:left="1980" w:right="1779" w:hanging="157"/>
        <w:spacing w:after="0" w:line="308"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7,329,664 ordinary shares issuable upon the exercise of outstanding options as of September 30, 2022, with a weighted-average exercise price of  $1.55 per share;</w:t>
      </w:r>
    </w:p>
    <w:p>
      <w:pPr>
        <w:spacing w:after="0" w:line="13"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397,500 ordinary shares issuable upon the exercise of outstanding options granted subsequent to September 30, 2022, with a weighted-average exercise price of  $3.06 per share;</w:t>
      </w:r>
    </w:p>
    <w:p>
      <w:pPr>
        <w:spacing w:after="0" w:line="3" w:lineRule="exact"/>
        <w:rPr>
          <w:rFonts w:ascii="Arial" w:cs="Arial" w:eastAsia="Arial" w:hAnsi="Arial"/>
          <w:sz w:val="12"/>
          <w:szCs w:val="12"/>
          <w:color w:val="auto"/>
        </w:rPr>
      </w:pPr>
    </w:p>
    <w:p>
      <w:pPr>
        <w:ind w:left="1980" w:right="1799" w:hanging="157"/>
        <w:spacing w:after="0" w:line="308"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112,279 ordinary shares issuable upon the exercise of outstanding warrants as of September 30, 2022, with a weighted-average exercise price of  $0.48 per share;</w:t>
      </w:r>
    </w:p>
    <w:p>
      <w:pPr>
        <w:spacing w:after="0" w:line="3" w:lineRule="exact"/>
        <w:rPr>
          <w:rFonts w:ascii="Arial" w:cs="Arial" w:eastAsia="Arial" w:hAnsi="Arial"/>
          <w:sz w:val="12"/>
          <w:szCs w:val="12"/>
          <w:color w:val="auto"/>
        </w:rPr>
      </w:pPr>
    </w:p>
    <w:p>
      <w:pPr>
        <w:ind w:left="1980" w:right="1679" w:hanging="157"/>
        <w:spacing w:after="0" w:line="278"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13,259,933 ordinary shares reserved for future issuance under our 2023 Plan, as well as any automatic increases in the number of ordinary shares reserved for future issuance under the 2023 Plan, which became effective immediately prior to the execution of the underwriting agreement for this offering (including 1,259,933 ordinary shares reserved for issuance under our 2019 Plan, which shares will be added to the 2023 Plan upon its effectiveness); and</w:t>
      </w:r>
    </w:p>
    <w:p>
      <w:pPr>
        <w:spacing w:after="0" w:line="32" w:lineRule="exact"/>
        <w:rPr>
          <w:rFonts w:ascii="Arial" w:cs="Arial" w:eastAsia="Arial" w:hAnsi="Arial"/>
          <w:sz w:val="12"/>
          <w:szCs w:val="12"/>
          <w:color w:val="auto"/>
        </w:rPr>
      </w:pPr>
    </w:p>
    <w:p>
      <w:pPr>
        <w:ind w:left="1980" w:right="1719" w:hanging="157"/>
        <w:spacing w:after="0" w:line="288"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1,000,000 ordinary shares reserved for future issuance under our ESPP, as well as any automatic increases in the number of ordinary shares reserved for future issuance under the ESPP, which became effective immediately prior to the execution of the underwriting agreement for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99" w:name="page100"/>
    <w:bookmarkEnd w:id="99"/>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DILUTION</w:t>
      </w:r>
    </w:p>
    <w:p>
      <w:pPr>
        <w:spacing w:after="0" w:line="253" w:lineRule="exact"/>
        <w:rPr>
          <w:sz w:val="20"/>
          <w:szCs w:val="20"/>
          <w:color w:val="auto"/>
        </w:rPr>
      </w:pPr>
    </w:p>
    <w:p>
      <w:pPr>
        <w:ind w:left="1560" w:right="1599"/>
        <w:spacing w:after="0" w:line="287" w:lineRule="auto"/>
        <w:rPr>
          <w:sz w:val="20"/>
          <w:szCs w:val="20"/>
          <w:color w:val="auto"/>
        </w:rPr>
      </w:pPr>
      <w:r>
        <w:rPr>
          <w:rFonts w:ascii="Arial" w:cs="Arial" w:eastAsia="Arial" w:hAnsi="Arial"/>
          <w:sz w:val="12"/>
          <w:szCs w:val="12"/>
          <w:color w:val="auto"/>
        </w:rPr>
        <w:t>If you invest in our ADSs in this offering, your ownership interest will be diluted for each ADS you purchase to the extent of the difference between the initial public offering price per ADS and our pro forma as adjusted net tangible book value per ADS immediately after this offering. Dilution results from the fact that the initial public offering price per ordinary share represented by ADSs is substantially in excess of the book value per ordinary share attributable to the existing holders for our presently outstanding ordinary shares.</w:t>
      </w:r>
    </w:p>
    <w:p>
      <w:pPr>
        <w:spacing w:after="0" w:line="84" w:lineRule="exact"/>
        <w:rPr>
          <w:sz w:val="20"/>
          <w:szCs w:val="20"/>
          <w:color w:val="auto"/>
        </w:rPr>
      </w:pPr>
    </w:p>
    <w:p>
      <w:pPr>
        <w:ind w:left="1560" w:right="1779"/>
        <w:spacing w:after="0" w:line="293" w:lineRule="auto"/>
        <w:rPr>
          <w:sz w:val="20"/>
          <w:szCs w:val="20"/>
          <w:color w:val="auto"/>
        </w:rPr>
      </w:pPr>
      <w:r>
        <w:rPr>
          <w:rFonts w:ascii="Arial" w:cs="Arial" w:eastAsia="Arial" w:hAnsi="Arial"/>
          <w:sz w:val="12"/>
          <w:szCs w:val="12"/>
          <w:color w:val="auto"/>
        </w:rPr>
        <w:t>As of September 30, 2022, we had a historical net tangible book value (deficit) of  $(106.2) million, or $(10.09) per ordinary share and $(30.26) per ADS. We calculate net tangible book value (deficit) per ordinary share by dividing our total tangible assets (which excludes deferred offering costs) less our total liabilities and redeemable convertible preferred shares by the number of our ordinary shares outstanding.</w:t>
      </w:r>
    </w:p>
    <w:p>
      <w:pPr>
        <w:spacing w:after="0" w:line="71" w:lineRule="exact"/>
        <w:rPr>
          <w:sz w:val="20"/>
          <w:szCs w:val="20"/>
          <w:color w:val="auto"/>
        </w:rPr>
      </w:pPr>
    </w:p>
    <w:p>
      <w:pPr>
        <w:ind w:left="1560" w:right="1579"/>
        <w:spacing w:after="0" w:line="284" w:lineRule="auto"/>
        <w:rPr>
          <w:sz w:val="20"/>
          <w:szCs w:val="20"/>
          <w:color w:val="auto"/>
        </w:rPr>
      </w:pPr>
      <w:r>
        <w:rPr>
          <w:rFonts w:ascii="Arial" w:cs="Arial" w:eastAsia="Arial" w:hAnsi="Arial"/>
          <w:sz w:val="12"/>
          <w:szCs w:val="12"/>
          <w:color w:val="auto"/>
        </w:rPr>
        <w:t>Pro forma net tangible book value per ordinary share is calculated after giving effect to (i) the automatic conversion of all of our outstanding preferred shares into an aggregate of 67,018,087 ordinary shares immediately upon the closing of this offering and (ii) the effectiveness of our amended and restated memorandum and articles of association immediately upon the closing of this offering. Pro forma as adjusted net tangible book value per ordinary share is calculated after giving effect to (1) the pro forma adjustments described above and (2) the issuance of 32,220,000 ordinary shares represented by ADSs by us in this offering at the initial public offering price of  $15.00 per ADS. Dilution is determined by subtracting pro forma as adjusted net tangible book value per ordinary share from the public offering price per ordinary share represented by ADSs.</w:t>
      </w:r>
    </w:p>
    <w:p>
      <w:pPr>
        <w:spacing w:after="0" w:line="77" w:lineRule="exact"/>
        <w:rPr>
          <w:sz w:val="20"/>
          <w:szCs w:val="20"/>
          <w:color w:val="auto"/>
        </w:rPr>
      </w:pPr>
    </w:p>
    <w:p>
      <w:pPr>
        <w:ind w:left="1560" w:right="1639"/>
        <w:spacing w:after="0" w:line="286" w:lineRule="auto"/>
        <w:rPr>
          <w:sz w:val="20"/>
          <w:szCs w:val="20"/>
          <w:color w:val="auto"/>
        </w:rPr>
      </w:pPr>
      <w:r>
        <w:rPr>
          <w:rFonts w:ascii="Arial" w:cs="Arial" w:eastAsia="Arial" w:hAnsi="Arial"/>
          <w:sz w:val="12"/>
          <w:szCs w:val="12"/>
          <w:color w:val="auto"/>
        </w:rPr>
        <w:t>After giving effect to the receipt of the estimated net proceeds from our sale of ADSs in this offering at the initial public offering price of  $15.00 per ADS, after deducting the underwriting discounts and commissions and estimated offering expenses payable by us, our pro forma as adjusted net tangible book value at September 30, 2022 would have been approximately $240.8 million, or $2.19 per ordinary share and $6.58 per ADS. This represents an immediate increase in net tangible book value of  $0.98 per ordinary share and $2.95 per ADS to existing shareholders and an immediate dilution in net tangible book value of  $2.81 per ordinary share and $8.42 per ADS to you. The following table illustrates such dilution:</w:t>
      </w:r>
    </w:p>
    <w:p>
      <w:pPr>
        <w:spacing w:after="0" w:line="102" w:lineRule="exact"/>
        <w:rPr>
          <w:sz w:val="20"/>
          <w:szCs w:val="20"/>
          <w:color w:val="auto"/>
        </w:rPr>
      </w:pPr>
    </w:p>
    <w:tbl>
      <w:tblPr>
        <w:tblLayout w:type="fixed"/>
        <w:tblInd w:w="1560" w:type="dxa"/>
        <w:tblCellMar>
          <w:top w:w="0" w:type="dxa"/>
          <w:left w:w="0" w:type="dxa"/>
          <w:bottom w:w="0" w:type="dxa"/>
          <w:right w:w="0" w:type="dxa"/>
        </w:tblCellMar>
      </w:tblPr>
      <w:tr>
        <w:trPr>
          <w:trHeight w:val="28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​Initial public offering price per ADS</w:t>
            </w: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2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2"/>
                <w:szCs w:val="12"/>
                <w:color w:val="auto"/>
              </w:rPr>
              <w:t>​​ ​​$ 15.00​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620" w:type="dxa"/>
            <w:vAlign w:val="bottom"/>
          </w:tcPr>
          <w:p>
            <w:pPr>
              <w:ind w:left="40"/>
              <w:spacing w:after="0"/>
              <w:rPr>
                <w:sz w:val="20"/>
                <w:szCs w:val="20"/>
                <w:color w:val="auto"/>
              </w:rPr>
            </w:pPr>
            <w:r>
              <w:rPr>
                <w:rFonts w:ascii="Arial" w:cs="Arial" w:eastAsia="Arial" w:hAnsi="Arial"/>
                <w:sz w:val="12"/>
                <w:szCs w:val="12"/>
                <w:color w:val="auto"/>
              </w:rPr>
              <w:t>Historical net tangible book value (deficit) per ADS as of September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4620" w:type="dxa"/>
            <w:vAlign w:val="bottom"/>
          </w:tcPr>
          <w:p>
            <w:pPr>
              <w:ind w:left="160"/>
              <w:spacing w:after="0"/>
              <w:rPr>
                <w:sz w:val="20"/>
                <w:szCs w:val="20"/>
                <w:color w:val="auto"/>
              </w:rPr>
            </w:pPr>
            <w:r>
              <w:rPr>
                <w:rFonts w:ascii="Arial" w:cs="Arial" w:eastAsia="Arial" w:hAnsi="Arial"/>
                <w:sz w:val="12"/>
                <w:szCs w:val="12"/>
                <w:color w:val="auto"/>
              </w:rPr>
              <w:t>2022</w:t>
            </w:r>
          </w:p>
        </w:tc>
        <w:tc>
          <w:tcPr>
            <w:tcW w:w="900" w:type="dxa"/>
            <w:vAlign w:val="bottom"/>
            <w:gridSpan w:val="7"/>
          </w:tcPr>
          <w:p>
            <w:pPr>
              <w:ind w:left="40"/>
              <w:spacing w:after="0"/>
              <w:rPr>
                <w:sz w:val="20"/>
                <w:szCs w:val="20"/>
                <w:color w:val="auto"/>
              </w:rPr>
            </w:pPr>
            <w:r>
              <w:rPr>
                <w:rFonts w:ascii="Arial" w:cs="Arial" w:eastAsia="Arial" w:hAnsi="Arial"/>
                <w:sz w:val="12"/>
                <w:szCs w:val="12"/>
                <w:color w:val="auto"/>
              </w:rPr>
              <w:t>​ ​​$(30.26​​) ​​ ​</w:t>
            </w:r>
          </w:p>
        </w:tc>
        <w:tc>
          <w:tcPr>
            <w:tcW w:w="2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20" w:type="dxa"/>
            <w:vAlign w:val="bottom"/>
            <w:shd w:val="clear" w:color="auto" w:fill="CCEEFF"/>
          </w:tcPr>
          <w:p>
            <w:pPr>
              <w:ind w:left="40"/>
              <w:spacing w:after="0"/>
              <w:rPr>
                <w:sz w:val="20"/>
                <w:szCs w:val="20"/>
                <w:color w:val="auto"/>
              </w:rPr>
            </w:pPr>
            <w:r>
              <w:rPr>
                <w:rFonts w:ascii="Arial" w:cs="Arial" w:eastAsia="Arial" w:hAnsi="Arial"/>
                <w:sz w:val="12"/>
                <w:szCs w:val="12"/>
                <w:color w:val="auto"/>
              </w:rPr>
              <w:t>Pro forma increase per ADS attributable to the pro forma effects described above</w:t>
            </w: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460" w:type="dxa"/>
            <w:vAlign w:val="bottom"/>
            <w:gridSpan w:val="3"/>
            <w:shd w:val="clear" w:color="auto" w:fill="CCEEFF"/>
          </w:tcPr>
          <w:p>
            <w:pPr>
              <w:jc w:val="right"/>
              <w:spacing w:after="0" w:line="184" w:lineRule="exact"/>
              <w:rPr>
                <w:sz w:val="20"/>
                <w:szCs w:val="20"/>
                <w:color w:val="auto"/>
              </w:rPr>
            </w:pPr>
            <w:r>
              <w:rPr>
                <w:rFonts w:ascii="Arial" w:cs="Arial" w:eastAsia="Arial" w:hAnsi="Arial"/>
                <w:sz w:val="11"/>
                <w:szCs w:val="11"/>
                <w:color w:val="auto"/>
              </w:rPr>
              <w:t>​ 33.89</w:t>
            </w:r>
            <w:r>
              <w:rPr>
                <w:rFonts w:ascii="Arial" w:cs="Arial" w:eastAsia="Arial" w:hAnsi="Arial"/>
                <w:sz w:val="21"/>
                <w:szCs w:val="21"/>
                <w:color w:val="auto"/>
                <w:vertAlign w:val="subscript"/>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70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gridSpan w:val="4"/>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00" w:type="dxa"/>
            <w:vAlign w:val="bottom"/>
            <w:gridSpan w:val="2"/>
          </w:tcPr>
          <w:p>
            <w:pPr>
              <w:spacing w:after="0"/>
              <w:rPr>
                <w:sz w:val="20"/>
                <w:szCs w:val="20"/>
                <w:color w:val="auto"/>
              </w:rPr>
            </w:pPr>
            <w:r>
              <w:rPr>
                <w:rFonts w:ascii="Arial" w:cs="Arial" w:eastAsia="Arial" w:hAnsi="Arial"/>
                <w:sz w:val="12"/>
                <w:szCs w:val="12"/>
                <w:color w:val="auto"/>
              </w:rPr>
              <w:t>​  Pro forma net tangible book value per ADS as of September 30, 2022</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5"/>
          </w:tcPr>
          <w:p>
            <w:pPr>
              <w:jc w:val="right"/>
              <w:spacing w:after="0"/>
              <w:rPr>
                <w:sz w:val="20"/>
                <w:szCs w:val="20"/>
                <w:color w:val="auto"/>
              </w:rPr>
            </w:pPr>
            <w:r>
              <w:rPr>
                <w:rFonts w:ascii="Arial" w:cs="Arial" w:eastAsia="Arial" w:hAnsi="Arial"/>
                <w:sz w:val="12"/>
                <w:szCs w:val="12"/>
                <w:color w:val="auto"/>
              </w:rPr>
              <w:t>3.63​​ ​​ ​</w:t>
            </w:r>
          </w:p>
        </w:tc>
        <w:tc>
          <w:tcPr>
            <w:tcW w:w="2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80" w:type="dxa"/>
            <w:vAlign w:val="bottom"/>
            <w:shd w:val="clear" w:color="auto" w:fill="CCEEFF"/>
          </w:tcPr>
          <w:p>
            <w:pPr>
              <w:spacing w:after="0"/>
              <w:rPr>
                <w:sz w:val="13"/>
                <w:szCs w:val="13"/>
                <w:color w:val="auto"/>
              </w:rPr>
            </w:pPr>
          </w:p>
        </w:tc>
        <w:tc>
          <w:tcPr>
            <w:tcW w:w="462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Increase in pro forma as adjusted net tangible book value per ADS attributable to</w:t>
            </w: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new investors purchasing ADSs in this offering</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2.95​​ ​​ ​</w:t>
            </w:r>
          </w:p>
        </w:tc>
        <w:tc>
          <w:tcPr>
            <w:tcW w:w="28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70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700" w:type="dxa"/>
            <w:vAlign w:val="bottom"/>
            <w:gridSpan w:val="2"/>
          </w:tcPr>
          <w:p>
            <w:pPr>
              <w:spacing w:after="0" w:line="116" w:lineRule="exact"/>
              <w:rPr>
                <w:sz w:val="20"/>
                <w:szCs w:val="20"/>
                <w:color w:val="auto"/>
              </w:rPr>
            </w:pPr>
            <w:r>
              <w:rPr>
                <w:rFonts w:ascii="Arial" w:cs="Arial" w:eastAsia="Arial" w:hAnsi="Arial"/>
                <w:sz w:val="12"/>
                <w:szCs w:val="12"/>
                <w:color w:val="auto"/>
              </w:rPr>
              <w:t>Pro forma as adjusted net tangible book value ADS after this offering</w:t>
            </w:r>
          </w:p>
        </w:tc>
        <w:tc>
          <w:tcPr>
            <w:tcW w:w="220" w:type="dxa"/>
            <w:vAlign w:val="bottom"/>
            <w:vMerge w:val="restart"/>
          </w:tcPr>
          <w:p>
            <w:pPr>
              <w:ind w:left="40"/>
              <w:spacing w:after="0"/>
              <w:rPr>
                <w:sz w:val="20"/>
                <w:szCs w:val="20"/>
                <w:color w:val="auto"/>
              </w:rPr>
            </w:pPr>
            <w:r>
              <w:rPr>
                <w:rFonts w:ascii="Arial" w:cs="Arial" w:eastAsia="Arial" w:hAnsi="Arial"/>
                <w:sz w:val="12"/>
                <w:szCs w:val="12"/>
                <w:color w:val="auto"/>
              </w:rPr>
              <w:t>​ ​​</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80" w:type="dxa"/>
            <w:vAlign w:val="bottom"/>
          </w:tcPr>
          <w:p>
            <w:pPr>
              <w:jc w:val="right"/>
              <w:spacing w:after="0" w:line="116" w:lineRule="exact"/>
              <w:rPr>
                <w:sz w:val="20"/>
                <w:szCs w:val="20"/>
                <w:color w:val="auto"/>
              </w:rPr>
            </w:pPr>
            <w:r>
              <w:rPr>
                <w:rFonts w:ascii="Arial" w:cs="Arial" w:eastAsia="Arial" w:hAnsi="Arial"/>
                <w:sz w:val="12"/>
                <w:szCs w:val="12"/>
                <w:color w:val="auto"/>
              </w:rPr>
              <w:t>6.58</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80" w:type="dxa"/>
            <w:vAlign w:val="bottom"/>
          </w:tcPr>
          <w:p>
            <w:pPr>
              <w:spacing w:after="0" w:line="58" w:lineRule="exact"/>
              <w:rPr>
                <w:sz w:val="20"/>
                <w:szCs w:val="20"/>
                <w:color w:val="auto"/>
              </w:rPr>
            </w:pPr>
            <w:r>
              <w:rPr>
                <w:rFonts w:ascii="Arial" w:cs="Arial" w:eastAsia="Arial" w:hAnsi="Arial"/>
                <w:sz w:val="6"/>
                <w:szCs w:val="6"/>
                <w:color w:val="auto"/>
              </w:rPr>
              <w:t>​</w:t>
            </w:r>
          </w:p>
        </w:tc>
        <w:tc>
          <w:tcPr>
            <w:tcW w:w="46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70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2"/>
                <w:szCs w:val="12"/>
                <w:color w:val="auto"/>
              </w:rPr>
              <w:t>Dilution per ADS to new investors purchasing shares in this offering</w:t>
            </w:r>
          </w:p>
        </w:tc>
        <w:tc>
          <w:tcPr>
            <w:tcW w:w="220" w:type="dxa"/>
            <w:vAlign w:val="bottom"/>
            <w:tcBorders>
              <w:top w:val="single" w:sz="8" w:color="CCEEFF"/>
              <w:right w:val="single" w:sz="8" w:color="CCEEFF"/>
            </w:tcBorders>
            <w:vMerge w:val="restart"/>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10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w:t>
            </w: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8.42</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620" w:type="dxa"/>
            <w:vAlign w:val="bottom"/>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40" w:type="dxa"/>
            <w:vAlign w:val="bottom"/>
            <w:gridSpan w:val="2"/>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0" w:type="dxa"/>
            <w:vAlign w:val="bottom"/>
            <w:tcBorders>
              <w:top w:val="single" w:sz="8" w:color="CCEEFF"/>
              <w:bottom w:val="single" w:sz="8" w:color="auto"/>
            </w:tcBorders>
          </w:tcPr>
          <w:p>
            <w:pPr>
              <w:spacing w:after="0"/>
              <w:rPr>
                <w:sz w:val="6"/>
                <w:szCs w:val="6"/>
                <w:color w:val="auto"/>
              </w:rPr>
            </w:pPr>
          </w:p>
        </w:tc>
        <w:tc>
          <w:tcPr>
            <w:tcW w:w="4620" w:type="dxa"/>
            <w:vAlign w:val="bottom"/>
            <w:tcBorders>
              <w:top w:val="single" w:sz="8" w:color="CCEEFF"/>
              <w:bottom w:val="single" w:sz="8" w:color="auto"/>
            </w:tcBorders>
          </w:tcPr>
          <w:p>
            <w:pPr>
              <w:spacing w:after="0"/>
              <w:rPr>
                <w:sz w:val="6"/>
                <w:szCs w:val="6"/>
                <w:color w:val="auto"/>
              </w:rPr>
            </w:pPr>
          </w:p>
        </w:tc>
        <w:tc>
          <w:tcPr>
            <w:tcW w:w="22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2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45694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56940" cy="6350"/>
                    </a:xfrm>
                    <a:prstGeom prst="rect">
                      <a:avLst/>
                    </a:prstGeom>
                    <a:noFill/>
                  </pic:spPr>
                </pic:pic>
              </a:graphicData>
            </a:graphic>
          </wp:anchor>
        </w:drawing>
      </w:r>
    </w:p>
    <w:p>
      <w:pPr>
        <w:spacing w:after="0" w:line="89" w:lineRule="exact"/>
        <w:rPr>
          <w:sz w:val="20"/>
          <w:szCs w:val="20"/>
          <w:color w:val="auto"/>
        </w:rPr>
      </w:pPr>
    </w:p>
    <w:p>
      <w:pPr>
        <w:ind w:left="1560" w:right="1599"/>
        <w:spacing w:after="0" w:line="284" w:lineRule="auto"/>
        <w:rPr>
          <w:sz w:val="20"/>
          <w:szCs w:val="20"/>
          <w:color w:val="auto"/>
        </w:rPr>
      </w:pPr>
      <w:r>
        <w:rPr>
          <w:rFonts w:ascii="Arial" w:cs="Arial" w:eastAsia="Arial" w:hAnsi="Arial"/>
          <w:sz w:val="12"/>
          <w:szCs w:val="12"/>
          <w:color w:val="auto"/>
        </w:rPr>
        <w:t>If the underwriters exercise their option to purchase additional ADSs in full, the pro forma as adjusted net tangible book value would be $2.30 per ordinary share and $6.89 per ADS, and the dilution in pro forma as adjusted net tangible book value to investors in this offering would be $2.70 per ordinary share and $8.11 per ADS. The following table sets forth, on a pro forma as adjusted basis as of September 30, 2022, the number of ordinary shares purchased from us, the total consideration paid to us and the weighted-average price per ordinary share/ADS paid by existing shareholders and paid by new investors purchasing ADSs in this offering at the initial public offering price of  $15.00, before deducting the underwriting discounts and commissions and estimated offering expenses payable by us: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0" w:name="page101"/>
    <w:bookmarkEnd w:id="100"/>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383540</wp:posOffset>
            </wp:positionV>
            <wp:extent cx="373316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jc w:val="center"/>
              <w:spacing w:after="0"/>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rPr>
              <w:t>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jc w:val="center"/>
              <w:spacing w:after="0"/>
              <w:rPr>
                <w:sz w:val="20"/>
                <w:szCs w:val="20"/>
                <w:color w:val="auto"/>
              </w:rPr>
            </w:pPr>
            <w:r>
              <w:rPr>
                <w:rFonts w:ascii="Arial" w:cs="Arial" w:eastAsia="Arial" w:hAnsi="Arial"/>
                <w:sz w:val="10"/>
                <w:szCs w:val="10"/>
                <w:b w:val="1"/>
                <w:bCs w:val="1"/>
                <w:color w:val="auto"/>
              </w:rPr>
              <w:t>ORDINARY SHARES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jc w:val="center"/>
              <w:ind w:left="228"/>
              <w:spacing w:after="0"/>
              <w:rPr>
                <w:sz w:val="20"/>
                <w:szCs w:val="20"/>
                <w:color w:val="auto"/>
              </w:rPr>
            </w:pPr>
            <w:r>
              <w:rPr>
                <w:rFonts w:ascii="Arial" w:cs="Arial" w:eastAsia="Arial" w:hAnsi="Arial"/>
                <w:sz w:val="10"/>
                <w:szCs w:val="10"/>
                <w:b w:val="1"/>
                <w:bCs w:val="1"/>
                <w:color w:val="auto"/>
              </w:rPr>
              <w:t>TOTAL</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jc w:val="center"/>
              <w:ind w:right="23"/>
              <w:spacing w:after="0"/>
              <w:rPr>
                <w:sz w:val="20"/>
                <w:szCs w:val="20"/>
                <w:color w:val="auto"/>
              </w:rPr>
            </w:pPr>
            <w:r>
              <w:rPr>
                <w:rFonts w:ascii="Arial" w:cs="Arial" w:eastAsia="Arial" w:hAnsi="Arial"/>
                <w:sz w:val="10"/>
                <w:szCs w:val="10"/>
                <w:b w:val="1"/>
                <w:bCs w:val="1"/>
                <w:color w:val="auto"/>
              </w:rPr>
              <w:t>PRICE PER</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160" w:type="dxa"/>
            <w:vAlign w:val="bottom"/>
            <w:gridSpan w:val="5"/>
          </w:tcPr>
          <w:p>
            <w:pPr>
              <w:jc w:val="center"/>
              <w:spacing w:after="0"/>
              <w:rPr>
                <w:sz w:val="20"/>
                <w:szCs w:val="20"/>
                <w:color w:val="auto"/>
              </w:rPr>
            </w:pPr>
            <w:r>
              <w:rPr>
                <w:rFonts w:ascii="Arial" w:cs="Arial" w:eastAsia="Arial" w:hAnsi="Arial"/>
                <w:sz w:val="10"/>
                <w:szCs w:val="10"/>
                <w:b w:val="1"/>
                <w:bCs w:val="1"/>
                <w:color w:val="auto"/>
              </w:rPr>
              <w:t>PURCHASED</w:t>
            </w:r>
            <w:r>
              <w:rPr>
                <w:rFonts w:ascii="Arial" w:cs="Arial" w:eastAsia="Arial" w:hAnsi="Arial"/>
                <w:sz w:val="12"/>
                <w:szCs w:val="12"/>
                <w:b w:val="1"/>
                <w:bCs w:val="1"/>
                <w:color w:val="auto"/>
                <w:vertAlign w:val="superscript"/>
              </w:rPr>
              <w:t>(1)</w:t>
            </w:r>
          </w:p>
        </w:tc>
        <w:tc>
          <w:tcPr>
            <w:tcW w:w="60" w:type="dxa"/>
            <w:vAlign w:val="bottom"/>
          </w:tcPr>
          <w:p>
            <w:pPr>
              <w:spacing w:after="0"/>
              <w:rPr>
                <w:sz w:val="13"/>
                <w:szCs w:val="13"/>
                <w:color w:val="auto"/>
              </w:rPr>
            </w:pPr>
          </w:p>
        </w:tc>
        <w:tc>
          <w:tcPr>
            <w:tcW w:w="1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w:t>
            </w:r>
          </w:p>
        </w:tc>
        <w:tc>
          <w:tcPr>
            <w:tcW w:w="1220" w:type="dxa"/>
            <w:vAlign w:val="bottom"/>
            <w:gridSpan w:val="5"/>
          </w:tcPr>
          <w:p>
            <w:pPr>
              <w:jc w:val="center"/>
              <w:spacing w:after="0"/>
              <w:rPr>
                <w:sz w:val="20"/>
                <w:szCs w:val="20"/>
                <w:color w:val="auto"/>
              </w:rPr>
            </w:pPr>
            <w:r>
              <w:rPr>
                <w:rFonts w:ascii="Arial" w:cs="Arial" w:eastAsia="Arial" w:hAnsi="Arial"/>
                <w:sz w:val="10"/>
                <w:szCs w:val="10"/>
                <w:b w:val="1"/>
                <w:bCs w:val="1"/>
                <w:color w:val="auto"/>
              </w:rPr>
              <w:t>CONSIDERATION</w:t>
            </w:r>
          </w:p>
        </w:tc>
        <w:tc>
          <w:tcPr>
            <w:tcW w:w="60" w:type="dxa"/>
            <w:vAlign w:val="bottom"/>
          </w:tcPr>
          <w:p>
            <w:pPr>
              <w:spacing w:after="0"/>
              <w:rPr>
                <w:sz w:val="13"/>
                <w:szCs w:val="13"/>
                <w:color w:val="auto"/>
              </w:rPr>
            </w:pPr>
          </w:p>
        </w:tc>
        <w:tc>
          <w:tcPr>
            <w:tcW w:w="200" w:type="dxa"/>
            <w:vAlign w:val="bottom"/>
            <w:gridSpan w:val="2"/>
          </w:tcPr>
          <w:p>
            <w:pPr>
              <w:jc w:val="right"/>
              <w:ind w:right="68"/>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3"/>
                <w:szCs w:val="13"/>
                <w:color w:val="auto"/>
              </w:rPr>
            </w:pPr>
          </w:p>
        </w:tc>
        <w:tc>
          <w:tcPr>
            <w:tcW w:w="400" w:type="dxa"/>
            <w:vAlign w:val="bottom"/>
          </w:tcPr>
          <w:p>
            <w:pPr>
              <w:jc w:val="center"/>
              <w:ind w:right="82"/>
              <w:spacing w:after="0"/>
              <w:rPr>
                <w:sz w:val="20"/>
                <w:szCs w:val="20"/>
                <w:color w:val="auto"/>
              </w:rPr>
            </w:pPr>
            <w:r>
              <w:rPr>
                <w:rFonts w:ascii="Arial" w:cs="Arial" w:eastAsia="Arial" w:hAnsi="Arial"/>
                <w:sz w:val="10"/>
                <w:szCs w:val="10"/>
                <w:b w:val="1"/>
                <w:bCs w:val="1"/>
                <w:color w:val="auto"/>
              </w:rPr>
              <w:t>ADS</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rPr>
              <w:t>NUMBER</w:t>
            </w:r>
          </w:p>
        </w:tc>
        <w:tc>
          <w:tcPr>
            <w:tcW w:w="720" w:type="dxa"/>
            <w:vAlign w:val="bottom"/>
            <w:gridSpan w:val="7"/>
          </w:tcPr>
          <w:p>
            <w:pPr>
              <w:ind w:left="20"/>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PERCENT </w:t>
            </w:r>
            <w:r>
              <w:rPr>
                <w:rFonts w:ascii="Arial" w:cs="Arial" w:eastAsia="Arial" w:hAnsi="Arial"/>
                <w:sz w:val="17"/>
                <w:szCs w:val="17"/>
                <w:b w:val="1"/>
                <w:bCs w:val="1"/>
                <w:color w:val="auto"/>
                <w:vertAlign w:val="subscript"/>
              </w:rPr>
              <w:t>​​</w:t>
            </w:r>
          </w:p>
        </w:tc>
        <w:tc>
          <w:tcPr>
            <w:tcW w:w="680" w:type="dxa"/>
            <w:vAlign w:val="bottom"/>
          </w:tcPr>
          <w:p>
            <w:pPr>
              <w:jc w:val="right"/>
              <w:ind w:right="88"/>
              <w:spacing w:after="0"/>
              <w:rPr>
                <w:sz w:val="20"/>
                <w:szCs w:val="20"/>
                <w:color w:val="auto"/>
              </w:rPr>
            </w:pPr>
            <w:r>
              <w:rPr>
                <w:rFonts w:ascii="Arial" w:cs="Arial" w:eastAsia="Arial" w:hAnsi="Arial"/>
                <w:sz w:val="10"/>
                <w:szCs w:val="10"/>
                <w:b w:val="1"/>
                <w:bCs w:val="1"/>
                <w:color w:val="auto"/>
              </w:rPr>
              <w:t>AMOUNT</w:t>
            </w:r>
          </w:p>
        </w:tc>
        <w:tc>
          <w:tcPr>
            <w:tcW w:w="800" w:type="dxa"/>
            <w:vAlign w:val="bottom"/>
            <w:gridSpan w:val="7"/>
          </w:tcPr>
          <w:p>
            <w:pPr>
              <w:jc w:val="right"/>
              <w:ind w:right="28"/>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PERCENT </w:t>
            </w:r>
            <w:r>
              <w:rPr>
                <w:rFonts w:ascii="Arial" w:cs="Arial" w:eastAsia="Arial" w:hAnsi="Arial"/>
                <w:sz w:val="17"/>
                <w:szCs w:val="17"/>
                <w:b w:val="1"/>
                <w:bCs w:val="1"/>
                <w:color w:val="auto"/>
                <w:vertAlign w:val="subscript"/>
              </w:rPr>
              <w:t>​​ ​</w:t>
            </w:r>
          </w:p>
        </w:tc>
        <w:tc>
          <w:tcPr>
            <w:tcW w:w="60" w:type="dxa"/>
            <w:vAlign w:val="bottom"/>
          </w:tcPr>
          <w:p>
            <w:pPr>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60" w:type="dxa"/>
            <w:vAlign w:val="bottom"/>
          </w:tcPr>
          <w:p>
            <w:pPr>
              <w:spacing w:after="0"/>
              <w:rPr>
                <w:sz w:val="20"/>
                <w:szCs w:val="20"/>
                <w:color w:val="auto"/>
              </w:rPr>
            </w:pPr>
            <w:r>
              <w:rPr>
                <w:rFonts w:ascii="Arial" w:cs="Arial" w:eastAsia="Arial" w:hAnsi="Arial"/>
                <w:sz w:val="12"/>
                <w:szCs w:val="12"/>
                <w:color w:val="auto"/>
              </w:rPr>
              <w:t>Existing shareholders before this offering</w:t>
            </w:r>
          </w:p>
        </w:tc>
        <w:tc>
          <w:tcPr>
            <w:tcW w:w="980" w:type="dxa"/>
            <w:vAlign w:val="bottom"/>
            <w:gridSpan w:val="5"/>
          </w:tcPr>
          <w:p>
            <w:pPr>
              <w:ind w:left="80"/>
              <w:spacing w:after="0"/>
              <w:rPr>
                <w:sz w:val="20"/>
                <w:szCs w:val="20"/>
                <w:color w:val="auto"/>
              </w:rPr>
            </w:pPr>
            <w:r>
              <w:rPr>
                <w:rFonts w:ascii="Arial" w:cs="Arial" w:eastAsia="Arial" w:hAnsi="Arial"/>
                <w:sz w:val="12"/>
                <w:szCs w:val="12"/>
                <w:color w:val="auto"/>
              </w:rPr>
              <w:t>​​​ 77,544,741​​​</w:t>
            </w:r>
          </w:p>
        </w:tc>
        <w:tc>
          <w:tcPr>
            <w:tcW w:w="1420" w:type="dxa"/>
            <w:vAlign w:val="bottom"/>
            <w:gridSpan w:val="8"/>
          </w:tcPr>
          <w:p>
            <w:pPr>
              <w:jc w:val="right"/>
              <w:spacing w:after="0"/>
              <w:rPr>
                <w:sz w:val="20"/>
                <w:szCs w:val="20"/>
                <w:color w:val="auto"/>
              </w:rPr>
            </w:pPr>
            <w:r>
              <w:rPr>
                <w:rFonts w:ascii="Arial" w:cs="Arial" w:eastAsia="Arial" w:hAnsi="Arial"/>
                <w:sz w:val="12"/>
                <w:szCs w:val="12"/>
                <w:color w:val="auto"/>
              </w:rPr>
              <w:t>70.6%​​​​$198,154,601​​​​</w:t>
            </w:r>
          </w:p>
        </w:tc>
        <w:tc>
          <w:tcPr>
            <w:tcW w:w="600" w:type="dxa"/>
            <w:vAlign w:val="bottom"/>
            <w:gridSpan w:val="4"/>
          </w:tcPr>
          <w:p>
            <w:pPr>
              <w:jc w:val="right"/>
              <w:spacing w:after="0"/>
              <w:rPr>
                <w:sz w:val="20"/>
                <w:szCs w:val="20"/>
                <w:color w:val="auto"/>
              </w:rPr>
            </w:pPr>
            <w:r>
              <w:rPr>
                <w:rFonts w:ascii="Arial" w:cs="Arial" w:eastAsia="Arial" w:hAnsi="Arial"/>
                <w:sz w:val="12"/>
                <w:szCs w:val="12"/>
                <w:color w:val="auto"/>
              </w:rPr>
              <w:t>55.2%​​​ ​$</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7.67</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2360" w:type="dxa"/>
            <w:vAlign w:val="bottom"/>
          </w:tcPr>
          <w:p>
            <w:pPr>
              <w:spacing w:after="0"/>
              <w:rPr>
                <w:sz w:val="20"/>
                <w:szCs w:val="20"/>
                <w:color w:val="auto"/>
              </w:rPr>
            </w:pPr>
            <w:r>
              <w:rPr>
                <w:rFonts w:ascii="Arial" w:cs="Arial" w:eastAsia="Arial" w:hAnsi="Arial"/>
                <w:sz w:val="12"/>
                <w:szCs w:val="12"/>
                <w:color w:val="auto"/>
              </w:rPr>
              <w:t>Investors purchasing ADSs in this offering</w:t>
            </w:r>
          </w:p>
        </w:tc>
        <w:tc>
          <w:tcPr>
            <w:tcW w:w="980" w:type="dxa"/>
            <w:vAlign w:val="bottom"/>
            <w:gridSpan w:val="5"/>
          </w:tcPr>
          <w:p>
            <w:pPr>
              <w:ind w:left="80"/>
              <w:spacing w:after="0" w:line="19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32,220,000</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1420" w:type="dxa"/>
            <w:vAlign w:val="bottom"/>
            <w:gridSpan w:val="8"/>
          </w:tcPr>
          <w:p>
            <w:pPr>
              <w:jc w:val="right"/>
              <w:spacing w:after="0" w:line="193" w:lineRule="exact"/>
              <w:rPr>
                <w:sz w:val="20"/>
                <w:szCs w:val="20"/>
                <w:color w:val="auto"/>
              </w:rPr>
            </w:pPr>
            <w:r>
              <w:rPr>
                <w:rFonts w:ascii="Arial" w:cs="Arial" w:eastAsia="Arial" w:hAnsi="Arial"/>
                <w:sz w:val="12"/>
                <w:szCs w:val="12"/>
                <w:color w:val="auto"/>
              </w:rPr>
              <w:t>29.</w:t>
            </w:r>
            <w:r>
              <w:rPr>
                <w:rFonts w:ascii="Arial" w:cs="Arial" w:eastAsia="Arial" w:hAnsi="Arial"/>
                <w:sz w:val="12"/>
                <w:szCs w:val="12"/>
                <w:u w:val="single" w:color="auto"/>
                <w:color w:val="auto"/>
              </w:rPr>
              <w:t>4</w:t>
            </w: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r>
              <w:rPr>
                <w:rFonts w:ascii="Arial" w:cs="Arial" w:eastAsia="Arial" w:hAnsi="Arial"/>
                <w:sz w:val="12"/>
                <w:szCs w:val="12"/>
                <w:color w:val="auto"/>
              </w:rPr>
              <w:t xml:space="preserve"> ​161,100,000</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00" w:type="dxa"/>
            <w:vAlign w:val="bottom"/>
            <w:gridSpan w:val="4"/>
          </w:tcPr>
          <w:p>
            <w:pPr>
              <w:jc w:val="right"/>
              <w:spacing w:after="0" w:line="193" w:lineRule="exact"/>
              <w:rPr>
                <w:sz w:val="20"/>
                <w:szCs w:val="20"/>
                <w:color w:val="auto"/>
              </w:rPr>
            </w:pPr>
            <w:r>
              <w:rPr>
                <w:rFonts w:ascii="Arial" w:cs="Arial" w:eastAsia="Arial" w:hAnsi="Arial"/>
                <w:sz w:val="12"/>
                <w:szCs w:val="12"/>
                <w:color w:val="auto"/>
              </w:rPr>
              <w:t>44.</w:t>
            </w:r>
            <w:r>
              <w:rPr>
                <w:rFonts w:ascii="Arial" w:cs="Arial" w:eastAsia="Arial" w:hAnsi="Arial"/>
                <w:sz w:val="12"/>
                <w:szCs w:val="12"/>
                <w:u w:val="single" w:color="auto"/>
                <w:color w:val="auto"/>
              </w:rPr>
              <w:t>8</w:t>
            </w:r>
            <w:r>
              <w:rPr>
                <w:rFonts w:ascii="Arial" w:cs="Arial" w:eastAsia="Arial" w:hAnsi="Arial"/>
                <w:sz w:val="12"/>
                <w:szCs w:val="12"/>
                <w:color w:val="auto"/>
              </w:rPr>
              <w:t xml:space="preserve"> </w:t>
            </w:r>
            <w:r>
              <w:rPr>
                <w:rFonts w:ascii="Arial" w:cs="Arial" w:eastAsia="Arial" w:hAnsi="Arial"/>
                <w:sz w:val="22"/>
                <w:szCs w:val="22"/>
                <w:color w:val="auto"/>
                <w:vertAlign w:val="subscript"/>
              </w:rPr>
              <w:t>​​​ ​</w:t>
            </w: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36" w:lineRule="exact"/>
              <w:rPr>
                <w:sz w:val="20"/>
                <w:szCs w:val="20"/>
                <w:color w:val="auto"/>
              </w:rPr>
            </w:pPr>
            <w:r>
              <w:rPr>
                <w:rFonts w:ascii="Arial" w:cs="Arial" w:eastAsia="Arial" w:hAnsi="Arial"/>
                <w:sz w:val="12"/>
                <w:szCs w:val="12"/>
                <w:color w:val="auto"/>
              </w:rPr>
              <w:t>Total</w:t>
            </w: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Arial" w:cs="Arial" w:eastAsia="Arial" w:hAnsi="Arial"/>
                <w:sz w:val="12"/>
                <w:szCs w:val="12"/>
                <w:color w:val="auto"/>
                <w:w w:val="95"/>
              </w:rPr>
              <w:t>​109,764,741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1220" w:type="dxa"/>
            <w:vAlign w:val="bottom"/>
            <w:gridSpan w:val="5"/>
          </w:tcPr>
          <w:p>
            <w:pPr>
              <w:jc w:val="right"/>
              <w:spacing w:after="0" w:line="115" w:lineRule="exact"/>
              <w:rPr>
                <w:sz w:val="20"/>
                <w:szCs w:val="20"/>
                <w:color w:val="auto"/>
              </w:rPr>
            </w:pPr>
            <w:r>
              <w:rPr>
                <w:rFonts w:ascii="Arial" w:cs="Arial" w:eastAsia="Arial" w:hAnsi="Arial"/>
                <w:sz w:val="12"/>
                <w:szCs w:val="12"/>
                <w:color w:val="auto"/>
              </w:rPr>
              <w:t>100.0% $359,254,601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480" w:type="dxa"/>
            <w:vAlign w:val="bottom"/>
            <w:gridSpan w:val="3"/>
          </w:tcPr>
          <w:p>
            <w:pPr>
              <w:jc w:val="right"/>
              <w:spacing w:after="0" w:line="115" w:lineRule="exact"/>
              <w:rPr>
                <w:sz w:val="20"/>
                <w:szCs w:val="20"/>
                <w:color w:val="auto"/>
              </w:rPr>
            </w:pPr>
            <w:r>
              <w:rPr>
                <w:rFonts w:ascii="Arial" w:cs="Arial" w:eastAsia="Arial" w:hAnsi="Arial"/>
                <w:sz w:val="12"/>
                <w:szCs w:val="12"/>
                <w:color w:val="auto"/>
              </w:rPr>
              <w:t>100.0%</w:t>
            </w:r>
          </w:p>
        </w:tc>
        <w:tc>
          <w:tcPr>
            <w:tcW w:w="12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0" w:type="dxa"/>
            <w:vAlign w:val="bottom"/>
          </w:tcPr>
          <w:p>
            <w:pPr>
              <w:ind w:left="80"/>
              <w:spacing w:after="0" w:line="58"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6"/>
                <w:szCs w:val="6"/>
                <w:color w:val="auto"/>
              </w:rPr>
            </w:pPr>
          </w:p>
        </w:tc>
        <w:tc>
          <w:tcPr>
            <w:tcW w:w="180" w:type="dxa"/>
            <w:vAlign w:val="bottom"/>
            <w:gridSpan w:val="3"/>
          </w:tcPr>
          <w:p>
            <w:pPr>
              <w:jc w:val="right"/>
              <w:spacing w:after="0" w:line="58" w:lineRule="exact"/>
              <w:rPr>
                <w:sz w:val="20"/>
                <w:szCs w:val="20"/>
                <w:color w:val="auto"/>
              </w:rPr>
            </w:pPr>
            <w:r>
              <w:rPr>
                <w:rFonts w:ascii="Arial" w:cs="Arial" w:eastAsia="Arial" w:hAnsi="Arial"/>
                <w:sz w:val="6"/>
                <w:szCs w:val="6"/>
                <w:color w:val="auto"/>
              </w:rPr>
              <w:t>​​​</w:t>
            </w:r>
          </w:p>
        </w:tc>
        <w:tc>
          <w:tcPr>
            <w:tcW w:w="340" w:type="dxa"/>
            <w:vAlign w:val="bottom"/>
          </w:tcPr>
          <w:p>
            <w:pPr>
              <w:spacing w:after="0"/>
              <w:rPr>
                <w:sz w:val="6"/>
                <w:szCs w:val="6"/>
                <w:color w:val="auto"/>
              </w:rPr>
            </w:pPr>
          </w:p>
        </w:tc>
        <w:tc>
          <w:tcPr>
            <w:tcW w:w="200" w:type="dxa"/>
            <w:vAlign w:val="bottom"/>
            <w:gridSpan w:val="3"/>
          </w:tcPr>
          <w:p>
            <w:pPr>
              <w:jc w:val="center"/>
              <w:spacing w:after="0" w:line="58"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6"/>
                <w:szCs w:val="6"/>
                <w:color w:val="auto"/>
              </w:rPr>
            </w:pPr>
          </w:p>
        </w:tc>
        <w:tc>
          <w:tcPr>
            <w:tcW w:w="200" w:type="dxa"/>
            <w:vAlign w:val="bottom"/>
            <w:gridSpan w:val="3"/>
          </w:tcPr>
          <w:p>
            <w:pPr>
              <w:jc w:val="right"/>
              <w:spacing w:after="0" w:line="58" w:lineRule="exact"/>
              <w:rPr>
                <w:sz w:val="20"/>
                <w:szCs w:val="20"/>
                <w:color w:val="auto"/>
              </w:rPr>
            </w:pPr>
            <w:r>
              <w:rPr>
                <w:rFonts w:ascii="Arial" w:cs="Arial" w:eastAsia="Arial" w:hAnsi="Arial"/>
                <w:sz w:val="6"/>
                <w:szCs w:val="6"/>
                <w:color w:val="auto"/>
              </w:rPr>
              <w:t>​​​​</w:t>
            </w:r>
          </w:p>
        </w:tc>
        <w:tc>
          <w:tcPr>
            <w:tcW w:w="340" w:type="dxa"/>
            <w:vAlign w:val="bottom"/>
          </w:tcPr>
          <w:p>
            <w:pPr>
              <w:spacing w:after="0"/>
              <w:rPr>
                <w:sz w:val="6"/>
                <w:szCs w:val="6"/>
                <w:color w:val="auto"/>
              </w:rPr>
            </w:pPr>
          </w:p>
        </w:tc>
        <w:tc>
          <w:tcPr>
            <w:tcW w:w="260" w:type="dxa"/>
            <w:vAlign w:val="bottom"/>
            <w:gridSpan w:val="3"/>
          </w:tcPr>
          <w:p>
            <w:pPr>
              <w:jc w:val="right"/>
              <w:ind w:right="8"/>
              <w:spacing w:after="0" w:line="58"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733165" cy="135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733165" cy="135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6" w:lineRule="exact"/>
        <w:rPr>
          <w:sz w:val="20"/>
          <w:szCs w:val="20"/>
          <w:color w:val="auto"/>
        </w:rPr>
      </w:pPr>
    </w:p>
    <w:p>
      <w:pPr>
        <w:ind w:left="1720" w:right="1659" w:hanging="155"/>
        <w:spacing w:after="0" w:line="215" w:lineRule="auto"/>
        <w:tabs>
          <w:tab w:leader="none" w:pos="1720" w:val="left"/>
        </w:tabs>
        <w:numPr>
          <w:ilvl w:val="0"/>
          <w:numId w:val="53"/>
        </w:numPr>
        <w:rPr>
          <w:rFonts w:ascii="Arial" w:cs="Arial" w:eastAsia="Arial" w:hAnsi="Arial"/>
          <w:sz w:val="14"/>
          <w:szCs w:val="14"/>
          <w:color w:val="auto"/>
          <w:vertAlign w:val="superscript"/>
        </w:rPr>
      </w:pPr>
      <w:r>
        <w:rPr>
          <w:rFonts w:ascii="Arial" w:cs="Arial" w:eastAsia="Arial" w:hAnsi="Arial"/>
          <w:sz w:val="9"/>
          <w:szCs w:val="9"/>
          <w:color w:val="auto"/>
        </w:rPr>
        <w:t>Includes ordinary shares underlying ADSs. Each ADS represents three ordinary shares. The presentation in this table regarding ownership by existing shareholders does not give effect to any purchases that existing shareholders may make through our directed share program or otherwise purchase in this offering.</w:t>
      </w:r>
    </w:p>
    <w:p>
      <w:pPr>
        <w:spacing w:after="0" w:line="101"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The table assumes no exercise of the underwriters’ option to purchase additional ADSs in this offering. If the underwriters were to fully exercise their option to purchase additional ADSs from us, the percentage of our ordinary shares held by existing shareholders would be reduced to 71.52%, and the percentage of our ordinary shares held by new investors would be increased to 28.48%.</w:t>
      </w:r>
    </w:p>
    <w:p>
      <w:pPr>
        <w:spacing w:after="0" w:line="77"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The number of ordinary shares to be outstanding after this offering is based on 77,544,741 ordinary shares outstanding as of September 30, 2022 (including 572,742 restricted ordinary shares that remained subject to repurchase rights as of such date, and assuming or after giving effect to the automatic conversion of all of our preferred shares outstanding), and excludes:</w:t>
      </w:r>
    </w:p>
    <w:p>
      <w:pPr>
        <w:spacing w:after="0" w:line="19" w:lineRule="exact"/>
        <w:rPr>
          <w:sz w:val="20"/>
          <w:szCs w:val="20"/>
          <w:color w:val="auto"/>
        </w:rPr>
      </w:pPr>
    </w:p>
    <w:p>
      <w:pPr>
        <w:ind w:left="1980" w:right="1779" w:hanging="157"/>
        <w:spacing w:after="0" w:line="308"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7,329,664 ordinary shares issuable upon the exercise of outstanding options as of September 30, 2022, with a weighted-average exercise price of  $1.55 per share;</w:t>
      </w:r>
    </w:p>
    <w:p>
      <w:pPr>
        <w:spacing w:after="0" w:line="3"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397,500 ordinary shares issuable upon the exercise of outstanding options granted subsequent to September 30, 2022, with a weighted-average exercise price of  $3.06 per share;</w:t>
      </w:r>
    </w:p>
    <w:p>
      <w:pPr>
        <w:spacing w:after="0" w:line="13" w:lineRule="exact"/>
        <w:rPr>
          <w:rFonts w:ascii="Arial" w:cs="Arial" w:eastAsia="Arial" w:hAnsi="Arial"/>
          <w:sz w:val="12"/>
          <w:szCs w:val="12"/>
          <w:color w:val="auto"/>
        </w:rPr>
      </w:pPr>
    </w:p>
    <w:p>
      <w:pPr>
        <w:ind w:left="1980" w:right="1799" w:hanging="157"/>
        <w:spacing w:after="0" w:line="308"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112,279 ordinary shares issuable upon the exercise of outstanding warrants as of September 30, 2022, with a weighted-average exercise price of  $0.48 per share;</w:t>
      </w:r>
    </w:p>
    <w:p>
      <w:pPr>
        <w:spacing w:after="0" w:line="3" w:lineRule="exact"/>
        <w:rPr>
          <w:rFonts w:ascii="Arial" w:cs="Arial" w:eastAsia="Arial" w:hAnsi="Arial"/>
          <w:sz w:val="12"/>
          <w:szCs w:val="12"/>
          <w:color w:val="auto"/>
        </w:rPr>
      </w:pPr>
    </w:p>
    <w:p>
      <w:pPr>
        <w:ind w:left="1980" w:right="1679" w:hanging="157"/>
        <w:spacing w:after="0" w:line="278"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13,259,933 ordinary shares reserved for future issuance under our 2023 Plan, as well as any automatic increases in the number of ordinary shares reserved for future issuance under the 2023 Plan, which became effective immediately prior to the execution of the underwriting agreement for this offering (including 1,259,933 ordinary shares reserved for issuance under our 2019 Plan, which shares will be added to the 2023 Plan upon its effectiveness); and</w:t>
      </w:r>
    </w:p>
    <w:p>
      <w:pPr>
        <w:spacing w:after="0" w:line="22" w:lineRule="exact"/>
        <w:rPr>
          <w:rFonts w:ascii="Arial" w:cs="Arial" w:eastAsia="Arial" w:hAnsi="Arial"/>
          <w:sz w:val="12"/>
          <w:szCs w:val="12"/>
          <w:color w:val="auto"/>
        </w:rPr>
      </w:pPr>
    </w:p>
    <w:p>
      <w:pPr>
        <w:ind w:left="1980" w:right="1719" w:hanging="157"/>
        <w:spacing w:after="0" w:line="288"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1,000,000 ordinary shares reserved for future issuance under our ESPP, as well as any automatic increases in the number of ordinary shares reserved for future issuance under the ESPP, which became effective immediately prior to the execution of the underwriting agreement for this offering.</w:t>
      </w:r>
    </w:p>
    <w:p>
      <w:pPr>
        <w:spacing w:after="0" w:line="74"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New investors will experience further dilution if new options or warrants are issued under our equity incentive plans or we issue additional ordinary shares, other equity securities or convertible debt securities in the future.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1" w:name="page102"/>
    <w:bookmarkEnd w:id="101"/>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ENFORCEMENT OF CIVIL LIABILITIES</w:t>
      </w:r>
    </w:p>
    <w:p>
      <w:pPr>
        <w:spacing w:after="0" w:line="24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We are incorporated in the Cayman Islands to take advantage of certain benefits associated with being a</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Cayman Islands exempted company, such as:</w:t>
      </w:r>
    </w:p>
    <w:p>
      <w:pPr>
        <w:spacing w:after="0" w:line="53" w:lineRule="exact"/>
        <w:rPr>
          <w:sz w:val="20"/>
          <w:szCs w:val="20"/>
          <w:color w:val="auto"/>
        </w:rPr>
      </w:pPr>
    </w:p>
    <w:p>
      <w:pPr>
        <w:ind w:left="1980" w:hanging="157"/>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political and economic stability;</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an effective judicial system;</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favorable tax system;</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absence of exchange control or currency restrictions;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availability of professional and support services.</w:t>
      </w:r>
    </w:p>
    <w:p>
      <w:pPr>
        <w:spacing w:after="0" w:line="113" w:lineRule="exact"/>
        <w:rPr>
          <w:sz w:val="20"/>
          <w:szCs w:val="20"/>
          <w:color w:val="auto"/>
        </w:rPr>
      </w:pPr>
    </w:p>
    <w:p>
      <w:pPr>
        <w:ind w:left="1560" w:right="1839"/>
        <w:spacing w:after="0" w:line="291" w:lineRule="auto"/>
        <w:rPr>
          <w:sz w:val="20"/>
          <w:szCs w:val="20"/>
          <w:color w:val="auto"/>
        </w:rPr>
      </w:pPr>
      <w:r>
        <w:rPr>
          <w:rFonts w:ascii="Arial" w:cs="Arial" w:eastAsia="Arial" w:hAnsi="Arial"/>
          <w:sz w:val="12"/>
          <w:szCs w:val="12"/>
          <w:color w:val="auto"/>
        </w:rPr>
        <w:t>However, certain disadvantages accompany incorporation in the Cayman Islands. These disadvantages include, but are not limited to:</w:t>
      </w:r>
    </w:p>
    <w:p>
      <w:pPr>
        <w:spacing w:after="0" w:line="13" w:lineRule="exact"/>
        <w:rPr>
          <w:sz w:val="20"/>
          <w:szCs w:val="20"/>
          <w:color w:val="auto"/>
        </w:rPr>
      </w:pPr>
    </w:p>
    <w:p>
      <w:pPr>
        <w:jc w:val="both"/>
        <w:ind w:left="1980" w:right="1619" w:hanging="157"/>
        <w:spacing w:after="0" w:line="288" w:lineRule="auto"/>
        <w:tabs>
          <w:tab w:leader="none" w:pos="19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Cayman Islands has a less developed body of securities laws as compared to the United States and these securities laws provide significantly less protection to investors as compared to the United States; and</w:t>
      </w:r>
    </w:p>
    <w:p>
      <w:pPr>
        <w:spacing w:after="0" w:line="15"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Cayman Islands companies may not have standing to sue before the federal courts of the United States.</w:t>
      </w:r>
    </w:p>
    <w:p>
      <w:pPr>
        <w:spacing w:after="0" w:line="52" w:lineRule="exact"/>
        <w:rPr>
          <w:sz w:val="20"/>
          <w:szCs w:val="20"/>
          <w:color w:val="auto"/>
        </w:rPr>
      </w:pPr>
    </w:p>
    <w:p>
      <w:pPr>
        <w:ind w:left="1560" w:right="1679"/>
        <w:spacing w:after="0" w:line="291" w:lineRule="auto"/>
        <w:rPr>
          <w:sz w:val="20"/>
          <w:szCs w:val="20"/>
          <w:color w:val="auto"/>
        </w:rPr>
      </w:pPr>
      <w:r>
        <w:rPr>
          <w:rFonts w:ascii="Arial" w:cs="Arial" w:eastAsia="Arial" w:hAnsi="Arial"/>
          <w:sz w:val="12"/>
          <w:szCs w:val="12"/>
          <w:color w:val="auto"/>
        </w:rPr>
        <w:t>Our constituent documents do not contain provisions requiring that disputes, including those arising under the securities laws of the United States, between us, our officers, directors and shareholders, be arbitrated.</w:t>
      </w:r>
    </w:p>
    <w:p>
      <w:pPr>
        <w:spacing w:after="0" w:line="62"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Certain of our operations are conducted in China, and certain of our assets are located in China. Certain of our executive officers are nationals or residents of jurisdictions other than the United States or may have assets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78"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We have appointed Raymond Stevens as our agent upon whom process may be served in any action brought against us under the securities laws of the United States. Travers Thorp Alberga, our legal counsel as to Cayman Islands law, and Zhong Lun Law Firm, our legal counsel as to Chinese law, have advised us, respectively, that there is uncertainty as to whether the courts of the Cayman Islands and China, respectively, would:</w:t>
      </w:r>
    </w:p>
    <w:p>
      <w:pPr>
        <w:spacing w:after="0" w:line="28" w:lineRule="exact"/>
        <w:rPr>
          <w:sz w:val="20"/>
          <w:szCs w:val="20"/>
          <w:color w:val="auto"/>
        </w:rPr>
      </w:pPr>
    </w:p>
    <w:p>
      <w:pPr>
        <w:ind w:left="1980" w:right="1659" w:hanging="157"/>
        <w:spacing w:after="0" w:line="288" w:lineRule="auto"/>
        <w:tabs>
          <w:tab w:leader="none" w:pos="19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5"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entertain original actions brought in each respective jurisdiction against us or our directors or officers predicated upon the securities laws of the United States or any state in the United States.</w:t>
      </w:r>
    </w:p>
    <w:p>
      <w:pPr>
        <w:spacing w:after="0" w:line="52"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Travers Thorp Alberga has informed us that the uncertainty with regard to Cayman Islands law relates to whether a judgment obtained from the United States courts under civil liability provisions of the securities laws will be determined by the courts of the Cayman Islands as penal or punitive in nature. The courts of the Cayman Islands may not recognize or enforce such judgments against a Cayman Islands company. Because the courts of the Cayman Islands have yet to rule on whether such judgments are penal or punitive in nature, it is uncertain whether they would be enforceable in the Cayman Islands. Travers Thorp Alberga have advised us that the United States and the Cayman Islands do not have a treaty providing for reciprocal recognition and enforcement of judgments of U.S. courts in civil and commercial matters, and although there is no statutory enforcement in the Cayman Islands of judgments obtained in the federal or state courts of the United States, a judgment in personam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w:t>
      </w:r>
    </w:p>
    <w:p>
      <w:pPr>
        <w:spacing w:after="0" w:line="31" w:lineRule="exact"/>
        <w:rPr>
          <w:sz w:val="20"/>
          <w:szCs w:val="20"/>
          <w:color w:val="auto"/>
        </w:rPr>
      </w:pPr>
    </w:p>
    <w:p>
      <w:pPr>
        <w:ind w:left="1980" w:hanging="157"/>
        <w:spacing w:after="0"/>
        <w:tabs>
          <w:tab w:leader="none" w:pos="19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is given by a competent foreign court with jurisdiction to give the judgment;</w:t>
      </w:r>
    </w:p>
    <w:p>
      <w:pPr>
        <w:spacing w:after="0" w:line="65" w:lineRule="exact"/>
        <w:rPr>
          <w:rFonts w:ascii="Arial" w:cs="Arial" w:eastAsia="Arial" w:hAnsi="Arial"/>
          <w:sz w:val="12"/>
          <w:szCs w:val="12"/>
          <w:color w:val="auto"/>
        </w:rPr>
      </w:pPr>
    </w:p>
    <w:p>
      <w:pPr>
        <w:ind w:left="1980" w:right="2039" w:hanging="157"/>
        <w:spacing w:after="0" w:line="308" w:lineRule="auto"/>
        <w:tabs>
          <w:tab w:leader="none" w:pos="19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imposes a specific positive obligation on the judgment debtor (such as an obligation to pay a liquidated sum or perform a specified obligation);</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2" w:name="page103"/>
    <w:bookmarkEnd w:id="10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hanging="157"/>
        <w:spacing w:after="0"/>
        <w:tabs>
          <w:tab w:leader="none" w:pos="19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is final and conclusive;</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is not in respect of taxes, a fine or a penalty; and</w:t>
      </w:r>
    </w:p>
    <w:p>
      <w:pPr>
        <w:spacing w:after="0" w:line="74"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was not obtained in a manner and is not of a kind the enforcement of which is contrary to natural justice or the public policy of the Cayman Islands.</w:t>
      </w:r>
    </w:p>
    <w:p>
      <w:pPr>
        <w:spacing w:after="0" w:line="52"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Zhong Lun Law Firm has further advised us that the recognition and enforcement of foreign judgments are provided for under the PRC Civil Procedures Law. Chinese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Chinese law or national sovereignty, security or social public interest. As a result, it is uncertain whether and on what basis a Chinese court would enforce a judgment rendered by a court in the United States or in the Cayman Islands. Under the PRC Civil Procedures Law, foreign shareholders may originate actions based on Chinese law against a company in China for disputes if they can establish sufficient nexus to China for a Chinese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China by virtue only of holding our ADSs or Ordinary Shares.</w:t>
      </w:r>
    </w:p>
    <w:p>
      <w:pPr>
        <w:spacing w:after="0" w:line="89"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In addition, it will be difficult for U.S. shareholders to originate actions against us in China in accordance with Chinese laws because we are incorporated under the laws of the Cayman Islands and it will be difficult for U.S. shareholders, by virtue only of holding our ADSs or Ordinary Shares, to establish a connection to China for a Chinese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3" w:name="page104"/>
    <w:bookmarkEnd w:id="103"/>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146"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i w:val="1"/>
          <w:iCs w:val="1"/>
          <w:color w:val="auto"/>
        </w:rPr>
        <w:t>You should carefully read, consider, and evaluate the following discussion and analysis of our financial condition and results of operations together with our consolidated financial statements and the related notes included elsewhere in this prospectus. This discussion and other parts of this prospectus contain forward-looking statements that involve risks and uncertainties, such as statements of our plans, objectives, expectations and intentions, which are based on the beliefs of our management, as well as assumptions made by, and information currently available to, our management. Our actual results could differ materially from those discussed in these forward-looking statements. Please also see the section titled “Special Note Regarding Forward-Looking Statements.” Factors that could cause or contribute to such differences include, but are not limited to, those discussed in the section titled “Risk Factors.”</w:t>
      </w:r>
    </w:p>
    <w:p>
      <w:pPr>
        <w:spacing w:after="0" w:line="4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Overview</w:t>
      </w:r>
    </w:p>
    <w:p>
      <w:pPr>
        <w:spacing w:after="0" w:line="46"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We are a clinical stage global biopharmaceutical company aiming to develop and deliver novel oral therapeutics to treat a wide range of chronic diseases with unmet medical need.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w:t>
      </w:r>
    </w:p>
    <w:p>
      <w:pPr>
        <w:spacing w:after="0" w:line="81"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Our initial focus is on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GLP-1R for the treatment of T2DM and obesity. We completed our Phase 1 SAD study of GSBR-1290 in September 2022. GSBR-1290 was generally well tolerated and demonstrated dose-dependent PK and PD activity. We submitted an IND to the FDA to support initiation of a Phase 1b proof-of-concept study in T2DM and obesity and received FDA allowance in September 2022. We initiated the Phase 1b MAD study in January 2023 and plan to submit a protocol amendment to the FDA to transition to a Phase 2a proof-of-concept study in T2DM and obesity in the second half of 2023. We expect to report topline data for the Phase 1b study and Phase 2a study with the expected initiation in the second half of 2023. Beyond GSBR-1290, we are developing next generation GLP-1R candidates, including dual GLP-1R/GIPR agonists, each designed with customized properties to achieve additional benefit. In September 2022, we completed a Phase 1 SAD and MAD study evaluating ANPA-0073, our small molecule product candidate targeting APJR. ANPA-0073 was generally well tolerated in healthy human volunteers. ANPA-0073 is in development for the treatment of patients with IPF and PAH. We expect to conduct additional preclinical studies to be followed by a Phase 1 formulation bridging PK study in Australia. Moreover, we are advancing a differentiated LPA1R antagonist for the treatment of IPF. We selected a development candidate in January 2023 and expect to initiate a first-in-human study in 2024.</w:t>
      </w:r>
    </w:p>
    <w:p>
      <w:pPr>
        <w:spacing w:after="0" w:line="84" w:lineRule="exact"/>
        <w:rPr>
          <w:sz w:val="20"/>
          <w:szCs w:val="20"/>
          <w:color w:val="auto"/>
        </w:rPr>
      </w:pPr>
    </w:p>
    <w:p>
      <w:pPr>
        <w:ind w:left="1560" w:right="1919"/>
        <w:spacing w:after="0" w:line="308" w:lineRule="auto"/>
        <w:rPr>
          <w:sz w:val="20"/>
          <w:szCs w:val="20"/>
          <w:color w:val="auto"/>
        </w:rPr>
      </w:pPr>
      <w:r>
        <w:rPr>
          <w:rFonts w:ascii="Arial" w:cs="Arial" w:eastAsia="Arial" w:hAnsi="Arial"/>
          <w:sz w:val="12"/>
          <w:szCs w:val="12"/>
          <w:color w:val="auto"/>
        </w:rPr>
        <w:t>We are advancing a robust pipeline of small molecule therapeutic candidates for chronic diseases with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49530</wp:posOffset>
            </wp:positionV>
            <wp:extent cx="3733165" cy="12522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3316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4" w:name="page105"/>
    <w:bookmarkEnd w:id="10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82"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$15.9 million and $38.0 million in the years ended December 31, 2020 and 2021, respectively, and net losses of</w:t>
      </w:r>
    </w:p>
    <w:p>
      <w:pPr>
        <w:spacing w:after="0" w:line="1"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$24.7 million and $39.4 million for the nine months ended September 30, 2021 and 2022, respectively. As of September 30, 2022, we had an accumulated deficit of  $105.1 million. As of September 30, 2022, we have financed our operations primarily through the private placement of equity securities and have received aggregate gross proceeds of approximately $198.0 million, and have cash, cash equivalents and short-term investments of  $102.8 million. Based on our current business plan, we estimate that our existing cash, cash equivalents and short-term investments as of the date of this prospectus, together with the estimated net proceeds from this offering, will be sufficient to fund our projected operations through at least 2025. We have based this estimate on assumptions that may prove to be wrong, and we may exhaust our available capital resources sooner than we expect.</w:t>
      </w:r>
    </w:p>
    <w:p>
      <w:pPr>
        <w:spacing w:after="0" w:line="75"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following the closing of this offering, we expect to incur additional costs associated with operating as a public company, including significant legal, audit, accounting, regulatory, consulting, and tax-related services associated with being a public company, compliance with Nasdaq listing and SEC requirements, director and officer insurance premiums and investor relations costs that we did not incur as a private company. As a result, we will need substantial additional capital to develop our product candidates and fund operations for the foreseeable future.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Until such time as we can generate significant revenue from our products,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 Our ability to raise additional funds may be adversely impacted by potential worsening global economic conditions and disruptions to and volatility in the credit and financial markets in the United States and worldwide resulting from the ongoing COVID-19 pandemic or other events. Because of the numerous risks and uncertainties associated with product development, we cannot predict the timing or amount of increased expenses or when or if we will be able to achieve or maintain profitability.</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5" w:name="page106"/>
    <w:bookmarkEnd w:id="10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Impact of the COVID-19 Pandemic</w:t>
      </w:r>
    </w:p>
    <w:p>
      <w:pPr>
        <w:spacing w:after="0" w:line="36"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December 2019, a novel strain of coronavirus, COVID-19, was reported in China. Since then, COVID-19 has spread globally. The spread of COVID-19 from China to other countries has resulted in the World Health Organization, or WHO, declaring the outbreak of COVID-19 as a pandemic. Many countries around the world had imposed quarantines and restrictions on travel and mass gatherings to slow the spread of the virus and had closed non-essential businesses. If local jurisdictions continue to put restrictions in place, our ability to continue to operate our business may also be limited. Such events may result in a period of business, supply and research activities’ disruption, and in reduced operations, any of which could materially affect our business, financial condition and results of operations.</w:t>
      </w:r>
    </w:p>
    <w:p>
      <w:pPr>
        <w:spacing w:after="0" w:line="81"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To date, we have experienced delays in our patient enrollment and our supply chain as a direct result of COVID-19 on our suppliers’ ability to timely manufacture and ship certain supplies such as reagents and other lab consumables. However, we cannot, at this time, predict the specific extent, duration or full impact that the COVID-19 pandemic will have on our financial condition and operations, including our ongoing and planned preclinical studies and clinical trials. More specifically, the COVID-19 pandemic could disrupt the supply chain and the manufacture or shipment of drug substances and finished drug products for our product candidates for use in our research, preclinical studies and clinical trials, impede our clinical trial initiation and recruitment and the ability of patients to continue in clinical trials and cause delays in the FDA’s review and approval processes, any of which could delay our preclinical studies and clinical trials and increase our development costs.</w:t>
      </w:r>
    </w:p>
    <w:p>
      <w:pPr>
        <w:spacing w:after="0" w:line="79" w:lineRule="exact"/>
        <w:rPr>
          <w:sz w:val="20"/>
          <w:szCs w:val="20"/>
          <w:color w:val="auto"/>
        </w:rPr>
      </w:pPr>
    </w:p>
    <w:p>
      <w:pPr>
        <w:ind w:left="1560" w:right="1659"/>
        <w:spacing w:after="0" w:line="264" w:lineRule="auto"/>
        <w:rPr>
          <w:sz w:val="20"/>
          <w:szCs w:val="20"/>
          <w:color w:val="auto"/>
        </w:rPr>
      </w:pPr>
      <w:r>
        <w:rPr>
          <w:rFonts w:ascii="Arial" w:cs="Arial" w:eastAsia="Arial" w:hAnsi="Arial"/>
          <w:sz w:val="12"/>
          <w:szCs w:val="12"/>
          <w:color w:val="auto"/>
        </w:rPr>
        <w:t>In addition, 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Possible effects may also include absenteeism in our labor workforce and unavailability of products and supplies used in operations.</w:t>
      </w:r>
    </w:p>
    <w:p>
      <w:pPr>
        <w:spacing w:after="0" w:line="78" w:lineRule="exact"/>
        <w:rPr>
          <w:sz w:val="20"/>
          <w:szCs w:val="20"/>
          <w:color w:val="auto"/>
        </w:rPr>
      </w:pPr>
    </w:p>
    <w:p>
      <w:pPr>
        <w:jc w:val="both"/>
        <w:ind w:left="1560" w:right="1799"/>
        <w:spacing w:after="0" w:line="271" w:lineRule="auto"/>
        <w:rPr>
          <w:sz w:val="20"/>
          <w:szCs w:val="20"/>
          <w:color w:val="auto"/>
        </w:rPr>
      </w:pPr>
      <w:r>
        <w:rPr>
          <w:rFonts w:ascii="Arial" w:cs="Arial" w:eastAsia="Arial" w:hAnsi="Arial"/>
          <w:sz w:val="12"/>
          <w:szCs w:val="12"/>
          <w:color w:val="auto"/>
        </w:rPr>
        <w:t>The global COVID-19 pandemic continues to rapidly evolve, and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third-parties with whom we do business.</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Lhotse Collaboration Agreement with Schrödinger, LLC</w:t>
      </w:r>
    </w:p>
    <w:p>
      <w:pPr>
        <w:spacing w:after="0" w:line="36"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In October 2020, Lhotse, our wholly-owned subsidiary, entered into the Lhotse-Schrödinger Agreement with Schrödinger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85"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September 30, 2022, we have paid to Schrödinger an aggregate of  $0.8 million. If Lhotse develops and commercializes a product containing a compound, or Collaboration Compound, that is discovered or developed under the Lhotse-Schrödinger Agreement, or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on a Collaboration Product-by-Collaboration Product basis equal to low single digit percentages on aggregate worldwide net sales of</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6" w:name="page107"/>
    <w:bookmarkEnd w:id="10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Collaboration Products, subject to specified reductions and offsets. Lhotse’s obligation to pay royalties to Schrödinger will expire on a Collaboration Product-by-Collaboration Product and country-by-country basis on the later of  (i) the expiration of the last-to-expire Lhotse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or Royalty Term.</w:t>
      </w:r>
    </w:p>
    <w:p>
      <w:pPr>
        <w:spacing w:after="0" w:line="82" w:lineRule="exact"/>
        <w:rPr>
          <w:sz w:val="20"/>
          <w:szCs w:val="20"/>
          <w:color w:val="auto"/>
        </w:rPr>
      </w:pPr>
    </w:p>
    <w:p>
      <w:pPr>
        <w:ind w:left="1560" w:right="1759"/>
        <w:spacing w:after="0" w:line="276" w:lineRule="auto"/>
        <w:rPr>
          <w:sz w:val="20"/>
          <w:szCs w:val="20"/>
          <w:color w:val="auto"/>
        </w:rPr>
      </w:pPr>
      <w:r>
        <w:rPr>
          <w:rFonts w:ascii="Arial" w:cs="Arial" w:eastAsia="Arial" w:hAnsi="Arial"/>
          <w:sz w:val="12"/>
          <w:szCs w:val="12"/>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9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33"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Research and Development</w:t>
      </w:r>
    </w:p>
    <w:p>
      <w:pPr>
        <w:spacing w:after="0" w:line="44"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Our research and development activities primarily consist of discovery, engineering and research associated with our product candidates under development, including preclinical studies and clinical studies. Research and development expenses include personnel-related costs for our management, including salaries, bonuses, benefits and share-based compensation expenses, consulting services, clinical trial expenses, regulatory expenses, publications, and allocated overhead expenses, including rent, equipment, depreciation, information technology costs and utilities.</w:t>
      </w:r>
    </w:p>
    <w:p>
      <w:pPr>
        <w:spacing w:after="0" w:line="82"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We are focusing substantially all of our resources on the development of our product candidates and the discovery of new product candidates through our structure-based drug discovery platform. At this time, we cannot reasonably estimate or know the nature, timing and estimated costs of the efforts that will be necessary to complete the development of our product candidates. The duration, costs and timing of clinical trials and development of our product candidates will depend on a variety of factors, including:</w:t>
      </w:r>
    </w:p>
    <w:p>
      <w:pPr>
        <w:spacing w:after="0" w:line="32" w:lineRule="exact"/>
        <w:rPr>
          <w:sz w:val="20"/>
          <w:szCs w:val="20"/>
          <w:color w:val="auto"/>
        </w:rPr>
      </w:pPr>
    </w:p>
    <w:p>
      <w:pPr>
        <w:ind w:left="1980" w:right="1599" w:hanging="157"/>
        <w:spacing w:after="0" w:line="308" w:lineRule="auto"/>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scope, rate of progress, expense and results of our clinical trials and preclinical studies and other research and development activities;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phases of development of our product candidates;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number of trials required for approval;</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number of sites included in our trials;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countries in which our trials are conducted;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per subject trial costs;</w:t>
      </w:r>
    </w:p>
    <w:p>
      <w:pPr>
        <w:spacing w:after="0" w:line="74"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uncertainties in clinical trial enrollment rates or design and drop-out/discontinuation rates, especially in light of the ongoing COVID-19 pandemic;</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significant and changing government regulation;</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timing and receipt of any regulatory approvals;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FDA’s, or other regulatory authority’s influence on clinical trial design;</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making arrangements with third-party CROs;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cost and timing of manufacturing our product candidates;</w:t>
      </w:r>
    </w:p>
    <w:p>
      <w:pPr>
        <w:spacing w:after="0" w:line="74" w:lineRule="exact"/>
        <w:rPr>
          <w:rFonts w:ascii="Arial" w:cs="Arial" w:eastAsia="Arial" w:hAnsi="Arial"/>
          <w:sz w:val="12"/>
          <w:szCs w:val="12"/>
          <w:color w:val="auto"/>
        </w:rPr>
      </w:pPr>
    </w:p>
    <w:p>
      <w:pPr>
        <w:ind w:left="1980" w:right="1779" w:hanging="157"/>
        <w:spacing w:after="0" w:line="308" w:lineRule="auto"/>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commercializing product candidates, if and when approved, whether alone or in collaboration with others;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extent to which we establish additional strategic arrangements;</w:t>
      </w:r>
    </w:p>
    <w:p>
      <w:pPr>
        <w:spacing w:after="0" w:line="65" w:lineRule="exact"/>
        <w:rPr>
          <w:rFonts w:ascii="Arial" w:cs="Arial" w:eastAsia="Arial" w:hAnsi="Arial"/>
          <w:sz w:val="12"/>
          <w:szCs w:val="12"/>
          <w:color w:val="auto"/>
        </w:rPr>
      </w:pPr>
    </w:p>
    <w:p>
      <w:pPr>
        <w:ind w:left="1980" w:right="1979" w:hanging="157"/>
        <w:spacing w:after="0" w:line="308" w:lineRule="auto"/>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for our product candidates; and</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retention of key research and development personnel.</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7" w:name="page108"/>
    <w:bookmarkEnd w:id="10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A change in the outcome of any of these variables with respect to the development of a product candidate could significantly change the costs, timing and viability associated with the development of that product candidate. For example, if the FDA, or an applicable foreign authority, were to require us to conduct clinical trials beyond those that we currently anticipate will be required for the completion of clinical development of our product candidates, or if we experience significant delays in enrollment in any of our clinical trials,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81" w:lineRule="exact"/>
        <w:rPr>
          <w:sz w:val="20"/>
          <w:szCs w:val="20"/>
          <w:color w:val="auto"/>
        </w:rPr>
      </w:pPr>
    </w:p>
    <w:p>
      <w:pPr>
        <w:ind w:left="1560" w:right="1779"/>
        <w:spacing w:after="0" w:line="271" w:lineRule="auto"/>
        <w:rPr>
          <w:sz w:val="20"/>
          <w:szCs w:val="20"/>
          <w:color w:val="auto"/>
        </w:rPr>
      </w:pPr>
      <w:r>
        <w:rPr>
          <w:rFonts w:ascii="Arial" w:cs="Arial" w:eastAsia="Arial" w:hAnsi="Arial"/>
          <w:sz w:val="12"/>
          <w:szCs w:val="12"/>
          <w:color w:val="auto"/>
        </w:rPr>
        <w:t>We expect our research and development expenses to continue to account for a significant portion of our operating expenses, and to increase substantially during the next several years as we seek to complete preclinical studies, initiate and/or complete clinical trials, identify new product candidates and potentially pursue regulatory approval of our product candidates.</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General and Administrative</w:t>
      </w:r>
    </w:p>
    <w:p>
      <w:pPr>
        <w:spacing w:after="0" w:line="34" w:lineRule="exact"/>
        <w:rPr>
          <w:sz w:val="20"/>
          <w:szCs w:val="20"/>
          <w:color w:val="auto"/>
        </w:rPr>
      </w:pPr>
    </w:p>
    <w:p>
      <w:pPr>
        <w:ind w:left="1560" w:right="1639"/>
        <w:spacing w:after="0" w:line="268" w:lineRule="auto"/>
        <w:rPr>
          <w:sz w:val="20"/>
          <w:szCs w:val="20"/>
          <w:color w:val="auto"/>
        </w:rPr>
      </w:pPr>
      <w:r>
        <w:rPr>
          <w:rFonts w:ascii="Arial" w:cs="Arial" w:eastAsia="Arial" w:hAnsi="Arial"/>
          <w:sz w:val="12"/>
          <w:szCs w:val="12"/>
          <w:color w:val="auto"/>
        </w:rPr>
        <w:t>Our general and administrative expenses consist primarily of personnel-related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spacing w:after="0" w:line="225"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We expect our general and administrative expenses will increase during the next several years as we increase our headcount and expand our infrastructure to support our operations, particularly as a public company. Additionally, in connection with being a public company, we anticipate significant increased expenses related to legal, audit, accounting, regulatory, consulting, and tax-related services, compliance with SEC rules and regulations and Nasdaq listing requirements, director and officer insurance premiums and investor relations costs. Our general and administrative expenses may fluctuate from period to period as we continue to grow.</w:t>
      </w:r>
    </w:p>
    <w:p>
      <w:pPr>
        <w:spacing w:after="0" w:line="18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Interest and Other Income (Expense), Net</w:t>
      </w:r>
    </w:p>
    <w:p>
      <w:pPr>
        <w:spacing w:after="0" w:line="34" w:lineRule="exact"/>
        <w:rPr>
          <w:sz w:val="20"/>
          <w:szCs w:val="20"/>
          <w:color w:val="auto"/>
        </w:rPr>
      </w:pPr>
    </w:p>
    <w:p>
      <w:pPr>
        <w:ind w:left="1560" w:right="1699"/>
        <w:spacing w:after="0" w:line="280" w:lineRule="auto"/>
        <w:rPr>
          <w:sz w:val="20"/>
          <w:szCs w:val="20"/>
          <w:color w:val="auto"/>
        </w:rPr>
      </w:pPr>
      <w:r>
        <w:rPr>
          <w:rFonts w:ascii="Arial" w:cs="Arial" w:eastAsia="Arial" w:hAnsi="Arial"/>
          <w:sz w:val="12"/>
          <w:szCs w:val="12"/>
          <w:color w:val="auto"/>
        </w:rPr>
        <w:t>Interest and other income (expense), net primarily consists of interest income earned on our cash, cash equivalents and short-term investments, foreign currency exchange gains and losses and interest expense for the amortization of debt issuance costs.</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Results of Operations</w:t>
      </w:r>
    </w:p>
    <w:p>
      <w:pPr>
        <w:spacing w:after="0" w:line="10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Comparison of the Nine Months Ended September 30, 2021 and 2022</w:t>
      </w:r>
    </w:p>
    <w:p>
      <w:pPr>
        <w:spacing w:after="0" w:line="34" w:lineRule="exact"/>
        <w:rPr>
          <w:sz w:val="20"/>
          <w:szCs w:val="20"/>
          <w:color w:val="auto"/>
        </w:rPr>
      </w:pPr>
    </w:p>
    <w:p>
      <w:pPr>
        <w:ind w:left="1560" w:right="1699"/>
        <w:spacing w:after="0" w:line="291" w:lineRule="auto"/>
        <w:rPr>
          <w:sz w:val="20"/>
          <w:szCs w:val="20"/>
          <w:color w:val="auto"/>
        </w:rPr>
      </w:pPr>
      <w:r>
        <w:rPr>
          <w:rFonts w:ascii="Arial" w:cs="Arial" w:eastAsia="Arial" w:hAnsi="Arial"/>
          <w:sz w:val="12"/>
          <w:szCs w:val="12"/>
          <w:color w:val="auto"/>
        </w:rPr>
        <w:t>The following table summarizes our condensed consolidated results of operations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67945</wp:posOffset>
            </wp:positionV>
            <wp:extent cx="373316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26"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2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rPr>
              <w:t>NINE MONTHS ENDED</w:t>
            </w:r>
          </w:p>
        </w:tc>
        <w:tc>
          <w:tcPr>
            <w:tcW w:w="40" w:type="dxa"/>
            <w:vAlign w:val="bottom"/>
          </w:tcPr>
          <w:p>
            <w:pPr>
              <w:spacing w:after="0"/>
              <w:rPr>
                <w:sz w:val="11"/>
                <w:szCs w:val="11"/>
                <w:color w:val="auto"/>
              </w:rPr>
            </w:pPr>
          </w:p>
        </w:tc>
      </w:tr>
      <w:tr>
        <w:trPr>
          <w:trHeight w:val="152"/>
        </w:trPr>
        <w:tc>
          <w:tcPr>
            <w:tcW w:w="2260" w:type="dxa"/>
            <w:vAlign w:val="bottom"/>
          </w:tcPr>
          <w:p>
            <w:pPr>
              <w:spacing w:after="0"/>
              <w:rPr>
                <w:sz w:val="20"/>
                <w:szCs w:val="20"/>
                <w:color w:val="auto"/>
              </w:rPr>
            </w:pPr>
            <w:r>
              <w:rPr>
                <w:rFonts w:ascii="Arial" w:cs="Arial" w:eastAsia="Arial" w:hAnsi="Arial"/>
                <w:sz w:val="10"/>
                <w:szCs w:val="10"/>
                <w:b w:val="1"/>
                <w:bCs w:val="1"/>
                <w:color w:val="auto"/>
              </w:rPr>
              <w:t>​</w:t>
            </w:r>
          </w:p>
        </w:tc>
        <w:tc>
          <w:tcPr>
            <w:tcW w:w="2380" w:type="dxa"/>
            <w:vAlign w:val="bottom"/>
          </w:tcPr>
          <w:p>
            <w:pPr>
              <w:ind w:left="2240"/>
              <w:spacing w:after="0"/>
              <w:rPr>
                <w:sz w:val="20"/>
                <w:szCs w:val="20"/>
                <w:color w:val="auto"/>
              </w:rPr>
            </w:pPr>
            <w:r>
              <w:rPr>
                <w:rFonts w:ascii="Arial" w:cs="Arial" w:eastAsia="Arial" w:hAnsi="Arial"/>
                <w:sz w:val="10"/>
                <w:szCs w:val="10"/>
                <w:b w:val="1"/>
                <w:bCs w:val="1"/>
                <w:color w:val="auto"/>
              </w:rPr>
              <w:t>​ ​</w:t>
            </w: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r>
      <w:tr>
        <w:trPr>
          <w:trHeight w:val="154"/>
        </w:trPr>
        <w:tc>
          <w:tcPr>
            <w:tcW w:w="2260" w:type="dxa"/>
            <w:vAlign w:val="bottom"/>
          </w:tcPr>
          <w:p>
            <w:pPr>
              <w:spacing w:after="0"/>
              <w:rPr>
                <w:sz w:val="20"/>
                <w:szCs w:val="20"/>
                <w:color w:val="auto"/>
              </w:rPr>
            </w:pPr>
            <w:r>
              <w:rPr>
                <w:rFonts w:ascii="Arial" w:cs="Arial" w:eastAsia="Arial" w:hAnsi="Arial"/>
                <w:sz w:val="10"/>
                <w:szCs w:val="10"/>
                <w:b w:val="1"/>
                <w:bCs w:val="1"/>
                <w:color w:val="auto"/>
              </w:rPr>
              <w:t>​</w:t>
            </w:r>
          </w:p>
        </w:tc>
        <w:tc>
          <w:tcPr>
            <w:tcW w:w="2380" w:type="dxa"/>
            <w:vAlign w:val="bottom"/>
          </w:tcPr>
          <w:p>
            <w:pPr>
              <w:ind w:left="2260"/>
              <w:spacing w:after="0"/>
              <w:rPr>
                <w:sz w:val="20"/>
                <w:szCs w:val="20"/>
                <w:color w:val="auto"/>
              </w:rPr>
            </w:pPr>
            <w:r>
              <w:rPr>
                <w:rFonts w:ascii="Arial" w:cs="Arial" w:eastAsia="Arial" w:hAnsi="Arial"/>
                <w:sz w:val="10"/>
                <w:szCs w:val="10"/>
                <w:b w:val="1"/>
                <w:bCs w:val="1"/>
                <w:color w:val="auto"/>
              </w:rPr>
              <w:t>​ ​</w:t>
            </w:r>
          </w:p>
        </w:tc>
        <w:tc>
          <w:tcPr>
            <w:tcW w:w="1240" w:type="dxa"/>
            <w:vAlign w:val="bottom"/>
            <w:gridSpan w:val="3"/>
          </w:tcPr>
          <w:p>
            <w:pPr>
              <w:jc w:val="center"/>
              <w:ind w:right="20"/>
              <w:spacing w:after="0" w:line="154" w:lineRule="exact"/>
              <w:rPr>
                <w:sz w:val="20"/>
                <w:szCs w:val="20"/>
                <w:color w:val="auto"/>
              </w:rPr>
            </w:pPr>
            <w:r>
              <w:rPr>
                <w:rFonts w:ascii="Arial" w:cs="Arial" w:eastAsia="Arial" w:hAnsi="Arial"/>
                <w:sz w:val="9"/>
                <w:szCs w:val="9"/>
                <w:b w:val="1"/>
                <w:bCs w:val="1"/>
                <w:color w:val="auto"/>
              </w:rPr>
              <w:t xml:space="preserve">2021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2022</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r>
      <w:tr>
        <w:trPr>
          <w:trHeight w:val="20"/>
        </w:trPr>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-5715</wp:posOffset>
            </wp:positionV>
            <wp:extent cx="3733165" cy="1168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Operating expenses:</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33165" cy="128905"/>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General and administrative</w:t>
      </w:r>
    </w:p>
    <w:p>
      <w:pPr>
        <w:spacing w:after="0" w:line="5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27305</wp:posOffset>
            </wp:positionV>
            <wp:extent cx="3733165" cy="1168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Loss from operations</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Interest and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27305</wp:posOffset>
            </wp:positionV>
            <wp:extent cx="3733165" cy="1168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Loss before income tax expense</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27305</wp:posOffset>
            </wp:positionV>
            <wp:extent cx="3733165" cy="135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733165" cy="135255"/>
                    </a:xfrm>
                    <a:prstGeom prst="rect">
                      <a:avLst/>
                    </a:prstGeom>
                    <a:noFill/>
                  </pic:spPr>
                </pic:pic>
              </a:graphicData>
            </a:graphic>
          </wp:anchor>
        </w:drawing>
      </w:r>
    </w:p>
    <w:p>
      <w:pPr>
        <w:spacing w:after="0" w:line="4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94615</wp:posOffset>
            </wp:positionV>
            <wp:extent cx="373316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2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19,204​​</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27,833​</w:t>
            </w:r>
          </w:p>
        </w:tc>
        <w:tc>
          <w:tcPr>
            <w:tcW w:w="0" w:type="dxa"/>
            <w:vAlign w:val="bottom"/>
          </w:tcPr>
          <w:p>
            <w:pPr>
              <w:spacing w:after="0"/>
              <w:rPr>
                <w:sz w:val="1"/>
                <w:szCs w:val="1"/>
                <w:color w:val="auto"/>
              </w:rPr>
            </w:pPr>
          </w:p>
        </w:tc>
      </w:tr>
      <w:tr>
        <w:trPr>
          <w:trHeight w:val="184"/>
        </w:trPr>
        <w:tc>
          <w:tcPr>
            <w:tcW w:w="280" w:type="dxa"/>
            <w:vAlign w:val="bottom"/>
            <w:gridSpan w:val="3"/>
          </w:tcPr>
          <w:p>
            <w:pPr>
              <w:ind w:left="20"/>
              <w:spacing w:after="0" w:line="185"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w:t>
            </w:r>
          </w:p>
        </w:tc>
        <w:tc>
          <w:tcPr>
            <w:tcW w:w="500" w:type="dxa"/>
            <w:vAlign w:val="bottom"/>
            <w:gridSpan w:val="2"/>
          </w:tcPr>
          <w:p>
            <w:pPr>
              <w:jc w:val="right"/>
              <w:spacing w:after="0" w:line="185" w:lineRule="exact"/>
              <w:rPr>
                <w:sz w:val="20"/>
                <w:szCs w:val="20"/>
                <w:color w:val="auto"/>
              </w:rPr>
            </w:pPr>
            <w:r>
              <w:rPr>
                <w:rFonts w:ascii="Arial" w:cs="Arial" w:eastAsia="Arial" w:hAnsi="Arial"/>
                <w:sz w:val="11"/>
                <w:szCs w:val="11"/>
                <w:color w:val="auto"/>
              </w:rPr>
              <w:t>5,218</w:t>
            </w:r>
            <w:r>
              <w:rPr>
                <w:rFonts w:ascii="Arial" w:cs="Arial" w:eastAsia="Arial" w:hAnsi="Arial"/>
                <w:sz w:val="21"/>
                <w:szCs w:val="21"/>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spacing w:after="0" w:line="185" w:lineRule="exact"/>
              <w:rPr>
                <w:sz w:val="20"/>
                <w:szCs w:val="20"/>
                <w:color w:val="auto"/>
              </w:rPr>
            </w:pPr>
            <w:r>
              <w:rPr>
                <w:rFonts w:ascii="Arial" w:cs="Arial" w:eastAsia="Arial" w:hAnsi="Arial"/>
                <w:sz w:val="11"/>
                <w:szCs w:val="11"/>
                <w:color w:val="auto"/>
              </w:rPr>
              <w:t>11,772</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gridSpan w:val="5"/>
          </w:tcPr>
          <w:p>
            <w:pPr>
              <w:jc w:val="right"/>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 xml:space="preserve"> ​ 24,422</w:t>
            </w:r>
            <w:r>
              <w:rPr>
                <w:rFonts w:ascii="Arial" w:cs="Arial" w:eastAsia="Arial" w:hAnsi="Arial"/>
                <w:sz w:val="20"/>
                <w:szCs w:val="20"/>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00" w:type="dxa"/>
            <w:vAlign w:val="bottom"/>
            <w:gridSpan w:val="4"/>
          </w:tcPr>
          <w:p>
            <w:pPr>
              <w:jc w:val="right"/>
              <w:spacing w:after="0" w:line="173" w:lineRule="exact"/>
              <w:rPr>
                <w:sz w:val="20"/>
                <w:szCs w:val="20"/>
                <w:color w:val="auto"/>
              </w:rPr>
            </w:pPr>
            <w:r>
              <w:rPr>
                <w:rFonts w:ascii="Arial" w:cs="Arial" w:eastAsia="Arial" w:hAnsi="Arial"/>
                <w:sz w:val="11"/>
                <w:szCs w:val="11"/>
                <w:color w:val="auto"/>
              </w:rPr>
              <w:t>​ 39,605</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gridSpan w:val="5"/>
          </w:tcPr>
          <w:p>
            <w:pPr>
              <w:jc w:val="right"/>
              <w:spacing w:after="0"/>
              <w:rPr>
                <w:sz w:val="20"/>
                <w:szCs w:val="20"/>
                <w:color w:val="auto"/>
              </w:rPr>
            </w:pPr>
            <w:r>
              <w:rPr>
                <w:rFonts w:ascii="Arial" w:cs="Arial" w:eastAsia="Arial" w:hAnsi="Arial"/>
                <w:sz w:val="12"/>
                <w:szCs w:val="12"/>
                <w:color w:val="auto"/>
              </w:rPr>
              <w:t>​ ​​ ​(24,422​​)</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00" w:type="dxa"/>
            <w:vAlign w:val="bottom"/>
            <w:gridSpan w:val="4"/>
          </w:tcPr>
          <w:p>
            <w:pPr>
              <w:jc w:val="right"/>
              <w:spacing w:after="0"/>
              <w:rPr>
                <w:sz w:val="20"/>
                <w:szCs w:val="20"/>
                <w:color w:val="auto"/>
              </w:rPr>
            </w:pPr>
            <w:r>
              <w:rPr>
                <w:rFonts w:ascii="Arial" w:cs="Arial" w:eastAsia="Arial" w:hAnsi="Arial"/>
                <w:sz w:val="12"/>
                <w:szCs w:val="12"/>
                <w:color w:val="auto"/>
              </w:rPr>
              <w:t>​(39,605)​</w:t>
            </w:r>
          </w:p>
        </w:tc>
        <w:tc>
          <w:tcPr>
            <w:tcW w:w="0" w:type="dxa"/>
            <w:vAlign w:val="bottom"/>
          </w:tcPr>
          <w:p>
            <w:pPr>
              <w:spacing w:after="0"/>
              <w:rPr>
                <w:sz w:val="1"/>
                <w:szCs w:val="1"/>
                <w:color w:val="auto"/>
              </w:rPr>
            </w:pPr>
          </w:p>
        </w:tc>
      </w:tr>
      <w:tr>
        <w:trPr>
          <w:trHeight w:val="126"/>
        </w:trPr>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line="126"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9"/>
              <w:spacing w:after="0" w:line="126" w:lineRule="exact"/>
              <w:rPr>
                <w:sz w:val="20"/>
                <w:szCs w:val="20"/>
                <w:color w:val="auto"/>
              </w:rPr>
            </w:pPr>
            <w:r>
              <w:rPr>
                <w:rFonts w:ascii="Arial" w:cs="Arial" w:eastAsia="Arial" w:hAnsi="Arial"/>
                <w:sz w:val="12"/>
                <w:szCs w:val="12"/>
                <w:color w:val="auto"/>
              </w:rPr>
              <w:t>(121)</w:t>
            </w:r>
          </w:p>
        </w:tc>
        <w:tc>
          <w:tcPr>
            <w:tcW w:w="1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356</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58"/>
        </w:trPr>
        <w:tc>
          <w:tcPr>
            <w:tcW w:w="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gridSpan w:val="5"/>
          </w:tcPr>
          <w:p>
            <w:pPr>
              <w:jc w:val="right"/>
              <w:spacing w:after="0"/>
              <w:rPr>
                <w:sz w:val="20"/>
                <w:szCs w:val="20"/>
                <w:color w:val="auto"/>
              </w:rPr>
            </w:pPr>
            <w:r>
              <w:rPr>
                <w:rFonts w:ascii="Arial" w:cs="Arial" w:eastAsia="Arial" w:hAnsi="Arial"/>
                <w:sz w:val="12"/>
                <w:szCs w:val="12"/>
                <w:color w:val="auto"/>
              </w:rPr>
              <w:t>​ ​​ ​(24,543​​)</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00" w:type="dxa"/>
            <w:vAlign w:val="bottom"/>
            <w:gridSpan w:val="4"/>
          </w:tcPr>
          <w:p>
            <w:pPr>
              <w:jc w:val="right"/>
              <w:spacing w:after="0"/>
              <w:rPr>
                <w:sz w:val="20"/>
                <w:szCs w:val="20"/>
                <w:color w:val="auto"/>
              </w:rPr>
            </w:pPr>
            <w:r>
              <w:rPr>
                <w:rFonts w:ascii="Arial" w:cs="Arial" w:eastAsia="Arial" w:hAnsi="Arial"/>
                <w:sz w:val="12"/>
                <w:szCs w:val="12"/>
                <w:color w:val="auto"/>
              </w:rPr>
              <w:t>​(39,249)​</w:t>
            </w:r>
          </w:p>
        </w:tc>
        <w:tc>
          <w:tcPr>
            <w:tcW w:w="0" w:type="dxa"/>
            <w:vAlign w:val="bottom"/>
          </w:tcPr>
          <w:p>
            <w:pPr>
              <w:spacing w:after="0"/>
              <w:rPr>
                <w:sz w:val="1"/>
                <w:szCs w:val="1"/>
                <w:color w:val="auto"/>
              </w:rPr>
            </w:pPr>
          </w:p>
        </w:tc>
      </w:tr>
      <w:tr>
        <w:trPr>
          <w:trHeight w:val="184"/>
        </w:trPr>
        <w:tc>
          <w:tcPr>
            <w:tcW w:w="280" w:type="dxa"/>
            <w:vAlign w:val="bottom"/>
            <w:gridSpan w:val="3"/>
          </w:tcPr>
          <w:p>
            <w:pPr>
              <w:ind w:left="20"/>
              <w:spacing w:after="0" w:line="185"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w:t>
            </w:r>
          </w:p>
        </w:tc>
        <w:tc>
          <w:tcPr>
            <w:tcW w:w="500" w:type="dxa"/>
            <w:vAlign w:val="bottom"/>
            <w:gridSpan w:val="2"/>
          </w:tcPr>
          <w:p>
            <w:pPr>
              <w:jc w:val="right"/>
              <w:spacing w:after="0" w:line="185" w:lineRule="exact"/>
              <w:rPr>
                <w:sz w:val="20"/>
                <w:szCs w:val="20"/>
                <w:color w:val="auto"/>
              </w:rPr>
            </w:pPr>
            <w:r>
              <w:rPr>
                <w:rFonts w:ascii="Arial" w:cs="Arial" w:eastAsia="Arial" w:hAnsi="Arial"/>
                <w:sz w:val="11"/>
                <w:szCs w:val="11"/>
                <w:color w:val="auto"/>
              </w:rPr>
              <w:t>150</w:t>
            </w:r>
            <w:r>
              <w:rPr>
                <w:rFonts w:ascii="Arial" w:cs="Arial" w:eastAsia="Arial" w:hAnsi="Arial"/>
                <w:sz w:val="21"/>
                <w:szCs w:val="21"/>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spacing w:after="0" w:line="185" w:lineRule="exact"/>
              <w:rPr>
                <w:sz w:val="20"/>
                <w:szCs w:val="20"/>
                <w:color w:val="auto"/>
              </w:rPr>
            </w:pPr>
            <w:r>
              <w:rPr>
                <w:rFonts w:ascii="Arial" w:cs="Arial" w:eastAsia="Arial" w:hAnsi="Arial"/>
                <w:sz w:val="11"/>
                <w:szCs w:val="11"/>
                <w:color w:val="auto"/>
              </w:rPr>
              <w:t>197</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0" w:type="dxa"/>
            <w:vAlign w:val="bottom"/>
          </w:tcPr>
          <w:p>
            <w:pPr>
              <w:spacing w:after="0"/>
              <w:rPr>
                <w:sz w:val="10"/>
                <w:szCs w:val="10"/>
                <w:color w:val="auto"/>
              </w:rPr>
            </w:pPr>
          </w:p>
        </w:tc>
        <w:tc>
          <w:tcPr>
            <w:tcW w:w="620" w:type="dxa"/>
            <w:vAlign w:val="bottom"/>
            <w:gridSpan w:val="4"/>
          </w:tcPr>
          <w:p>
            <w:pPr>
              <w:jc w:val="right"/>
              <w:ind w:right="19"/>
              <w:spacing w:after="0" w:line="115" w:lineRule="exact"/>
              <w:rPr>
                <w:sz w:val="20"/>
                <w:szCs w:val="20"/>
                <w:color w:val="auto"/>
              </w:rPr>
            </w:pPr>
            <w:r>
              <w:rPr>
                <w:rFonts w:ascii="Arial" w:cs="Arial" w:eastAsia="Arial" w:hAnsi="Arial"/>
                <w:sz w:val="12"/>
                <w:szCs w:val="12"/>
                <w:color w:val="auto"/>
                <w:w w:val="98"/>
              </w:rPr>
              <w:t>$ (24,693)</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0"/>
                <w:szCs w:val="10"/>
                <w:color w:val="auto"/>
              </w:rPr>
            </w:pPr>
          </w:p>
        </w:tc>
        <w:tc>
          <w:tcPr>
            <w:tcW w:w="460" w:type="dxa"/>
            <w:vAlign w:val="bottom"/>
            <w:gridSpan w:val="3"/>
          </w:tcPr>
          <w:p>
            <w:pPr>
              <w:jc w:val="right"/>
              <w:spacing w:after="0" w:line="115" w:lineRule="exact"/>
              <w:rPr>
                <w:sz w:val="20"/>
                <w:szCs w:val="20"/>
                <w:color w:val="auto"/>
              </w:rPr>
            </w:pPr>
            <w:r>
              <w:rPr>
                <w:rFonts w:ascii="Arial" w:cs="Arial" w:eastAsia="Arial" w:hAnsi="Arial"/>
                <w:sz w:val="12"/>
                <w:szCs w:val="12"/>
                <w:color w:val="auto"/>
                <w:w w:val="98"/>
              </w:rPr>
              <w:t>(39,446)</w:t>
            </w:r>
          </w:p>
        </w:tc>
        <w:tc>
          <w:tcPr>
            <w:tcW w:w="0" w:type="dxa"/>
            <w:vAlign w:val="bottom"/>
          </w:tcPr>
          <w:p>
            <w:pPr>
              <w:spacing w:after="0"/>
              <w:rPr>
                <w:sz w:val="1"/>
                <w:szCs w:val="1"/>
                <w:color w:val="auto"/>
              </w:rPr>
            </w:pPr>
          </w:p>
        </w:tc>
      </w:tr>
      <w:tr>
        <w:trPr>
          <w:trHeight w:val="58"/>
        </w:trPr>
        <w:tc>
          <w:tcPr>
            <w:tcW w:w="240" w:type="dxa"/>
            <w:vAlign w:val="bottom"/>
            <w:gridSpan w:val="2"/>
          </w:tcPr>
          <w:p>
            <w:pPr>
              <w:ind w:left="20"/>
              <w:spacing w:after="0" w:line="58" w:lineRule="exact"/>
              <w:rPr>
                <w:sz w:val="20"/>
                <w:szCs w:val="20"/>
                <w:color w:val="auto"/>
              </w:rPr>
            </w:pPr>
            <w:r>
              <w:rPr>
                <w:rFonts w:ascii="Arial" w:cs="Arial" w:eastAsia="Arial" w:hAnsi="Arial"/>
                <w:sz w:val="6"/>
                <w:szCs w:val="6"/>
                <w:color w:val="auto"/>
              </w:rPr>
              <w:t>​ ​​</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gridSpan w:val="2"/>
          </w:tcPr>
          <w:p>
            <w:pPr>
              <w:ind w:left="20"/>
              <w:spacing w:after="0" w:line="58"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ectPr>
          <w:pgSz w:w="11900" w:h="16838" w:orient="portrait"/>
          <w:cols w:equalWidth="0" w:num="2">
            <w:col w:w="5340" w:space="720"/>
            <w:col w:w="2959"/>
          </w:cols>
          <w:pgMar w:left="1440" w:top="109" w:right="1440" w:bottom="1440" w:gutter="0" w:footer="0" w:header="0"/>
          <w:type w:val="continuous"/>
        </w:sectPr>
      </w:pPr>
    </w:p>
    <w:p>
      <w:pPr>
        <w:ind w:left="1560"/>
        <w:spacing w:after="0"/>
        <w:rPr>
          <w:sz w:val="20"/>
          <w:szCs w:val="20"/>
          <w:color w:val="auto"/>
        </w:rPr>
      </w:pPr>
      <w:r>
        <w:rPr>
          <w:rFonts w:ascii="Arial" w:cs="Arial" w:eastAsia="Arial" w:hAnsi="Arial"/>
          <w:sz w:val="12"/>
          <w:szCs w:val="12"/>
          <w:i w:val="1"/>
          <w:iCs w:val="1"/>
          <w:color w:val="auto"/>
        </w:rPr>
        <w:t>Research and Development Expenses</w:t>
      </w:r>
    </w:p>
    <w:p>
      <w:pPr>
        <w:spacing w:after="0" w:line="34" w:lineRule="exact"/>
        <w:rPr>
          <w:sz w:val="20"/>
          <w:szCs w:val="20"/>
          <w:color w:val="auto"/>
        </w:rPr>
      </w:pPr>
    </w:p>
    <w:p>
      <w:pPr>
        <w:ind w:left="1560" w:right="2099"/>
        <w:spacing w:after="0" w:line="308" w:lineRule="auto"/>
        <w:rPr>
          <w:sz w:val="20"/>
          <w:szCs w:val="20"/>
          <w:color w:val="auto"/>
        </w:rPr>
      </w:pPr>
      <w:r>
        <w:rPr>
          <w:rFonts w:ascii="Arial" w:cs="Arial" w:eastAsia="Arial" w:hAnsi="Arial"/>
          <w:sz w:val="12"/>
          <w:szCs w:val="12"/>
          <w:color w:val="auto"/>
        </w:rPr>
        <w:t>Research and development expenses increased by $8.6 million, or 45%, to $27.8 million during the nine months ended September 30, 2022, compared to $19.2 million during the nine months ended</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108" w:name="page109"/>
    <w:bookmarkEnd w:id="10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September 30, 2021. The increase in research and development expenses was primarily due to increases in our lab expenses, employee related expenses, clinical trial expenses and consultants, as we increased our staffing and development efforts.</w:t>
      </w:r>
    </w:p>
    <w:p>
      <w:pPr>
        <w:spacing w:after="0" w:line="74" w:lineRule="exact"/>
        <w:rPr>
          <w:sz w:val="20"/>
          <w:szCs w:val="20"/>
          <w:color w:val="auto"/>
        </w:rPr>
      </w:pPr>
    </w:p>
    <w:p>
      <w:pPr>
        <w:ind w:left="1560" w:right="1979"/>
        <w:spacing w:after="0" w:line="308" w:lineRule="auto"/>
        <w:rPr>
          <w:sz w:val="20"/>
          <w:szCs w:val="20"/>
          <w:color w:val="auto"/>
        </w:rPr>
      </w:pPr>
      <w:r>
        <w:rPr>
          <w:rFonts w:ascii="Arial" w:cs="Arial" w:eastAsia="Arial" w:hAnsi="Arial"/>
          <w:sz w:val="12"/>
          <w:szCs w:val="12"/>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6"/>
          </w:tcPr>
          <w:p>
            <w:pPr>
              <w:jc w:val="center"/>
              <w:spacing w:after="0"/>
              <w:rPr>
                <w:sz w:val="20"/>
                <w:szCs w:val="20"/>
                <w:color w:val="auto"/>
              </w:rPr>
            </w:pPr>
            <w:r>
              <w:rPr>
                <w:rFonts w:ascii="Arial" w:cs="Arial" w:eastAsia="Arial" w:hAnsi="Arial"/>
                <w:sz w:val="10"/>
                <w:szCs w:val="10"/>
                <w:b w:val="1"/>
                <w:bCs w:val="1"/>
                <w:color w:val="auto"/>
              </w:rPr>
              <w:t>NINE MONTHS ENDED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0"/>
                <w:szCs w:val="10"/>
                <w:b w:val="1"/>
                <w:bCs w:val="1"/>
                <w:color w:val="auto"/>
              </w:rPr>
              <w:t>SEPTEMBER 30,</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450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120" w:type="dxa"/>
            <w:vAlign w:val="bottom"/>
          </w:tcPr>
          <w:p>
            <w:pPr>
              <w:spacing w:after="0"/>
              <w:rPr>
                <w:sz w:val="13"/>
                <w:szCs w:val="13"/>
                <w:color w:val="auto"/>
              </w:rPr>
            </w:pPr>
          </w:p>
        </w:tc>
        <w:tc>
          <w:tcPr>
            <w:tcW w:w="640" w:type="dxa"/>
            <w:vAlign w:val="bottom"/>
            <w:gridSpan w:val="3"/>
          </w:tcPr>
          <w:p>
            <w:pPr>
              <w:jc w:val="right"/>
              <w:ind w:right="100"/>
              <w:spacing w:after="0" w:line="154" w:lineRule="exact"/>
              <w:rPr>
                <w:sz w:val="20"/>
                <w:szCs w:val="20"/>
                <w:color w:val="auto"/>
              </w:rPr>
            </w:pPr>
            <w:r>
              <w:rPr>
                <w:rFonts w:ascii="Arial" w:cs="Arial" w:eastAsia="Arial" w:hAnsi="Arial"/>
                <w:sz w:val="9"/>
                <w:szCs w:val="9"/>
                <w:b w:val="1"/>
                <w:bCs w:val="1"/>
                <w:color w:val="auto"/>
              </w:rPr>
              <w:t xml:space="preserve">2021   </w:t>
            </w:r>
            <w:r>
              <w:rPr>
                <w:rFonts w:ascii="Arial" w:cs="Arial" w:eastAsia="Arial" w:hAnsi="Arial"/>
                <w:sz w:val="17"/>
                <w:szCs w:val="17"/>
                <w:b w:val="1"/>
                <w:bCs w:val="1"/>
                <w:color w:val="auto"/>
                <w:vertAlign w:val="subscript"/>
              </w:rPr>
              <w:t>​ ​</w:t>
            </w:r>
          </w:p>
        </w:tc>
        <w:tc>
          <w:tcPr>
            <w:tcW w:w="60" w:type="dxa"/>
            <w:vAlign w:val="bottom"/>
          </w:tcPr>
          <w:p>
            <w:pPr>
              <w:spacing w:after="0"/>
              <w:rPr>
                <w:sz w:val="13"/>
                <w:szCs w:val="13"/>
                <w:color w:val="auto"/>
              </w:rPr>
            </w:pPr>
          </w:p>
        </w:tc>
        <w:tc>
          <w:tcPr>
            <w:tcW w:w="400" w:type="dxa"/>
            <w:vAlign w:val="bottom"/>
          </w:tcPr>
          <w:p>
            <w:pPr>
              <w:jc w:val="right"/>
              <w:ind w:right="102"/>
              <w:spacing w:after="0"/>
              <w:rPr>
                <w:sz w:val="20"/>
                <w:szCs w:val="20"/>
                <w:color w:val="auto"/>
              </w:rPr>
            </w:pPr>
            <w:r>
              <w:rPr>
                <w:rFonts w:ascii="Arial" w:cs="Arial" w:eastAsia="Arial" w:hAnsi="Arial"/>
                <w:sz w:val="10"/>
                <w:szCs w:val="10"/>
                <w:b w:val="1"/>
                <w:bCs w:val="1"/>
                <w:color w:val="auto"/>
                <w:w w:val="98"/>
              </w:rPr>
              <w:t>2022</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Product candidate:</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00" w:type="dxa"/>
            <w:vAlign w:val="bottom"/>
            <w:vMerge w:val="continue"/>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4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2"/>
                <w:szCs w:val="12"/>
                <w:color w:val="auto"/>
              </w:rPr>
              <w:t>ANPA-0073</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4,924​​ ​​$</w:t>
            </w:r>
          </w:p>
        </w:tc>
        <w:tc>
          <w:tcPr>
            <w:tcW w:w="6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3,402​</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GSBR-1290</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8,414​​ ​​</w:t>
            </w:r>
          </w:p>
        </w:tc>
        <w:tc>
          <w:tcPr>
            <w:tcW w:w="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14,278</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2"/>
                <w:szCs w:val="12"/>
                <w:color w:val="auto"/>
              </w:rPr>
              <w:t>LTSE-2578</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3,395​​ ​​</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3,838​</w:t>
            </w:r>
          </w:p>
        </w:tc>
        <w:tc>
          <w:tcPr>
            <w:tcW w:w="0" w:type="dxa"/>
            <w:vAlign w:val="bottom"/>
          </w:tcPr>
          <w:p>
            <w:pPr>
              <w:spacing w:after="0"/>
              <w:rPr>
                <w:sz w:val="1"/>
                <w:szCs w:val="1"/>
                <w:color w:val="auto"/>
              </w:rPr>
            </w:pPr>
          </w:p>
        </w:tc>
      </w:tr>
      <w:tr>
        <w:trPr>
          <w:trHeight w:val="193"/>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2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640" w:type="dxa"/>
            <w:vAlign w:val="bottom"/>
            <w:gridSpan w:val="3"/>
            <w:shd w:val="clear" w:color="auto" w:fill="CCEEFF"/>
          </w:tcPr>
          <w:p>
            <w:pPr>
              <w:jc w:val="right"/>
              <w:ind w:right="40"/>
              <w:spacing w:after="0" w:line="193" w:lineRule="exact"/>
              <w:rPr>
                <w:sz w:val="20"/>
                <w:szCs w:val="20"/>
                <w:color w:val="auto"/>
              </w:rPr>
            </w:pPr>
            <w:r>
              <w:rPr>
                <w:rFonts w:ascii="Arial" w:cs="Arial" w:eastAsia="Arial" w:hAnsi="Arial"/>
                <w:sz w:val="12"/>
                <w:szCs w:val="12"/>
                <w:color w:val="auto"/>
              </w:rPr>
              <w:t>2,471</w:t>
            </w:r>
            <w:r>
              <w:rPr>
                <w:rFonts w:ascii="Arial" w:cs="Arial" w:eastAsia="Arial" w:hAnsi="Arial"/>
                <w:sz w:val="22"/>
                <w:szCs w:val="22"/>
                <w:color w:val="auto"/>
                <w:vertAlign w:val="subscript"/>
              </w:rPr>
              <w:t>​​ ​​</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6,315</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00" w:type="dxa"/>
            <w:vAlign w:val="bottom"/>
          </w:tcPr>
          <w:p>
            <w:pPr>
              <w:ind w:left="240"/>
              <w:spacing w:after="0"/>
              <w:rPr>
                <w:sz w:val="20"/>
                <w:szCs w:val="20"/>
                <w:color w:val="auto"/>
              </w:rPr>
            </w:pPr>
            <w:r>
              <w:rPr>
                <w:rFonts w:ascii="Arial" w:cs="Arial" w:eastAsia="Arial" w:hAnsi="Arial"/>
                <w:sz w:val="12"/>
                <w:szCs w:val="12"/>
                <w:color w:val="auto"/>
              </w:rPr>
              <w:t>Total research and development expenses</w:t>
            </w:r>
          </w:p>
        </w:tc>
        <w:tc>
          <w:tcPr>
            <w:tcW w:w="280" w:type="dxa"/>
            <w:vAlign w:val="bottom"/>
            <w:gridSpan w:val="2"/>
          </w:tcPr>
          <w:p>
            <w:pPr>
              <w:ind w:left="20"/>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64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19,204</w:t>
            </w:r>
            <w:r>
              <w:rPr>
                <w:rFonts w:ascii="Arial" w:cs="Arial" w:eastAsia="Arial" w:hAnsi="Arial"/>
                <w:sz w:val="20"/>
                <w:szCs w:val="20"/>
                <w:color w:val="auto"/>
                <w:vertAlign w:val="subscript"/>
              </w:rPr>
              <w:t>​​ ​​</w:t>
            </w: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4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27,833</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-791210</wp:posOffset>
            </wp:positionV>
            <wp:extent cx="338328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83280" cy="6350"/>
                    </a:xfrm>
                    <a:prstGeom prst="rect">
                      <a:avLst/>
                    </a:prstGeom>
                    <a:noFill/>
                  </pic:spPr>
                </pic:pic>
              </a:graphicData>
            </a:graphic>
          </wp:anchor>
        </w:drawing>
      </w:r>
    </w:p>
    <w:p>
      <w:pPr>
        <w:spacing w:after="0" w:line="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General and Administrative Expenses</w:t>
      </w:r>
    </w:p>
    <w:p>
      <w:pPr>
        <w:spacing w:after="0" w:line="44" w:lineRule="exact"/>
        <w:rPr>
          <w:sz w:val="20"/>
          <w:szCs w:val="20"/>
          <w:color w:val="auto"/>
        </w:rPr>
      </w:pPr>
    </w:p>
    <w:p>
      <w:pPr>
        <w:ind w:left="1560" w:right="1679"/>
        <w:spacing w:after="0" w:line="278" w:lineRule="auto"/>
        <w:rPr>
          <w:sz w:val="20"/>
          <w:szCs w:val="20"/>
          <w:color w:val="auto"/>
        </w:rPr>
      </w:pPr>
      <w:r>
        <w:rPr>
          <w:rFonts w:ascii="Arial" w:cs="Arial" w:eastAsia="Arial" w:hAnsi="Arial"/>
          <w:sz w:val="12"/>
          <w:szCs w:val="12"/>
          <w:color w:val="auto"/>
        </w:rPr>
        <w:t>General and administrative expenses increased by $6.6 million, or 126%, to $11.8 million during the nine months ended September 30, 2022, compared to $5.2 million during the nine months ended September 30, 2021. The increase in general and administrative expenses was primarily due to employee-related expenses and consulting fees as we expanded our infrastructure in 2022 to drive and support the anticipated growth in our operations.</w:t>
      </w:r>
    </w:p>
    <w:p>
      <w:pPr>
        <w:spacing w:after="0" w:line="2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Interest and Other Income (Expense), Net</w:t>
      </w:r>
    </w:p>
    <w:p>
      <w:pPr>
        <w:spacing w:after="0" w:line="44"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Interest and other income (expense), net, increased by $0.5 million to an income of  $0.4 million during the nine months ended September 30, 2022, compared to an expense of  $0.1 million during the nine months ended September 30, 2021. The increase in interest and other income (expense), net, was primarily due to foreign currency exchange gains.</w:t>
      </w:r>
    </w:p>
    <w:p>
      <w:pPr>
        <w:spacing w:after="0" w:line="1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Comparison of the Years Ended December 31, 2020 and 2021</w:t>
      </w:r>
    </w:p>
    <w:p>
      <w:pPr>
        <w:spacing w:after="0" w:line="44" w:lineRule="exact"/>
        <w:rPr>
          <w:sz w:val="20"/>
          <w:szCs w:val="20"/>
          <w:color w:val="auto"/>
        </w:rPr>
      </w:pPr>
    </w:p>
    <w:p>
      <w:pPr>
        <w:ind w:left="1560" w:right="2159"/>
        <w:spacing w:after="0" w:line="308" w:lineRule="auto"/>
        <w:rPr>
          <w:sz w:val="20"/>
          <w:szCs w:val="20"/>
          <w:color w:val="auto"/>
        </w:rPr>
      </w:pPr>
      <w:r>
        <w:rPr>
          <w:rFonts w:ascii="Arial" w:cs="Arial" w:eastAsia="Arial" w:hAnsi="Arial"/>
          <w:sz w:val="12"/>
          <w:szCs w:val="12"/>
          <w:color w:val="auto"/>
        </w:rPr>
        <w:t>The following table summarizes our consolidated results of operations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5"/>
          </w:tcPr>
          <w:p>
            <w:pPr>
              <w:jc w:val="right"/>
              <w:ind w:right="201"/>
              <w:spacing w:after="0"/>
              <w:rPr>
                <w:sz w:val="20"/>
                <w:szCs w:val="20"/>
                <w:color w:val="auto"/>
              </w:rPr>
            </w:pPr>
            <w:r>
              <w:rPr>
                <w:rFonts w:ascii="Arial" w:cs="Arial" w:eastAsia="Arial" w:hAnsi="Arial"/>
                <w:sz w:val="10"/>
                <w:szCs w:val="10"/>
                <w:b w:val="1"/>
                <w:bCs w:val="1"/>
                <w:color w:val="auto"/>
              </w:rPr>
              <w:t>YEAR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2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5"/>
          </w:tcPr>
          <w:p>
            <w:pPr>
              <w:jc w:val="right"/>
              <w:ind w:right="141"/>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452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120" w:type="dxa"/>
            <w:vAlign w:val="bottom"/>
          </w:tcPr>
          <w:p>
            <w:pPr>
              <w:spacing w:after="0"/>
              <w:rPr>
                <w:sz w:val="10"/>
                <w:szCs w:val="10"/>
                <w:color w:val="auto"/>
              </w:rPr>
            </w:pPr>
          </w:p>
        </w:tc>
        <w:tc>
          <w:tcPr>
            <w:tcW w:w="62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2020   ​ ​</w:t>
            </w:r>
          </w:p>
        </w:tc>
        <w:tc>
          <w:tcPr>
            <w:tcW w:w="40" w:type="dxa"/>
            <w:vAlign w:val="bottom"/>
          </w:tcPr>
          <w:p>
            <w:pPr>
              <w:spacing w:after="0"/>
              <w:rPr>
                <w:sz w:val="10"/>
                <w:szCs w:val="10"/>
                <w:color w:val="auto"/>
              </w:rPr>
            </w:pPr>
          </w:p>
        </w:tc>
        <w:tc>
          <w:tcPr>
            <w:tcW w:w="420" w:type="dxa"/>
            <w:vAlign w:val="bottom"/>
          </w:tcPr>
          <w:p>
            <w:pPr>
              <w:jc w:val="right"/>
              <w:ind w:right="81"/>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25"/>
        </w:trPr>
        <w:tc>
          <w:tcPr>
            <w:tcW w:w="4520" w:type="dxa"/>
            <w:vAlign w:val="bottom"/>
            <w:vMerge w:val="continue"/>
            <w:shd w:val="clear" w:color="auto" w:fill="CCEEFF"/>
          </w:tcPr>
          <w:p>
            <w:pPr>
              <w:spacing w:after="0"/>
              <w:rPr>
                <w:sz w:val="10"/>
                <w:szCs w:val="10"/>
                <w:color w:val="auto"/>
              </w:rPr>
            </w:pPr>
          </w:p>
        </w:tc>
        <w:tc>
          <w:tcPr>
            <w:tcW w:w="2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 ​​ ​</w:t>
            </w:r>
          </w:p>
        </w:tc>
        <w:tc>
          <w:tcPr>
            <w:tcW w:w="38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2"/>
              <w:spacing w:after="0" w:line="125" w:lineRule="exact"/>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52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12,364​​ ​​$</w:t>
            </w:r>
          </w:p>
        </w:tc>
        <w:tc>
          <w:tcPr>
            <w:tcW w:w="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29,111​</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3,542​​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8,585</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20" w:type="dxa"/>
            <w:vAlign w:val="bottom"/>
            <w:tcBorders>
              <w:top w:val="single" w:sz="8" w:color="CCEEFF"/>
              <w:bottom w:val="single" w:sz="8" w:color="CCEEFF"/>
            </w:tcBorders>
          </w:tcPr>
          <w:p>
            <w:pPr>
              <w:spacing w:after="0" w:line="135" w:lineRule="exact"/>
              <w:rPr>
                <w:sz w:val="20"/>
                <w:szCs w:val="20"/>
                <w:color w:val="auto"/>
              </w:rPr>
            </w:pPr>
            <w:r>
              <w:rPr>
                <w:rFonts w:ascii="Arial" w:cs="Arial" w:eastAsia="Arial" w:hAnsi="Arial"/>
                <w:sz w:val="12"/>
                <w:szCs w:val="12"/>
                <w:color w:val="auto"/>
              </w:rPr>
              <w:t>Total operating expenses</w:t>
            </w:r>
          </w:p>
        </w:tc>
        <w:tc>
          <w:tcPr>
            <w:tcW w:w="160" w:type="dxa"/>
            <w:vAlign w:val="bottom"/>
            <w:tcBorders>
              <w:top w:val="single" w:sz="8" w:color="CCEEFF"/>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 ​</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2"/>
                <w:szCs w:val="12"/>
                <w:color w:val="auto"/>
              </w:rPr>
              <w:t>​ ​</w:t>
            </w:r>
          </w:p>
        </w:tc>
        <w:tc>
          <w:tcPr>
            <w:tcW w:w="3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7"/>
              </w:rPr>
              <w:t>15,906</w:t>
            </w:r>
          </w:p>
        </w:tc>
        <w:tc>
          <w:tcPr>
            <w:tcW w:w="180" w:type="dxa"/>
            <w:vAlign w:val="bottom"/>
            <w:tcBorders>
              <w:top w:val="single" w:sz="8" w:color="CCEEFF"/>
              <w:bottom w:val="single" w:sz="8" w:color="CCEEFF"/>
            </w:tcBorders>
          </w:tcPr>
          <w:p>
            <w:pPr>
              <w:jc w:val="right"/>
              <w:spacing w:after="0" w:line="135" w:lineRule="exact"/>
              <w:rPr>
                <w:sz w:val="20"/>
                <w:szCs w:val="20"/>
                <w:color w:val="auto"/>
              </w:rPr>
            </w:pPr>
            <w:r>
              <w:rPr>
                <w:rFonts w:ascii="Arial" w:cs="Arial" w:eastAsia="Arial" w:hAnsi="Arial"/>
                <w:sz w:val="12"/>
                <w:szCs w:val="12"/>
                <w:color w:val="auto"/>
              </w:rPr>
              <w:t>​​ ​</w:t>
            </w:r>
          </w:p>
        </w:tc>
        <w:tc>
          <w:tcPr>
            <w:tcW w:w="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4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 37,696</w:t>
            </w:r>
          </w:p>
        </w:tc>
        <w:tc>
          <w:tcPr>
            <w:tcW w:w="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45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Loss from operations</w:t>
            </w:r>
          </w:p>
        </w:tc>
        <w:tc>
          <w:tcPr>
            <w:tcW w:w="900" w:type="dxa"/>
            <w:vAlign w:val="bottom"/>
            <w:gridSpan w:val="5"/>
            <w:shd w:val="clear" w:color="auto" w:fill="CCEEFF"/>
          </w:tcPr>
          <w:p>
            <w:pPr>
              <w:ind w:left="20"/>
              <w:spacing w:after="0" w:line="125" w:lineRule="exact"/>
              <w:rPr>
                <w:sz w:val="20"/>
                <w:szCs w:val="20"/>
                <w:color w:val="auto"/>
              </w:rPr>
            </w:pPr>
            <w:r>
              <w:rPr>
                <w:rFonts w:ascii="Arial" w:cs="Arial" w:eastAsia="Arial" w:hAnsi="Arial"/>
                <w:sz w:val="12"/>
                <w:szCs w:val="12"/>
                <w:color w:val="auto"/>
              </w:rPr>
              <w:t>​ ​​ ​(15,906​​) ​​</w:t>
            </w:r>
          </w:p>
        </w:tc>
        <w:tc>
          <w:tcPr>
            <w:tcW w:w="4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w w:val="98"/>
              </w:rPr>
              <w:t>​(37,696​)</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20"/>
                <w:szCs w:val="20"/>
                <w:color w:val="auto"/>
              </w:rPr>
            </w:pPr>
            <w:r>
              <w:rPr>
                <w:rFonts w:ascii="Arial" w:cs="Arial" w:eastAsia="Arial" w:hAnsi="Arial"/>
                <w:sz w:val="12"/>
                <w:szCs w:val="12"/>
                <w:color w:val="auto"/>
              </w:rPr>
              <w:t>Interest and other income (expense), net</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620" w:type="dxa"/>
            <w:vAlign w:val="bottom"/>
            <w:gridSpan w:val="3"/>
          </w:tcPr>
          <w:p>
            <w:pPr>
              <w:jc w:val="right"/>
              <w:ind w:right="12"/>
              <w:spacing w:after="0"/>
              <w:rPr>
                <w:sz w:val="20"/>
                <w:szCs w:val="20"/>
                <w:color w:val="auto"/>
              </w:rPr>
            </w:pPr>
            <w:r>
              <w:rPr>
                <w:rFonts w:ascii="Arial" w:cs="Arial" w:eastAsia="Arial" w:hAnsi="Arial"/>
                <w:sz w:val="12"/>
                <w:szCs w:val="12"/>
                <w:color w:val="auto"/>
              </w:rPr>
              <w:t>168​​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(122</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Loss before income tax expense</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20" w:type="dxa"/>
            <w:vAlign w:val="bottom"/>
            <w:vMerge w:val="continue"/>
            <w:shd w:val="clear" w:color="auto" w:fill="CCEEFF"/>
          </w:tcPr>
          <w:p>
            <w:pPr>
              <w:spacing w:after="0"/>
              <w:rPr>
                <w:sz w:val="10"/>
                <w:szCs w:val="10"/>
                <w:color w:val="auto"/>
              </w:rPr>
            </w:pPr>
          </w:p>
        </w:tc>
        <w:tc>
          <w:tcPr>
            <w:tcW w:w="900" w:type="dxa"/>
            <w:vAlign w:val="bottom"/>
            <w:gridSpan w:val="5"/>
            <w:shd w:val="clear" w:color="auto" w:fill="CCEEFF"/>
          </w:tcPr>
          <w:p>
            <w:pPr>
              <w:ind w:left="20"/>
              <w:spacing w:after="0" w:line="125" w:lineRule="exact"/>
              <w:rPr>
                <w:sz w:val="20"/>
                <w:szCs w:val="20"/>
                <w:color w:val="auto"/>
              </w:rPr>
            </w:pPr>
            <w:r>
              <w:rPr>
                <w:rFonts w:ascii="Arial" w:cs="Arial" w:eastAsia="Arial" w:hAnsi="Arial"/>
                <w:sz w:val="12"/>
                <w:szCs w:val="12"/>
                <w:color w:val="auto"/>
              </w:rPr>
              <w:t>​ ​​ ​(15,738​​) ​​</w:t>
            </w:r>
          </w:p>
        </w:tc>
        <w:tc>
          <w:tcPr>
            <w:tcW w:w="4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w w:val="98"/>
              </w:rPr>
              <w:t>​(37,818​)</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620" w:type="dxa"/>
            <w:vAlign w:val="bottom"/>
            <w:gridSpan w:val="3"/>
          </w:tcPr>
          <w:p>
            <w:pPr>
              <w:jc w:val="right"/>
              <w:ind w:right="12"/>
              <w:spacing w:after="0"/>
              <w:rPr>
                <w:sz w:val="20"/>
                <w:szCs w:val="20"/>
                <w:color w:val="auto"/>
              </w:rPr>
            </w:pPr>
            <w:r>
              <w:rPr>
                <w:rFonts w:ascii="Arial" w:cs="Arial" w:eastAsia="Arial" w:hAnsi="Arial"/>
                <w:sz w:val="12"/>
                <w:szCs w:val="12"/>
                <w:color w:val="auto"/>
              </w:rPr>
              <w:t>138​​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231</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520" w:type="dxa"/>
            <w:vAlign w:val="bottom"/>
            <w:tcBorders>
              <w:top w:val="single" w:sz="8" w:color="CCEEFF"/>
            </w:tcBorders>
            <w:vMerge w:val="restart"/>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500" w:type="dxa"/>
            <w:vAlign w:val="bottom"/>
            <w:tcBorders>
              <w:top w:val="single" w:sz="8" w:color="auto"/>
            </w:tcBorders>
            <w:gridSpan w:val="2"/>
            <w:shd w:val="clear" w:color="auto" w:fill="CCEEFF"/>
          </w:tcPr>
          <w:p>
            <w:pPr>
              <w:jc w:val="right"/>
              <w:spacing w:after="0" w:line="96" w:lineRule="exact"/>
              <w:rPr>
                <w:sz w:val="20"/>
                <w:szCs w:val="20"/>
                <w:color w:val="auto"/>
              </w:rPr>
            </w:pPr>
            <w:r>
              <w:rPr>
                <w:rFonts w:ascii="Arial" w:cs="Arial" w:eastAsia="Arial" w:hAnsi="Arial"/>
                <w:sz w:val="11"/>
                <w:szCs w:val="11"/>
                <w:color w:val="auto"/>
              </w:rPr>
              <w:t>$ (15,876</w:t>
            </w:r>
          </w:p>
        </w:tc>
        <w:tc>
          <w:tcPr>
            <w:tcW w:w="180" w:type="dxa"/>
            <w:vAlign w:val="bottom"/>
            <w:tcBorders>
              <w:top w:val="single" w:sz="8" w:color="CCEEFF"/>
              <w:right w:val="single" w:sz="8" w:color="CCEEFF"/>
            </w:tcBorders>
            <w:shd w:val="clear" w:color="auto" w:fill="CCEEFF"/>
          </w:tcPr>
          <w:p>
            <w:pPr>
              <w:jc w:val="right"/>
              <w:ind w:right="94"/>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11"/>
                <w:szCs w:val="11"/>
                <w:color w:val="auto"/>
              </w:rPr>
              <w:t>(38,049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9"/>
        </w:trPr>
        <w:tc>
          <w:tcPr>
            <w:tcW w:w="4520" w:type="dxa"/>
            <w:vAlign w:val="bottom"/>
            <w:vMerge w:val="continue"/>
            <w:shd w:val="clear" w:color="auto" w:fill="CCEEFF"/>
          </w:tcPr>
          <w:p>
            <w:pPr>
              <w:spacing w:after="0"/>
              <w:rPr>
                <w:sz w:val="3"/>
                <w:szCs w:val="3"/>
                <w:color w:val="auto"/>
              </w:rPr>
            </w:pPr>
          </w:p>
        </w:tc>
        <w:tc>
          <w:tcPr>
            <w:tcW w:w="280" w:type="dxa"/>
            <w:vAlign w:val="bottom"/>
            <w:gridSpan w:val="2"/>
            <w:shd w:val="clear" w:color="auto" w:fill="CCEEFF"/>
          </w:tcPr>
          <w:p>
            <w:pPr>
              <w:ind w:left="20"/>
              <w:spacing w:after="0" w:line="39" w:lineRule="exact"/>
              <w:rPr>
                <w:sz w:val="20"/>
                <w:szCs w:val="20"/>
                <w:color w:val="auto"/>
              </w:rPr>
            </w:pPr>
            <w:r>
              <w:rPr>
                <w:rFonts w:ascii="Arial" w:cs="Arial" w:eastAsia="Arial" w:hAnsi="Arial"/>
                <w:sz w:val="4"/>
                <w:szCs w:val="4"/>
                <w:color w:val="auto"/>
              </w:rPr>
              <w:t>​ ​​</w:t>
            </w:r>
          </w:p>
        </w:tc>
        <w:tc>
          <w:tcPr>
            <w:tcW w:w="380" w:type="dxa"/>
            <w:vAlign w:val="bottom"/>
            <w:shd w:val="clear" w:color="auto" w:fill="CCEEFF"/>
          </w:tcPr>
          <w:p>
            <w:pPr>
              <w:spacing w:after="0"/>
              <w:rPr>
                <w:sz w:val="3"/>
                <w:szCs w:val="3"/>
                <w:color w:val="auto"/>
              </w:rPr>
            </w:pPr>
          </w:p>
        </w:tc>
        <w:tc>
          <w:tcPr>
            <w:tcW w:w="240" w:type="dxa"/>
            <w:vAlign w:val="bottom"/>
            <w:gridSpan w:val="2"/>
            <w:shd w:val="clear" w:color="auto" w:fill="CCEEFF"/>
          </w:tcPr>
          <w:p>
            <w:pPr>
              <w:jc w:val="right"/>
              <w:ind w:right="12"/>
              <w:spacing w:after="0" w:line="39" w:lineRule="exact"/>
              <w:rPr>
                <w:sz w:val="20"/>
                <w:szCs w:val="20"/>
                <w:color w:val="auto"/>
              </w:rPr>
            </w:pPr>
            <w:r>
              <w:rPr>
                <w:rFonts w:ascii="Arial" w:cs="Arial" w:eastAsia="Arial" w:hAnsi="Arial"/>
                <w:sz w:val="4"/>
                <w:szCs w:val="4"/>
                <w:color w:val="auto"/>
              </w:rPr>
              <w:t>​​ ​​</w:t>
            </w: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tcPr>
          <w:p>
            <w:pPr>
              <w:jc w:val="right"/>
              <w:spacing w:after="0" w:line="39"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39"/>
        </w:trPr>
        <w:tc>
          <w:tcPr>
            <w:tcW w:w="45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67310</wp:posOffset>
            </wp:positionV>
            <wp:extent cx="373316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-121920</wp:posOffset>
            </wp:positionV>
            <wp:extent cx="339534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9534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-312420</wp:posOffset>
            </wp:positionV>
            <wp:extent cx="339534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9534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-502920</wp:posOffset>
            </wp:positionV>
            <wp:extent cx="339534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9534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-883285</wp:posOffset>
            </wp:positionV>
            <wp:extent cx="338899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88995" cy="6350"/>
                    </a:xfrm>
                    <a:prstGeom prst="rect">
                      <a:avLst/>
                    </a:prstGeom>
                    <a:noFill/>
                  </pic:spPr>
                </pic:pic>
              </a:graphicData>
            </a:graphic>
          </wp:anchor>
        </w:drawing>
      </w:r>
    </w:p>
    <w:p>
      <w:pPr>
        <w:spacing w:after="0" w:line="13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Research and Development Expenses</w:t>
      </w:r>
    </w:p>
    <w:p>
      <w:pPr>
        <w:spacing w:after="0" w:line="44" w:lineRule="exact"/>
        <w:rPr>
          <w:sz w:val="20"/>
          <w:szCs w:val="20"/>
          <w:color w:val="auto"/>
        </w:rPr>
      </w:pPr>
    </w:p>
    <w:p>
      <w:pPr>
        <w:ind w:left="1560" w:right="1679"/>
        <w:spacing w:after="0" w:line="278" w:lineRule="auto"/>
        <w:rPr>
          <w:sz w:val="20"/>
          <w:szCs w:val="20"/>
          <w:color w:val="auto"/>
        </w:rPr>
      </w:pPr>
      <w:r>
        <w:rPr>
          <w:rFonts w:ascii="Arial" w:cs="Arial" w:eastAsia="Arial" w:hAnsi="Arial"/>
          <w:sz w:val="12"/>
          <w:szCs w:val="12"/>
          <w:color w:val="auto"/>
        </w:rPr>
        <w:t>Research and development expenses increased by $16.7 million, or 135%, to $29.1 million during the year ended December 31, 2021, compared to $12.4 million during the year ended December 31, 2020. The increase in research and development expenses was primarily due to increases in our lab expenses, employee related expenses, clinical trial expenses and consultants, as we increased our staffing and development efforts.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09" w:name="page110"/>
    <w:bookmarkEnd w:id="10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979"/>
        <w:spacing w:after="0" w:line="291" w:lineRule="auto"/>
        <w:rPr>
          <w:sz w:val="20"/>
          <w:szCs w:val="20"/>
          <w:color w:val="auto"/>
        </w:rPr>
      </w:pPr>
      <w:r>
        <w:rPr>
          <w:rFonts w:ascii="Arial" w:cs="Arial" w:eastAsia="Arial" w:hAnsi="Arial"/>
          <w:sz w:val="12"/>
          <w:szCs w:val="12"/>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74295</wp:posOffset>
            </wp:positionV>
            <wp:extent cx="373316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5"/>
          </w:tcPr>
          <w:p>
            <w:pPr>
              <w:jc w:val="center"/>
              <w:ind w:right="102"/>
              <w:spacing w:after="0"/>
              <w:rPr>
                <w:sz w:val="20"/>
                <w:szCs w:val="20"/>
                <w:color w:val="auto"/>
              </w:rPr>
            </w:pPr>
            <w:r>
              <w:rPr>
                <w:rFonts w:ascii="Arial" w:cs="Arial" w:eastAsia="Arial" w:hAnsi="Arial"/>
                <w:sz w:val="10"/>
                <w:szCs w:val="10"/>
                <w:b w:val="1"/>
                <w:bCs w:val="1"/>
                <w:color w:val="auto"/>
              </w:rPr>
              <w:t>YEAR ENDED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0"/>
                <w:szCs w:val="10"/>
                <w:b w:val="1"/>
                <w:bCs w:val="1"/>
                <w:color w:val="auto"/>
              </w:rPr>
              <w:t>DECEMBER 31,</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4600" w:type="dxa"/>
            <w:vAlign w:val="bottom"/>
          </w:tcPr>
          <w:p>
            <w:pPr>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5"/>
          </w:tcPr>
          <w:p>
            <w:pPr>
              <w:spacing w:after="0" w:line="154" w:lineRule="exact"/>
              <w:rPr>
                <w:sz w:val="20"/>
                <w:szCs w:val="20"/>
                <w:color w:val="auto"/>
              </w:rPr>
            </w:pPr>
            <w:r>
              <w:rPr>
                <w:rFonts w:ascii="Arial" w:cs="Arial" w:eastAsia="Arial" w:hAnsi="Arial"/>
                <w:sz w:val="9"/>
                <w:szCs w:val="9"/>
                <w:b w:val="1"/>
                <w:bCs w:val="1"/>
                <w:color w:val="auto"/>
              </w:rPr>
              <w:t xml:space="preserve">​  ​  </w:t>
            </w:r>
            <w:r>
              <w:rPr>
                <w:rFonts w:ascii="Arial" w:cs="Arial" w:eastAsia="Arial" w:hAnsi="Arial"/>
                <w:sz w:val="17"/>
                <w:szCs w:val="17"/>
                <w:b w:val="1"/>
                <w:bCs w:val="1"/>
                <w:color w:val="auto"/>
                <w:vertAlign w:val="superscript"/>
              </w:rPr>
              <w:t>2020</w:t>
            </w:r>
            <w:r>
              <w:rPr>
                <w:rFonts w:ascii="Arial" w:cs="Arial" w:eastAsia="Arial" w:hAnsi="Arial"/>
                <w:sz w:val="9"/>
                <w:szCs w:val="9"/>
                <w:b w:val="1"/>
                <w:bCs w:val="1"/>
                <w:color w:val="auto"/>
              </w:rPr>
              <w:t xml:space="preserve">   ​ ​</w:t>
            </w:r>
          </w:p>
        </w:tc>
        <w:tc>
          <w:tcPr>
            <w:tcW w:w="4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Arial" w:cs="Arial" w:eastAsia="Arial" w:hAnsi="Arial"/>
                <w:sz w:val="10"/>
                <w:szCs w:val="10"/>
                <w:b w:val="1"/>
                <w:bCs w:val="1"/>
                <w:color w:val="auto"/>
                <w:w w:val="98"/>
              </w:rPr>
              <w:t>2021</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Product candidate:</w:t>
            </w: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600" w:type="dxa"/>
            <w:vAlign w:val="bottom"/>
            <w:vMerge w:val="continue"/>
            <w:shd w:val="clear" w:color="auto" w:fill="CCEEFF"/>
          </w:tcPr>
          <w:p>
            <w:pPr>
              <w:spacing w:after="0"/>
              <w:rPr>
                <w:sz w:val="13"/>
                <w:szCs w:val="13"/>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4600" w:type="dxa"/>
            <w:vAlign w:val="bottom"/>
          </w:tcPr>
          <w:p>
            <w:pPr>
              <w:ind w:left="120"/>
              <w:spacing w:after="0"/>
              <w:rPr>
                <w:sz w:val="20"/>
                <w:szCs w:val="20"/>
                <w:color w:val="auto"/>
              </w:rPr>
            </w:pPr>
            <w:r>
              <w:rPr>
                <w:rFonts w:ascii="Arial" w:cs="Arial" w:eastAsia="Arial" w:hAnsi="Arial"/>
                <w:sz w:val="12"/>
                <w:szCs w:val="12"/>
                <w:color w:val="auto"/>
              </w:rPr>
              <w:t>ANPA-0073</w:t>
            </w:r>
          </w:p>
        </w:tc>
        <w:tc>
          <w:tcPr>
            <w:tcW w:w="28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2,899​​ ​​$</w:t>
            </w:r>
          </w:p>
        </w:tc>
        <w:tc>
          <w:tcPr>
            <w:tcW w:w="4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7,251​</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GSBR-1290</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6,884​​ ​​</w:t>
            </w:r>
          </w:p>
        </w:tc>
        <w:tc>
          <w:tcPr>
            <w:tcW w:w="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​11,697</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4600" w:type="dxa"/>
            <w:vAlign w:val="bottom"/>
          </w:tcPr>
          <w:p>
            <w:pPr>
              <w:ind w:left="120"/>
              <w:spacing w:after="0"/>
              <w:rPr>
                <w:sz w:val="20"/>
                <w:szCs w:val="20"/>
                <w:color w:val="auto"/>
              </w:rPr>
            </w:pPr>
            <w:r>
              <w:rPr>
                <w:rFonts w:ascii="Arial" w:cs="Arial" w:eastAsia="Arial" w:hAnsi="Arial"/>
                <w:sz w:val="12"/>
                <w:szCs w:val="12"/>
                <w:color w:val="auto"/>
              </w:rPr>
              <w:t>LTSE-2578</w:t>
            </w:r>
          </w:p>
        </w:tc>
        <w:tc>
          <w:tcPr>
            <w:tcW w:w="28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600" w:type="dxa"/>
            <w:vAlign w:val="bottom"/>
            <w:gridSpan w:val="3"/>
          </w:tcPr>
          <w:p>
            <w:pPr>
              <w:jc w:val="right"/>
              <w:ind w:right="60"/>
              <w:spacing w:after="0"/>
              <w:rPr>
                <w:sz w:val="20"/>
                <w:szCs w:val="20"/>
                <w:color w:val="auto"/>
              </w:rPr>
            </w:pPr>
            <w:r>
              <w:rPr>
                <w:rFonts w:ascii="Arial" w:cs="Arial" w:eastAsia="Arial" w:hAnsi="Arial"/>
                <w:sz w:val="12"/>
                <w:szCs w:val="12"/>
                <w:color w:val="auto"/>
              </w:rPr>
              <w:t>1,767​​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4,585​</w:t>
            </w:r>
          </w:p>
        </w:tc>
        <w:tc>
          <w:tcPr>
            <w:tcW w:w="0" w:type="dxa"/>
            <w:vAlign w:val="bottom"/>
          </w:tcPr>
          <w:p>
            <w:pPr>
              <w:spacing w:after="0"/>
              <w:rPr>
                <w:sz w:val="1"/>
                <w:szCs w:val="1"/>
                <w:color w:val="auto"/>
              </w:rPr>
            </w:pPr>
          </w:p>
        </w:tc>
      </w:tr>
      <w:tr>
        <w:trPr>
          <w:trHeight w:val="193"/>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28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600" w:type="dxa"/>
            <w:vAlign w:val="bottom"/>
            <w:gridSpan w:val="3"/>
            <w:shd w:val="clear" w:color="auto" w:fill="CCEEFF"/>
          </w:tcPr>
          <w:p>
            <w:pPr>
              <w:jc w:val="right"/>
              <w:ind w:right="60"/>
              <w:spacing w:after="0" w:line="193" w:lineRule="exact"/>
              <w:rPr>
                <w:sz w:val="20"/>
                <w:szCs w:val="20"/>
                <w:color w:val="auto"/>
              </w:rPr>
            </w:pPr>
            <w:r>
              <w:rPr>
                <w:rFonts w:ascii="Arial" w:cs="Arial" w:eastAsia="Arial" w:hAnsi="Arial"/>
                <w:sz w:val="22"/>
                <w:szCs w:val="22"/>
                <w:color w:val="auto"/>
                <w:vertAlign w:val="superscript"/>
              </w:rPr>
              <w:t>814</w:t>
            </w:r>
            <w:r>
              <w:rPr>
                <w:rFonts w:ascii="Arial" w:cs="Arial" w:eastAsia="Arial" w:hAnsi="Arial"/>
                <w:sz w:val="12"/>
                <w:szCs w:val="12"/>
                <w:color w:val="auto"/>
              </w:rPr>
              <w:t>​​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5,578</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0" w:type="dxa"/>
            <w:vAlign w:val="bottom"/>
          </w:tcPr>
          <w:p>
            <w:pPr>
              <w:ind w:left="240"/>
              <w:spacing w:after="0"/>
              <w:rPr>
                <w:sz w:val="20"/>
                <w:szCs w:val="20"/>
                <w:color w:val="auto"/>
              </w:rPr>
            </w:pPr>
            <w:r>
              <w:rPr>
                <w:rFonts w:ascii="Arial" w:cs="Arial" w:eastAsia="Arial" w:hAnsi="Arial"/>
                <w:sz w:val="12"/>
                <w:szCs w:val="12"/>
                <w:color w:val="auto"/>
              </w:rPr>
              <w:t>Total research and development expenses</w:t>
            </w:r>
          </w:p>
        </w:tc>
        <w:tc>
          <w:tcPr>
            <w:tcW w:w="880" w:type="dxa"/>
            <w:vAlign w:val="bottom"/>
            <w:gridSpan w:val="5"/>
          </w:tcPr>
          <w:p>
            <w:pPr>
              <w:ind w:left="40"/>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$ 12,364</w:t>
            </w:r>
            <w:r>
              <w:rPr>
                <w:rFonts w:ascii="Arial" w:cs="Arial" w:eastAsia="Arial" w:hAnsi="Arial"/>
                <w:sz w:val="20"/>
                <w:szCs w:val="20"/>
                <w:color w:val="auto"/>
                <w:vertAlign w:val="subscript"/>
              </w:rPr>
              <w:t>​​ ​​</w:t>
            </w: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40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29,111</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-785495</wp:posOffset>
            </wp:positionV>
            <wp:extent cx="9842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-785495</wp:posOffset>
            </wp:positionV>
            <wp:extent cx="4889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895" cy="6350"/>
                    </a:xfrm>
                    <a:prstGeom prst="rect">
                      <a:avLst/>
                    </a:prstGeom>
                    <a:noFill/>
                  </pic:spPr>
                </pic:pic>
              </a:graphicData>
            </a:graphic>
          </wp:anchor>
        </w:drawing>
      </w:r>
    </w:p>
    <w:p>
      <w:pPr>
        <w:spacing w:after="0" w:line="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General and Administrative Expenses</w:t>
      </w:r>
    </w:p>
    <w:p>
      <w:pPr>
        <w:spacing w:after="0" w:line="34"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General and administrative expenses increased by $5.1 million, or 142%, to $ 8.6 million during the year ended December 31, 2021, compared to $3.5 million during the year ended December 31, 2020. The increase in general and administrative expenses was primarily due to employee-related expenses and consulting fees as we expanded our infrastructure in 2021 to drive and support the anticipated growth in our operations.</w:t>
      </w:r>
    </w:p>
    <w:p>
      <w:pPr>
        <w:spacing w:after="0" w:line="3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Interest and Other Income (Expense), Net</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Interest and other income (expense), net, decreased by $0.3 million to an expense of  $0.1 million during the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year ended December 31, 2021, compared to an income of  $0.2 million during the year ended</w:t>
      </w:r>
    </w:p>
    <w:p>
      <w:pPr>
        <w:spacing w:after="0" w:line="11"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December 31, 2020. The decrease in interest and other income, net, was primarily due to foreign currency</w:t>
      </w:r>
    </w:p>
    <w:p>
      <w:pPr>
        <w:spacing w:after="0" w:line="1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exchange losses.</w:t>
      </w:r>
    </w:p>
    <w:p>
      <w:pPr>
        <w:spacing w:after="0" w:line="5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Liquidity and Capital Resources</w:t>
      </w:r>
    </w:p>
    <w:p>
      <w:pPr>
        <w:spacing w:after="0" w:line="36" w:lineRule="exact"/>
        <w:rPr>
          <w:sz w:val="20"/>
          <w:szCs w:val="20"/>
          <w:color w:val="auto"/>
        </w:rPr>
      </w:pPr>
    </w:p>
    <w:p>
      <w:pPr>
        <w:ind w:left="1560" w:right="1599"/>
        <w:spacing w:after="0" w:line="268" w:lineRule="auto"/>
        <w:rPr>
          <w:sz w:val="20"/>
          <w:szCs w:val="20"/>
          <w:color w:val="auto"/>
        </w:rPr>
      </w:pPr>
      <w:r>
        <w:rPr>
          <w:rFonts w:ascii="Arial" w:cs="Arial" w:eastAsia="Arial" w:hAnsi="Arial"/>
          <w:sz w:val="12"/>
          <w:szCs w:val="12"/>
          <w:color w:val="auto"/>
        </w:rPr>
        <w:t>Since we were reorganized as a Cayman Islands exempted company in February 2019 through September 30, 2022, we have funded our operations primarily with an aggregate of  $198.0 million in gross cash proceeds from the sale of redeemable convertible preferred shares. As of September 30, 2022, we had cash, cash equivalents and short-term investments of  $102.8 million and an accumulated deficit of  $105.1 million.</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Redeemable Convertible Preferred Shares</w:t>
      </w:r>
    </w:p>
    <w:p>
      <w:pPr>
        <w:spacing w:after="0" w:line="133" w:lineRule="exact"/>
        <w:rPr>
          <w:sz w:val="20"/>
          <w:szCs w:val="20"/>
          <w:color w:val="auto"/>
        </w:rPr>
      </w:pPr>
    </w:p>
    <w:p>
      <w:pPr>
        <w:ind w:left="1820"/>
        <w:spacing w:after="0"/>
        <w:rPr>
          <w:sz w:val="20"/>
          <w:szCs w:val="20"/>
          <w:color w:val="auto"/>
        </w:rPr>
      </w:pPr>
      <w:r>
        <w:rPr>
          <w:rFonts w:ascii="Arial" w:cs="Arial" w:eastAsia="Arial" w:hAnsi="Arial"/>
          <w:sz w:val="12"/>
          <w:szCs w:val="12"/>
          <w:i w:val="1"/>
          <w:iCs w:val="1"/>
          <w:color w:val="auto"/>
        </w:rPr>
        <w:t>Series A Redeemable Convertible Preferred Shares</w:t>
      </w:r>
    </w:p>
    <w:p>
      <w:pPr>
        <w:spacing w:after="0" w:line="73" w:lineRule="exact"/>
        <w:rPr>
          <w:sz w:val="20"/>
          <w:szCs w:val="20"/>
          <w:color w:val="auto"/>
        </w:rPr>
      </w:pPr>
    </w:p>
    <w:p>
      <w:pPr>
        <w:ind w:left="1560" w:right="1699"/>
        <w:spacing w:after="0" w:line="271" w:lineRule="auto"/>
        <w:rPr>
          <w:sz w:val="20"/>
          <w:szCs w:val="20"/>
          <w:color w:val="auto"/>
        </w:rPr>
      </w:pPr>
      <w:r>
        <w:rPr>
          <w:rFonts w:ascii="Arial" w:cs="Arial" w:eastAsia="Arial" w:hAnsi="Arial"/>
          <w:sz w:val="12"/>
          <w:szCs w:val="12"/>
          <w:color w:val="auto"/>
        </w:rPr>
        <w:t>In April 2019, we entered into a Series A redeemable convertible preferred shares purchase agreement, or the Series A Purchase Agreement, with certain investors to issue and sell 9,600,000 shares of Series A redeemable convertible preferred shares at $1.6667 per share, or the Series A Purchase Price, for total gross proceeds of  $16.0 million.</w:t>
      </w:r>
    </w:p>
    <w:p>
      <w:pPr>
        <w:spacing w:after="0" w:line="73" w:lineRule="exact"/>
        <w:rPr>
          <w:sz w:val="20"/>
          <w:szCs w:val="20"/>
          <w:color w:val="auto"/>
        </w:rPr>
      </w:pPr>
    </w:p>
    <w:p>
      <w:pPr>
        <w:jc w:val="both"/>
        <w:ind w:left="1560" w:right="1639"/>
        <w:spacing w:after="0" w:line="272" w:lineRule="auto"/>
        <w:rPr>
          <w:sz w:val="20"/>
          <w:szCs w:val="20"/>
          <w:color w:val="auto"/>
        </w:rPr>
      </w:pPr>
      <w:r>
        <w:rPr>
          <w:rFonts w:ascii="Arial" w:cs="Arial" w:eastAsia="Arial" w:hAnsi="Arial"/>
          <w:sz w:val="12"/>
          <w:szCs w:val="12"/>
          <w:color w:val="auto"/>
        </w:rPr>
        <w:t>The Series A Purchase Agreement also provided for the issuance and sale to the investors of an additional 9,600,000 shares of Series A redeemable convertible preferred shares at the Series A Purchase Price upon achieving certain milestone conditions, or the Series A Milestone Closing.</w:t>
      </w:r>
    </w:p>
    <w:p>
      <w:pPr>
        <w:spacing w:after="0" w:line="82" w:lineRule="exact"/>
        <w:rPr>
          <w:sz w:val="20"/>
          <w:szCs w:val="20"/>
          <w:color w:val="auto"/>
        </w:rPr>
      </w:pPr>
    </w:p>
    <w:p>
      <w:pPr>
        <w:jc w:val="both"/>
        <w:ind w:left="1560" w:right="1639"/>
        <w:spacing w:after="0" w:line="308" w:lineRule="auto"/>
        <w:rPr>
          <w:sz w:val="20"/>
          <w:szCs w:val="20"/>
          <w:color w:val="auto"/>
        </w:rPr>
      </w:pPr>
      <w:r>
        <w:rPr>
          <w:rFonts w:ascii="Arial" w:cs="Arial" w:eastAsia="Arial" w:hAnsi="Arial"/>
          <w:sz w:val="12"/>
          <w:szCs w:val="12"/>
          <w:color w:val="auto"/>
        </w:rPr>
        <w:t>The issuance of Series A redeemable convertible preferred shares was recorded at the amount of proceeds received less issuance costs and the amounts allocated to the Series A Milestone Closing liability.</w:t>
      </w:r>
    </w:p>
    <w:p>
      <w:pPr>
        <w:spacing w:after="0" w:line="62" w:lineRule="exact"/>
        <w:rPr>
          <w:sz w:val="20"/>
          <w:szCs w:val="20"/>
          <w:color w:val="auto"/>
        </w:rPr>
      </w:pPr>
    </w:p>
    <w:p>
      <w:pPr>
        <w:jc w:val="both"/>
        <w:ind w:left="1560" w:right="1579"/>
        <w:spacing w:after="0" w:line="304" w:lineRule="auto"/>
        <w:rPr>
          <w:sz w:val="20"/>
          <w:szCs w:val="20"/>
          <w:color w:val="auto"/>
        </w:rPr>
      </w:pPr>
      <w:r>
        <w:rPr>
          <w:rFonts w:ascii="Arial" w:cs="Arial" w:eastAsia="Arial" w:hAnsi="Arial"/>
          <w:sz w:val="12"/>
          <w:szCs w:val="12"/>
          <w:color w:val="auto"/>
        </w:rPr>
        <w:t>The Series A Milestone Closing occurred on December 9, 2019, and we issued 9,600,000 shares of Series A redeemable convertible preferred shares at the Series A Purchase Price for gross proceeds of  $16.0 million.</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2"/>
          <w:szCs w:val="12"/>
          <w:i w:val="1"/>
          <w:iCs w:val="1"/>
          <w:color w:val="auto"/>
        </w:rPr>
        <w:t>Series A+ Redeemable Convertible Preferred Shares</w:t>
      </w:r>
    </w:p>
    <w:p>
      <w:pPr>
        <w:spacing w:after="0" w:line="82"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In March 2020, we entered into a Series A+ redeemable convertible preferred shares purchase agreement with certain investors to issue and sell 12,799,681 shares of Series A+ redeemable convertible preferred shares at $2.0313 per share, for total gross proceeds of  $26.0 million.</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2"/>
          <w:szCs w:val="12"/>
          <w:i w:val="1"/>
          <w:iCs w:val="1"/>
          <w:color w:val="auto"/>
        </w:rPr>
        <w:t>Series B Redeemable Convertible Preferred Shares</w:t>
      </w:r>
    </w:p>
    <w:p>
      <w:pPr>
        <w:spacing w:after="0" w:line="82" w:lineRule="exact"/>
        <w:rPr>
          <w:sz w:val="20"/>
          <w:szCs w:val="20"/>
          <w:color w:val="auto"/>
        </w:rPr>
      </w:pPr>
    </w:p>
    <w:p>
      <w:pPr>
        <w:ind w:left="1560" w:right="1599"/>
        <w:spacing w:after="0" w:line="287" w:lineRule="auto"/>
        <w:rPr>
          <w:sz w:val="20"/>
          <w:szCs w:val="20"/>
          <w:color w:val="auto"/>
        </w:rPr>
      </w:pPr>
      <w:r>
        <w:rPr>
          <w:rFonts w:ascii="Arial" w:cs="Arial" w:eastAsia="Arial" w:hAnsi="Arial"/>
          <w:sz w:val="12"/>
          <w:szCs w:val="12"/>
          <w:color w:val="auto"/>
        </w:rPr>
        <w:t>In July 2021, we entered into a Series B redeemable convertible preferred shares purchase agreement with certain investors to issue and sell 24,701,732 shares of Series B redeemable convertible preferred shares at $4.0483 per share, for total gross proceeds of  $100.0 million. In April 2022, we issued an additional 8,155,272</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0" w:name="page111"/>
    <w:bookmarkEnd w:id="11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79"/>
        <w:spacing w:after="0" w:line="291" w:lineRule="auto"/>
        <w:rPr>
          <w:sz w:val="20"/>
          <w:szCs w:val="20"/>
          <w:color w:val="auto"/>
        </w:rPr>
      </w:pPr>
      <w:r>
        <w:rPr>
          <w:rFonts w:ascii="Arial" w:cs="Arial" w:eastAsia="Arial" w:hAnsi="Arial"/>
          <w:sz w:val="12"/>
          <w:szCs w:val="12"/>
          <w:color w:val="auto"/>
        </w:rPr>
        <w:t>shares of our Series B redeemable convertible preferred shares for total gross proceeds of  $33.0 million, also at $4.0483 per share.</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2"/>
          <w:szCs w:val="12"/>
          <w:i w:val="1"/>
          <w:iCs w:val="1"/>
          <w:color w:val="auto"/>
        </w:rPr>
        <w:t>Series B-1 Redeemable Convertible Preferred Shares</w:t>
      </w:r>
    </w:p>
    <w:p>
      <w:pPr>
        <w:spacing w:after="0" w:line="73"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March 2021, Basecamp Bio, our wholly owned subsidiary incorporated in February 2021, entered into a purchase agreement with certain investors to issue and sell 9,000,000 shares of its Series Seed redeemable convertible preferred shares at a price of  $1.00 per share for total gross proceeds of  $9.0 million. Of the 9,000,000 shares of Series Seed redeemable convertible preferred shares issued, 2,000,000 shares were issued to us and the remaining 7,000,000 shares were issued to other existing investors in Structure Therapeutics. In December 2021, we acquired the 7,000,000 Series Seed redeemable convertible preferred shares of Basecamp Bio held by the other investors in exchange for 2,161,402 shares of our Series B-1 redeemable convertible preferred stock, with Basecamp Bio becoming a wholly owned subsidiary again.</w:t>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Silicon Valley Bank Loan</w:t>
      </w:r>
    </w:p>
    <w:p>
      <w:pPr>
        <w:spacing w:after="0" w:line="44" w:lineRule="exact"/>
        <w:rPr>
          <w:sz w:val="20"/>
          <w:szCs w:val="20"/>
          <w:color w:val="auto"/>
        </w:rPr>
      </w:pPr>
    </w:p>
    <w:p>
      <w:pPr>
        <w:ind w:left="1560" w:right="1599"/>
        <w:spacing w:after="0" w:line="270" w:lineRule="auto"/>
        <w:rPr>
          <w:sz w:val="20"/>
          <w:szCs w:val="20"/>
          <w:color w:val="auto"/>
        </w:rPr>
      </w:pPr>
      <w:r>
        <w:rPr>
          <w:rFonts w:ascii="Arial" w:cs="Arial" w:eastAsia="Arial" w:hAnsi="Arial"/>
          <w:sz w:val="12"/>
          <w:szCs w:val="12"/>
          <w:color w:val="auto"/>
        </w:rPr>
        <w:t>On August 4, 2020, we entered into the SVB Agreement with Silicon Valley Bank, or SVB, to raise up to $8.0 million in debt financing, or the SVB Loan, consisting of  $5.0 million available to draw on or before July 31, 2021, or Tranche A, and the option to draw up to an additional $3.0 million, or Tranche B, on or before January 31, 2022, which was conditioned on the initiation of a Phase 1 study on or before July 31, 2021 and nomination of a development candidate for a second asset on or prior to January 31, 2022, both of which we accomplished in May 2021. The Tranche B draw period was extended to July 31, 2022 upon receipt of net cash proceeds in an amount of at least $50.0 million from the issuance and sale of our equity securities to investors and/or subordinated debt on or prior to January 31, 2022, which we satisfied in</w:t>
      </w:r>
    </w:p>
    <w:p>
      <w:pPr>
        <w:spacing w:after="0" w:line="2"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July 2021. The SVB Loan bore interest at a floating rate equal to the greater of  (i) 0.25% below the prime rate and (ii) 3.0%. Repayment terms consisted of interest only through July 31, 2022, and then principal and interest through June 30, 2024. We elected to allow the Tranche A and Tranche B financings to expire unused on July 31, 2021 and July 31, 2022, respectively.</w:t>
      </w:r>
    </w:p>
    <w:p>
      <w:pPr>
        <w:spacing w:after="0" w:line="80" w:lineRule="exact"/>
        <w:rPr>
          <w:sz w:val="20"/>
          <w:szCs w:val="20"/>
          <w:color w:val="auto"/>
        </w:rPr>
      </w:pPr>
    </w:p>
    <w:p>
      <w:pPr>
        <w:ind w:left="1560" w:right="1719"/>
        <w:spacing w:after="0" w:line="275" w:lineRule="auto"/>
        <w:rPr>
          <w:sz w:val="20"/>
          <w:szCs w:val="20"/>
          <w:color w:val="auto"/>
        </w:rPr>
      </w:pPr>
      <w:r>
        <w:rPr>
          <w:rFonts w:ascii="Arial" w:cs="Arial" w:eastAsia="Arial" w:hAnsi="Arial"/>
          <w:sz w:val="12"/>
          <w:szCs w:val="12"/>
          <w:color w:val="auto"/>
        </w:rPr>
        <w:t>In connection with entering into the SVB Agreement, we issued SVB a warrant to purchase shares of our ordinary shares at an exercise price of  $0.48 per share, or SVB Warrant. The SVB Warrant is immediately exercisable for 112,279 shares of our ordinary shares and could have been exercisable for an additional number of ordinary shares equal to 44,567 ordinary shares upon a draw of Tranche A and 22,283 ordinary shares upon a draw of Tranche B. The right for the warrant to be exercisable for the additional Tranche A shares and Tranche B shares expired on July 31, 2021 and July 31, 2022, respectively, as we elected to allow the Tranche A and Tranche B to expire unused on July 31, 2021 and July 31, 2022, respectively.</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44"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As of September 30, 2022, we financed our operations primarily through the private placement of equity securities and have received aggregate gross proceeds of approximately $198.0 million to date. Since our inception, we have incurred net operating losses and negative cash flows from operations. We had net losses of  $15.9 million and $38.0 million in the years ended December 31, 2020 and 2021, respectively, and net losses of  $24.7 million and $39.4 million for the nine months ended September 30, 2021 and 2022, respectively. As of September 30, 2022, we had an accumulated deficit of  $105.1 million.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spacing w:after="0" w:line="81"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As of September 30, 2022, we had cash, cash equivalents and short-term investments of  $102.8 million. Based on our current business plan, we believe that our existing cash, cash equivalents and short-term investments, without taking into consideration the net proceeds from this offering, will be sufficient to fund our projected operations for at least the next 12 months from the date of the issuance of the unaudited interim condensed consolidated financial statements. We have based this estimate on assumptions that may prove to be wrong, and we may exhaust our available capital resources sooner than we expect.</w:t>
      </w:r>
    </w:p>
    <w:p>
      <w:pPr>
        <w:spacing w:after="0" w:line="73" w:lineRule="exact"/>
        <w:rPr>
          <w:sz w:val="20"/>
          <w:szCs w:val="20"/>
          <w:color w:val="auto"/>
        </w:rPr>
      </w:pPr>
    </w:p>
    <w:p>
      <w:pPr>
        <w:ind w:left="1560" w:right="1959"/>
        <w:spacing w:after="0" w:line="282" w:lineRule="auto"/>
        <w:rPr>
          <w:sz w:val="20"/>
          <w:szCs w:val="20"/>
          <w:color w:val="auto"/>
        </w:rPr>
      </w:pPr>
      <w:r>
        <w:rPr>
          <w:rFonts w:ascii="Arial" w:cs="Arial" w:eastAsia="Arial" w:hAnsi="Arial"/>
          <w:sz w:val="12"/>
          <w:szCs w:val="12"/>
          <w:color w:val="auto"/>
        </w:rPr>
        <w:t>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1" w:name="page112"/>
    <w:bookmarkEnd w:id="11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79"/>
        <w:spacing w:after="0" w:line="261" w:lineRule="auto"/>
        <w:rPr>
          <w:sz w:val="20"/>
          <w:szCs w:val="20"/>
          <w:color w:val="auto"/>
        </w:rPr>
      </w:pPr>
      <w:r>
        <w:rPr>
          <w:rFonts w:ascii="Arial" w:cs="Arial" w:eastAsia="Arial" w:hAnsi="Arial"/>
          <w:sz w:val="12"/>
          <w:szCs w:val="12"/>
          <w:color w:val="auto"/>
        </w:rPr>
        <w:t>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following the closing of this offering, we expect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We are subject to the risks typically related to the development of new product candidates, and it may encounter unforeseen expenses, difficulties, complications, delays and other unknown factors that may adversely affect our business.</w:t>
      </w:r>
    </w:p>
    <w:p>
      <w:pPr>
        <w:spacing w:after="0" w:line="80" w:lineRule="exact"/>
        <w:rPr>
          <w:sz w:val="20"/>
          <w:szCs w:val="20"/>
          <w:color w:val="auto"/>
        </w:rPr>
      </w:pPr>
    </w:p>
    <w:p>
      <w:pPr>
        <w:ind w:left="1560" w:right="1819"/>
        <w:spacing w:after="0" w:line="291" w:lineRule="auto"/>
        <w:rPr>
          <w:sz w:val="20"/>
          <w:szCs w:val="20"/>
          <w:color w:val="auto"/>
        </w:rPr>
      </w:pPr>
      <w:r>
        <w:rPr>
          <w:rFonts w:ascii="Arial" w:cs="Arial" w:eastAsia="Arial" w:hAnsi="Arial"/>
          <w:sz w:val="12"/>
          <w:szCs w:val="12"/>
          <w:color w:val="auto"/>
        </w:rPr>
        <w:t>We will need substantial additional capital to develop our product candidates and fund operations for the foreseeable future. Our future capital requirements will depend on many factors, including:</w:t>
      </w:r>
    </w:p>
    <w:p>
      <w:pPr>
        <w:spacing w:after="0" w:line="23" w:lineRule="exact"/>
        <w:rPr>
          <w:sz w:val="20"/>
          <w:szCs w:val="20"/>
          <w:color w:val="auto"/>
        </w:rPr>
      </w:pPr>
    </w:p>
    <w:p>
      <w:pPr>
        <w:ind w:left="1980" w:right="1859" w:hanging="157"/>
        <w:spacing w:after="0" w:line="302" w:lineRule="auto"/>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scope, timing, rate of progress and costs of our preclinical development activities, laboratory testing and clinical trials for our product candidates;</w:t>
      </w:r>
    </w:p>
    <w:p>
      <w:pPr>
        <w:ind w:left="1980" w:hanging="157"/>
        <w:spacing w:after="0"/>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number and scope of clinical programs we decide to pursue;</w:t>
      </w:r>
    </w:p>
    <w:p>
      <w:pPr>
        <w:spacing w:after="0" w:line="65" w:lineRule="exact"/>
        <w:rPr>
          <w:rFonts w:ascii="Arial" w:cs="Arial" w:eastAsia="Arial" w:hAnsi="Arial"/>
          <w:sz w:val="12"/>
          <w:szCs w:val="12"/>
          <w:color w:val="auto"/>
        </w:rPr>
      </w:pPr>
    </w:p>
    <w:p>
      <w:pPr>
        <w:ind w:left="1980" w:right="1979" w:hanging="157"/>
        <w:spacing w:after="0" w:line="308" w:lineRule="auto"/>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cost, timing and outcome of preparing for and undergoing regulatory review of our product candidates;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cost and timing of manufacturing our product candidates;</w:t>
      </w:r>
    </w:p>
    <w:p>
      <w:pPr>
        <w:spacing w:after="0" w:line="65" w:lineRule="exact"/>
        <w:rPr>
          <w:rFonts w:ascii="Arial" w:cs="Arial" w:eastAsia="Arial" w:hAnsi="Arial"/>
          <w:sz w:val="12"/>
          <w:szCs w:val="12"/>
          <w:color w:val="auto"/>
        </w:rPr>
      </w:pPr>
    </w:p>
    <w:p>
      <w:pPr>
        <w:ind w:left="1980" w:right="2139" w:hanging="157"/>
        <w:spacing w:after="0" w:line="308" w:lineRule="auto"/>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cost and timing associated with commercializing our product candidates, if they receive marketing approval;</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extent to which we acquire or in-license other product candidates and technologies;</w:t>
      </w:r>
    </w:p>
    <w:p>
      <w:pPr>
        <w:spacing w:after="0" w:line="65" w:lineRule="exact"/>
        <w:rPr>
          <w:rFonts w:ascii="Arial" w:cs="Arial" w:eastAsia="Arial" w:hAnsi="Arial"/>
          <w:sz w:val="12"/>
          <w:szCs w:val="12"/>
          <w:color w:val="auto"/>
        </w:rPr>
      </w:pPr>
    </w:p>
    <w:p>
      <w:pPr>
        <w:ind w:left="1980" w:right="1899" w:hanging="157"/>
        <w:spacing w:after="0" w:line="308" w:lineRule="auto"/>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costs of preparing, filing and prosecuting patent applications, maintaining and enforcing our intellectual property rights and defending intellectual property-related claims;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ability to establish and maintain collaborations on favorable terms, if at all;</w:t>
      </w:r>
    </w:p>
    <w:p>
      <w:pPr>
        <w:spacing w:after="0" w:line="65" w:lineRule="exact"/>
        <w:rPr>
          <w:rFonts w:ascii="Arial" w:cs="Arial" w:eastAsia="Arial" w:hAnsi="Arial"/>
          <w:sz w:val="12"/>
          <w:szCs w:val="12"/>
          <w:color w:val="auto"/>
        </w:rPr>
      </w:pPr>
    </w:p>
    <w:p>
      <w:pPr>
        <w:ind w:left="1980" w:right="1599" w:hanging="157"/>
        <w:spacing w:after="0" w:line="288" w:lineRule="auto"/>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implementation of operational, financial and management systems; and</w:t>
      </w:r>
    </w:p>
    <w:p>
      <w:pPr>
        <w:spacing w:after="0" w:line="65"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impact of the COVID-19 pandemic on U.S. and global economic conditions that may impact our ability to access capital on terms acceptable, or at all.</w:t>
      </w:r>
    </w:p>
    <w:p>
      <w:pPr>
        <w:spacing w:after="0" w:line="42" w:lineRule="exact"/>
        <w:rPr>
          <w:sz w:val="20"/>
          <w:szCs w:val="20"/>
          <w:color w:val="auto"/>
        </w:rPr>
      </w:pPr>
    </w:p>
    <w:p>
      <w:pPr>
        <w:ind w:left="1560" w:right="1679"/>
        <w:spacing w:after="0" w:line="271" w:lineRule="auto"/>
        <w:rPr>
          <w:sz w:val="20"/>
          <w:szCs w:val="20"/>
          <w:color w:val="auto"/>
        </w:rPr>
      </w:pPr>
      <w:r>
        <w:rPr>
          <w:rFonts w:ascii="Arial" w:cs="Arial" w:eastAsia="Arial" w:hAnsi="Arial"/>
          <w:sz w:val="12"/>
          <w:szCs w:val="12"/>
          <w:color w:val="auto"/>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spacing w:after="0" w:line="73"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2" w:name="page113"/>
    <w:bookmarkEnd w:id="11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Our ability to raise additional funds may be adversely impacted by potential worsening global economic conditions and disruptions to and volatility in the credit and financial markets in the United States and worldwide resulting from the ongoing COVID-19 pandemic or other events such as actual or anticipated changes in interest rates and economic inflation and the impact of the Russian/Ukraine conflict. If we are unable 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 Because of the numerous risks and uncertainties associated with product development, we cannot predict the timing or amount of increased expenses or when or if we will be able to achieve or maintain profitability.</w:t>
      </w:r>
    </w:p>
    <w:p>
      <w:pPr>
        <w:spacing w:after="0" w:line="13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Summary Statements of Cash Flows</w:t>
      </w:r>
    </w:p>
    <w:p>
      <w:pPr>
        <w:spacing w:after="0" w:line="34" w:lineRule="exact"/>
        <w:rPr>
          <w:sz w:val="20"/>
          <w:szCs w:val="20"/>
          <w:color w:val="auto"/>
        </w:rPr>
      </w:pPr>
    </w:p>
    <w:p>
      <w:pPr>
        <w:ind w:left="1560" w:right="1919"/>
        <w:spacing w:after="0" w:line="308" w:lineRule="auto"/>
        <w:rPr>
          <w:sz w:val="20"/>
          <w:szCs w:val="20"/>
          <w:color w:val="auto"/>
        </w:rPr>
      </w:pPr>
      <w:r>
        <w:rPr>
          <w:rFonts w:ascii="Arial" w:cs="Arial" w:eastAsia="Arial" w:hAnsi="Arial"/>
          <w:sz w:val="12"/>
          <w:szCs w:val="12"/>
          <w:color w:val="auto"/>
        </w:rPr>
        <w:t>The following table sets forth the primary sources and uses of cash for the periods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69"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Net cash (used in) provided by:</w:t>
      </w:r>
    </w:p>
    <w:p>
      <w:pPr>
        <w:spacing w:after="0" w:line="40"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Operating activities</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Investing activities</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Financing activities</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2"/>
          <w:szCs w:val="12"/>
          <w:color w:val="auto"/>
        </w:rPr>
        <w:t>Net (decrease) increase in cash and cash</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equivalents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jc w:val="center"/>
              <w:ind w:right="61"/>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6"/>
          </w:tcPr>
          <w:p>
            <w:pPr>
              <w:jc w:val="right"/>
              <w:ind w:right="1"/>
              <w:spacing w:after="0"/>
              <w:rPr>
                <w:sz w:val="20"/>
                <w:szCs w:val="20"/>
                <w:color w:val="auto"/>
              </w:rPr>
            </w:pPr>
            <w:r>
              <w:rPr>
                <w:rFonts w:ascii="Arial" w:cs="Arial" w:eastAsia="Arial" w:hAnsi="Arial"/>
                <w:sz w:val="10"/>
                <w:szCs w:val="10"/>
                <w:b w:val="1"/>
                <w:bCs w:val="1"/>
                <w:color w:val="auto"/>
              </w:rPr>
              <w:t>NINE MONTHS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20"/>
                <w:szCs w:val="20"/>
                <w:color w:val="auto"/>
              </w:rPr>
            </w:pPr>
            <w:r>
              <w:rPr>
                <w:rFonts w:ascii="Arial" w:cs="Arial" w:eastAsia="Arial" w:hAnsi="Arial"/>
                <w:sz w:val="10"/>
                <w:szCs w:val="10"/>
                <w:b w:val="1"/>
                <w:bCs w:val="1"/>
                <w:color w:val="auto"/>
              </w:rPr>
              <w:t>​ ​</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120" w:type="dxa"/>
            <w:vAlign w:val="bottom"/>
          </w:tcPr>
          <w:p>
            <w:pPr>
              <w:spacing w:after="0"/>
              <w:rPr>
                <w:sz w:val="20"/>
                <w:szCs w:val="20"/>
                <w:color w:val="auto"/>
              </w:rPr>
            </w:pPr>
            <w:r>
              <w:rPr>
                <w:rFonts w:ascii="Arial" w:cs="Arial" w:eastAsia="Arial" w:hAnsi="Arial"/>
                <w:sz w:val="10"/>
                <w:szCs w:val="10"/>
                <w:b w:val="1"/>
                <w:bCs w:val="1"/>
                <w:color w:val="auto"/>
              </w:rPr>
              <w:t>​ ​</w:t>
            </w:r>
          </w:p>
        </w:tc>
        <w:tc>
          <w:tcPr>
            <w:tcW w:w="80" w:type="dxa"/>
            <w:vAlign w:val="bottom"/>
          </w:tcPr>
          <w:p>
            <w:pPr>
              <w:spacing w:after="0"/>
              <w:rPr>
                <w:sz w:val="13"/>
                <w:szCs w:val="13"/>
                <w:color w:val="auto"/>
              </w:rPr>
            </w:pPr>
          </w:p>
        </w:tc>
        <w:tc>
          <w:tcPr>
            <w:tcW w:w="420" w:type="dxa"/>
            <w:vAlign w:val="bottom"/>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160" w:type="dxa"/>
            <w:vAlign w:val="bottom"/>
            <w:gridSpan w:val="2"/>
          </w:tcPr>
          <w:p>
            <w:pPr>
              <w:ind w:left="40"/>
              <w:spacing w:after="0"/>
              <w:rPr>
                <w:sz w:val="20"/>
                <w:szCs w:val="20"/>
                <w:color w:val="auto"/>
              </w:rPr>
            </w:pPr>
            <w:r>
              <w:rPr>
                <w:rFonts w:ascii="Arial" w:cs="Arial" w:eastAsia="Arial" w:hAnsi="Arial"/>
                <w:sz w:val="10"/>
                <w:szCs w:val="10"/>
                <w:b w:val="1"/>
                <w:bCs w:val="1"/>
                <w:color w:val="auto"/>
              </w:rPr>
              <w:t>​ ​</w:t>
            </w:r>
          </w:p>
        </w:tc>
        <w:tc>
          <w:tcPr>
            <w:tcW w:w="80" w:type="dxa"/>
            <w:vAlign w:val="bottom"/>
          </w:tcPr>
          <w:p>
            <w:pPr>
              <w:spacing w:after="0"/>
              <w:rPr>
                <w:sz w:val="13"/>
                <w:szCs w:val="13"/>
                <w:color w:val="auto"/>
              </w:rPr>
            </w:pPr>
          </w:p>
        </w:tc>
        <w:tc>
          <w:tcPr>
            <w:tcW w:w="460" w:type="dxa"/>
            <w:vAlign w:val="bottom"/>
          </w:tcPr>
          <w:p>
            <w:pPr>
              <w:jc w:val="right"/>
              <w:ind w:right="81"/>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3"/>
                <w:szCs w:val="13"/>
                <w:color w:val="auto"/>
              </w:rPr>
            </w:pPr>
          </w:p>
        </w:tc>
        <w:tc>
          <w:tcPr>
            <w:tcW w:w="660" w:type="dxa"/>
            <w:vAlign w:val="bottom"/>
            <w:gridSpan w:val="4"/>
          </w:tcPr>
          <w:p>
            <w:pPr>
              <w:ind w:left="20"/>
              <w:spacing w:after="0" w:line="154" w:lineRule="exact"/>
              <w:rPr>
                <w:sz w:val="20"/>
                <w:szCs w:val="20"/>
                <w:color w:val="auto"/>
              </w:rPr>
            </w:pPr>
            <w:r>
              <w:rPr>
                <w:rFonts w:ascii="Arial" w:cs="Arial" w:eastAsia="Arial" w:hAnsi="Arial"/>
                <w:sz w:val="9"/>
                <w:szCs w:val="9"/>
                <w:b w:val="1"/>
                <w:bCs w:val="1"/>
                <w:color w:val="auto"/>
              </w:rPr>
              <w:t xml:space="preserve">2021    </w:t>
            </w:r>
            <w:r>
              <w:rPr>
                <w:rFonts w:ascii="Arial" w:cs="Arial" w:eastAsia="Arial" w:hAnsi="Arial"/>
                <w:sz w:val="17"/>
                <w:szCs w:val="17"/>
                <w:b w:val="1"/>
                <w:bCs w:val="1"/>
                <w:color w:val="auto"/>
                <w:vertAlign w:val="subscript"/>
              </w:rPr>
              <w:t>​ ​</w:t>
            </w:r>
          </w:p>
        </w:tc>
        <w:tc>
          <w:tcPr>
            <w:tcW w:w="480" w:type="dxa"/>
            <w:vAlign w:val="bottom"/>
          </w:tcPr>
          <w:p>
            <w:pPr>
              <w:jc w:val="right"/>
              <w:ind w:right="101"/>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0" w:type="dxa"/>
            <w:vAlign w:val="bottom"/>
            <w:gridSpan w:val="2"/>
          </w:tcPr>
          <w:p>
            <w:pPr>
              <w:spacing w:after="0"/>
              <w:rPr>
                <w:sz w:val="20"/>
                <w:szCs w:val="20"/>
                <w:color w:val="auto"/>
              </w:rPr>
            </w:pPr>
            <w:r>
              <w:rPr>
                <w:rFonts w:ascii="Arial" w:cs="Arial" w:eastAsia="Arial" w:hAnsi="Arial"/>
                <w:sz w:val="12"/>
                <w:szCs w:val="12"/>
                <w:color w:val="auto"/>
              </w:rPr>
              <w:t>​ ​​</w:t>
            </w:r>
          </w:p>
        </w:tc>
        <w:tc>
          <w:tcPr>
            <w:tcW w:w="420" w:type="dxa"/>
            <w:vAlign w:val="bottom"/>
          </w:tcPr>
          <w:p>
            <w:pPr>
              <w:jc w:val="right"/>
              <w:ind w:right="324"/>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361"/>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81"/>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200" w:type="dxa"/>
            <w:vAlign w:val="bottom"/>
            <w:gridSpan w:val="2"/>
          </w:tcPr>
          <w:p>
            <w:pPr>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(14,283​​)</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(32,160​​)</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(21,401​​)</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(34,094)​</w:t>
            </w:r>
          </w:p>
        </w:tc>
        <w:tc>
          <w:tcPr>
            <w:tcW w:w="0" w:type="dxa"/>
            <w:vAlign w:val="bottom"/>
          </w:tcPr>
          <w:p>
            <w:pPr>
              <w:spacing w:after="0"/>
              <w:rPr>
                <w:sz w:val="1"/>
                <w:szCs w:val="1"/>
                <w:color w:val="auto"/>
              </w:rPr>
            </w:pPr>
          </w:p>
        </w:tc>
      </w:tr>
      <w:tr>
        <w:trPr>
          <w:trHeight w:val="184"/>
        </w:trPr>
        <w:tc>
          <w:tcPr>
            <w:tcW w:w="720" w:type="dxa"/>
            <w:vAlign w:val="bottom"/>
            <w:gridSpan w:val="4"/>
          </w:tcPr>
          <w:p>
            <w:pPr>
              <w:spacing w:after="0"/>
              <w:rPr>
                <w:sz w:val="20"/>
                <w:szCs w:val="20"/>
                <w:color w:val="auto"/>
              </w:rPr>
            </w:pPr>
            <w:r>
              <w:rPr>
                <w:rFonts w:ascii="Arial" w:cs="Arial" w:eastAsia="Arial" w:hAnsi="Arial"/>
                <w:sz w:val="12"/>
                <w:szCs w:val="12"/>
                <w:color w:val="auto"/>
              </w:rPr>
              <w:t>​ ​​ ​(21,147​​)</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 17,859​​</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16,779​​</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 (72,449)​</w:t>
            </w:r>
          </w:p>
        </w:tc>
        <w:tc>
          <w:tcPr>
            <w:tcW w:w="0" w:type="dxa"/>
            <w:vAlign w:val="bottom"/>
          </w:tcPr>
          <w:p>
            <w:pPr>
              <w:spacing w:after="0"/>
              <w:rPr>
                <w:sz w:val="1"/>
                <w:szCs w:val="1"/>
                <w:color w:val="auto"/>
              </w:rPr>
            </w:pPr>
          </w:p>
        </w:tc>
      </w:tr>
      <w:tr>
        <w:trPr>
          <w:trHeight w:val="184"/>
        </w:trPr>
        <w:tc>
          <w:tcPr>
            <w:tcW w:w="720" w:type="dxa"/>
            <w:vAlign w:val="bottom"/>
            <w:gridSpan w:val="4"/>
          </w:tcPr>
          <w:p>
            <w:pPr>
              <w:spacing w:after="0" w:line="185" w:lineRule="exact"/>
              <w:rPr>
                <w:sz w:val="20"/>
                <w:szCs w:val="20"/>
                <w:color w:val="auto"/>
              </w:rPr>
            </w:pPr>
            <w:r>
              <w:rPr>
                <w:rFonts w:ascii="Arial" w:cs="Arial" w:eastAsia="Arial" w:hAnsi="Arial"/>
                <w:sz w:val="21"/>
                <w:szCs w:val="21"/>
                <w:color w:val="auto"/>
                <w:vertAlign w:val="subscript"/>
              </w:rPr>
              <w:t>​ ​​</w:t>
            </w:r>
            <w:r>
              <w:rPr>
                <w:rFonts w:ascii="Arial" w:cs="Arial" w:eastAsia="Arial" w:hAnsi="Arial"/>
                <w:sz w:val="11"/>
                <w:szCs w:val="11"/>
                <w:color w:val="auto"/>
              </w:rPr>
              <w:t xml:space="preserve"> ​ 25,837</w:t>
            </w:r>
            <w:r>
              <w:rPr>
                <w:rFonts w:ascii="Arial" w:cs="Arial" w:eastAsia="Arial" w:hAnsi="Arial"/>
                <w:sz w:val="21"/>
                <w:szCs w:val="21"/>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line="185" w:lineRule="exact"/>
              <w:rPr>
                <w:sz w:val="20"/>
                <w:szCs w:val="20"/>
                <w:color w:val="auto"/>
              </w:rPr>
            </w:pPr>
            <w:r>
              <w:rPr>
                <w:rFonts w:ascii="Arial" w:cs="Arial" w:eastAsia="Arial" w:hAnsi="Arial"/>
                <w:sz w:val="11"/>
                <w:szCs w:val="11"/>
                <w:color w:val="auto"/>
              </w:rPr>
              <w:t>​103,254</w:t>
            </w:r>
            <w:r>
              <w:rPr>
                <w:rFonts w:ascii="Arial" w:cs="Arial" w:eastAsia="Arial" w:hAnsi="Arial"/>
                <w:sz w:val="21"/>
                <w:szCs w:val="21"/>
                <w:color w:val="auto"/>
                <w:vertAlign w:val="subscript"/>
              </w:rPr>
              <w:t>​​</w:t>
            </w:r>
          </w:p>
        </w:tc>
        <w:tc>
          <w:tcPr>
            <w:tcW w:w="720" w:type="dxa"/>
            <w:vAlign w:val="bottom"/>
            <w:gridSpan w:val="4"/>
          </w:tcPr>
          <w:p>
            <w:pPr>
              <w:ind w:left="20"/>
              <w:spacing w:after="0" w:line="185"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​103,369</w:t>
            </w:r>
            <w:r>
              <w:rPr>
                <w:rFonts w:ascii="Arial" w:cs="Arial" w:eastAsia="Arial" w:hAnsi="Arial"/>
                <w:sz w:val="21"/>
                <w:szCs w:val="21"/>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line="185" w:lineRule="exact"/>
              <w:rPr>
                <w:sz w:val="20"/>
                <w:szCs w:val="20"/>
                <w:color w:val="auto"/>
              </w:rPr>
            </w:pPr>
            <w:r>
              <w:rPr>
                <w:rFonts w:ascii="Arial" w:cs="Arial" w:eastAsia="Arial" w:hAnsi="Arial"/>
                <w:sz w:val="11"/>
                <w:szCs w:val="11"/>
                <w:color w:val="auto"/>
              </w:rPr>
              <w:t>​ 29,330</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4"/>
              <w:spacing w:after="0"/>
              <w:rPr>
                <w:sz w:val="20"/>
                <w:szCs w:val="20"/>
                <w:color w:val="auto"/>
              </w:rPr>
            </w:pPr>
            <w:r>
              <w:rPr>
                <w:rFonts w:ascii="Arial" w:cs="Arial" w:eastAsia="Arial" w:hAnsi="Arial"/>
                <w:sz w:val="12"/>
                <w:szCs w:val="12"/>
                <w:color w:val="auto"/>
              </w:rPr>
              <w:t>(9,593)</w:t>
            </w: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88,953</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420" w:type="dxa"/>
            <w:vAlign w:val="bottom"/>
          </w:tcPr>
          <w:p>
            <w:pPr>
              <w:ind w:left="60"/>
              <w:spacing w:after="0"/>
              <w:rPr>
                <w:sz w:val="20"/>
                <w:szCs w:val="20"/>
                <w:color w:val="auto"/>
              </w:rPr>
            </w:pPr>
            <w:r>
              <w:rPr>
                <w:rFonts w:ascii="Arial" w:cs="Arial" w:eastAsia="Arial" w:hAnsi="Arial"/>
                <w:sz w:val="12"/>
                <w:szCs w:val="12"/>
                <w:color w:val="auto"/>
                <w:w w:val="92"/>
              </w:rPr>
              <w:t>98,747</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(77,213)</w:t>
            </w:r>
          </w:p>
        </w:tc>
        <w:tc>
          <w:tcPr>
            <w:tcW w:w="0" w:type="dxa"/>
            <w:vAlign w:val="bottom"/>
          </w:tcPr>
          <w:p>
            <w:pPr>
              <w:spacing w:after="0"/>
              <w:rPr>
                <w:sz w:val="1"/>
                <w:szCs w:val="1"/>
                <w:color w:val="auto"/>
              </w:rPr>
            </w:pPr>
          </w:p>
        </w:tc>
      </w:tr>
      <w:tr>
        <w:trPr>
          <w:trHeight w:val="48"/>
        </w:trPr>
        <w:tc>
          <w:tcPr>
            <w:tcW w:w="200" w:type="dxa"/>
            <w:vAlign w:val="bottom"/>
            <w:gridSpan w:val="2"/>
          </w:tcPr>
          <w:p>
            <w:pPr>
              <w:spacing w:after="0" w:line="49" w:lineRule="exact"/>
              <w:rPr>
                <w:sz w:val="20"/>
                <w:szCs w:val="20"/>
                <w:color w:val="auto"/>
              </w:rPr>
            </w:pPr>
            <w:r>
              <w:rPr>
                <w:rFonts w:ascii="Arial" w:cs="Arial" w:eastAsia="Arial" w:hAnsi="Arial"/>
                <w:sz w:val="5"/>
                <w:szCs w:val="5"/>
                <w:color w:val="auto"/>
              </w:rPr>
              <w:t>​ ​​</w:t>
            </w:r>
          </w:p>
        </w:tc>
        <w:tc>
          <w:tcPr>
            <w:tcW w:w="420" w:type="dxa"/>
            <w:vAlign w:val="bottom"/>
          </w:tcPr>
          <w:p>
            <w:pPr>
              <w:spacing w:after="0"/>
              <w:rPr>
                <w:sz w:val="4"/>
                <w:szCs w:val="4"/>
                <w:color w:val="auto"/>
              </w:rPr>
            </w:pPr>
          </w:p>
        </w:tc>
        <w:tc>
          <w:tcPr>
            <w:tcW w:w="10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gridSpan w:val="2"/>
          </w:tcPr>
          <w:p>
            <w:pPr>
              <w:ind w:left="20"/>
              <w:spacing w:after="0" w:line="49" w:lineRule="exact"/>
              <w:rPr>
                <w:sz w:val="20"/>
                <w:szCs w:val="20"/>
                <w:color w:val="auto"/>
              </w:rPr>
            </w:pPr>
            <w:r>
              <w:rPr>
                <w:rFonts w:ascii="Arial" w:cs="Arial" w:eastAsia="Arial" w:hAnsi="Arial"/>
                <w:sz w:val="5"/>
                <w:szCs w:val="5"/>
                <w:color w:val="auto"/>
              </w:rPr>
              <w:t>​​</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00" w:type="dxa"/>
            <w:vAlign w:val="bottom"/>
            <w:gridSpan w:val="2"/>
          </w:tcPr>
          <w:p>
            <w:pPr>
              <w:ind w:left="20"/>
              <w:spacing w:after="0" w:line="49" w:lineRule="exact"/>
              <w:rPr>
                <w:sz w:val="20"/>
                <w:szCs w:val="20"/>
                <w:color w:val="auto"/>
              </w:rPr>
            </w:pPr>
            <w:r>
              <w:rPr>
                <w:rFonts w:ascii="Arial" w:cs="Arial" w:eastAsia="Arial" w:hAnsi="Arial"/>
                <w:sz w:val="5"/>
                <w:szCs w:val="5"/>
                <w:color w:val="auto"/>
              </w:rPr>
              <w:t>​​</w:t>
            </w:r>
          </w:p>
        </w:tc>
        <w:tc>
          <w:tcPr>
            <w:tcW w:w="4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gridSpan w:val="2"/>
          </w:tcPr>
          <w:p>
            <w:pPr>
              <w:ind w:left="20"/>
              <w:spacing w:after="0" w:line="49"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-472440</wp:posOffset>
            </wp:positionV>
            <wp:extent cx="3733165" cy="1168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48895</wp:posOffset>
            </wp:positionV>
            <wp:extent cx="373316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-232410</wp:posOffset>
            </wp:positionV>
            <wp:extent cx="3733165" cy="220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33165" cy="22098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-705485</wp:posOffset>
            </wp:positionV>
            <wp:extent cx="3733165" cy="1168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4060" w:space="620"/>
            <w:col w:w="4339"/>
          </w:cols>
          <w:pgMar w:left="1440" w:top="109" w:right="1440" w:bottom="1440" w:gutter="0" w:footer="0" w:header="0"/>
          <w:type w:val="continuous"/>
        </w:sectPr>
      </w:pPr>
    </w:p>
    <w:p>
      <w:pPr>
        <w:ind w:left="1560"/>
        <w:spacing w:after="0"/>
        <w:rPr>
          <w:sz w:val="20"/>
          <w:szCs w:val="20"/>
          <w:color w:val="auto"/>
        </w:rPr>
      </w:pPr>
      <w:r>
        <w:rPr>
          <w:rFonts w:ascii="Arial" w:cs="Arial" w:eastAsia="Arial" w:hAnsi="Arial"/>
          <w:sz w:val="12"/>
          <w:szCs w:val="12"/>
          <w:i w:val="1"/>
          <w:iCs w:val="1"/>
          <w:color w:val="auto"/>
        </w:rPr>
        <w:t>Cash Flows Used in Operating Activities</w:t>
      </w:r>
    </w:p>
    <w:p>
      <w:pPr>
        <w:spacing w:after="0" w:line="34" w:lineRule="exact"/>
        <w:rPr>
          <w:sz w:val="20"/>
          <w:szCs w:val="20"/>
          <w:color w:val="auto"/>
        </w:rPr>
      </w:pPr>
    </w:p>
    <w:p>
      <w:pPr>
        <w:ind w:left="1560" w:right="1659"/>
        <w:spacing w:after="0" w:line="264" w:lineRule="auto"/>
        <w:rPr>
          <w:sz w:val="20"/>
          <w:szCs w:val="20"/>
          <w:color w:val="auto"/>
        </w:rPr>
      </w:pPr>
      <w:r>
        <w:rPr>
          <w:rFonts w:ascii="Arial" w:cs="Arial" w:eastAsia="Arial" w:hAnsi="Arial"/>
          <w:sz w:val="12"/>
          <w:szCs w:val="12"/>
          <w:color w:val="auto"/>
        </w:rPr>
        <w:t>During the nine months ended September 30, 2021, net cash used in operating activities was $21.4 million, consisting primarily of a net loss of  $24.7 million, partially offset by non-cash charges of  $0.8 million and a decrease in net operating assets of  $2.5 million. The cash used in operations was primarily due to the increase in net loss from the increase in operating expenses as we invest in our research and development efforts. Non-cash charges consisted primarily of share-based compensation. The decrease in net operating assets was primarily due to increases in accounts payable and accrued expenses and other current liabilities, partially offset by an increase in prepaid expenses and other current assets.</w:t>
      </w:r>
    </w:p>
    <w:p>
      <w:pPr>
        <w:spacing w:after="0" w:line="78"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During the nine months ended September 30, 2022, net cash used in operating activities was $34.1 million, consisting primarily of a net loss of  $39.4 million, partially offset by non-cash charges of  $1.9 million and a decrease in net operating assets of  $3.4 million. The cash used in operations was primarily due to the increase in net loss from the increase in operating expenses as we invest in our research and development efforts. Non-cash charges consisted primarily of share-based compensation, partly offset by gain from accretion of net investment discount. The decrease in net operating assets was primarily due to increases in accounts payable and accrued expenses and other current liabilities.</w:t>
      </w:r>
    </w:p>
    <w:p>
      <w:pPr>
        <w:spacing w:after="0" w:line="78"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During the year ended December 31, 2020, net cash used in operating activities was $14.3 million, consisting primarily of a net loss of  $15.9 million, partially offset by non-cash charges of  $0.6 million and a decrease in net operating assets of  $1.0 million. The cash used in operations was primarily due to the increase in net loss from the increase in operating expenses as we invest in our research and development efforts. Non-cash charges consisted primarily of share-based compensation. The decrease in net operating assets is primarily due to increases in accounts payable and accrued expenses and other current liabilities.</w:t>
      </w:r>
    </w:p>
    <w:p>
      <w:pPr>
        <w:spacing w:after="0" w:line="78" w:lineRule="exact"/>
        <w:rPr>
          <w:sz w:val="20"/>
          <w:szCs w:val="20"/>
          <w:color w:val="auto"/>
        </w:rPr>
      </w:pPr>
    </w:p>
    <w:p>
      <w:pPr>
        <w:ind w:left="1560" w:right="1659"/>
        <w:spacing w:after="0" w:line="264" w:lineRule="auto"/>
        <w:rPr>
          <w:sz w:val="20"/>
          <w:szCs w:val="20"/>
          <w:color w:val="auto"/>
        </w:rPr>
      </w:pPr>
      <w:r>
        <w:rPr>
          <w:rFonts w:ascii="Arial" w:cs="Arial" w:eastAsia="Arial" w:hAnsi="Arial"/>
          <w:sz w:val="12"/>
          <w:szCs w:val="12"/>
          <w:color w:val="auto"/>
        </w:rPr>
        <w:t>During the year ended December 31, 2021, net cash used in operating activities was $32.2 million, consisting primarily of a net loss of  $38.0 million, partially offset by non-cash charges of  $1.8 million and a decrease in net operating assets of  $4.0 million. The cash used in operations was primarily due to the increase in net loss from the increase in operating expenses as we invest in our research and development efforts. Non-cash charges consisted primarily of share-based compensation. The decrease in net operating assets is primarily due to increases in accrued expenses and other current liabilities and accounts payable, partially offset by an increase in prepaid expenses and other current assets.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113" w:name="page114"/>
    <w:bookmarkEnd w:id="11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Cash Flows (Used in) Provided by Investing Activities</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During the nine months ended September 30, 2021, net cash provided by investing activities was</w:t>
      </w:r>
    </w:p>
    <w:p>
      <w:pPr>
        <w:spacing w:after="0" w:line="19" w:lineRule="exact"/>
        <w:rPr>
          <w:sz w:val="20"/>
          <w:szCs w:val="20"/>
          <w:color w:val="auto"/>
        </w:rPr>
      </w:pPr>
    </w:p>
    <w:p>
      <w:pPr>
        <w:ind w:left="1560" w:right="1639"/>
        <w:spacing w:after="0" w:line="287" w:lineRule="auto"/>
        <w:rPr>
          <w:sz w:val="20"/>
          <w:szCs w:val="20"/>
          <w:color w:val="auto"/>
        </w:rPr>
      </w:pPr>
      <w:r>
        <w:rPr>
          <w:rFonts w:ascii="Arial" w:cs="Arial" w:eastAsia="Arial" w:hAnsi="Arial"/>
          <w:sz w:val="12"/>
          <w:szCs w:val="12"/>
          <w:color w:val="auto"/>
        </w:rPr>
        <w:t>$16.8 million, consisting primarily of net maturities of short-term investments of  $17.9 million, partially offset by purchases of property and equipment of  $1.1 million.</w:t>
      </w:r>
    </w:p>
    <w:p>
      <w:pPr>
        <w:spacing w:after="0" w:line="64" w:lineRule="exact"/>
        <w:rPr>
          <w:sz w:val="20"/>
          <w:szCs w:val="20"/>
          <w:color w:val="auto"/>
        </w:rPr>
      </w:pPr>
    </w:p>
    <w:p>
      <w:pPr>
        <w:ind w:left="1560" w:right="1679"/>
        <w:spacing w:after="0" w:line="291" w:lineRule="auto"/>
        <w:rPr>
          <w:sz w:val="20"/>
          <w:szCs w:val="20"/>
          <w:color w:val="auto"/>
        </w:rPr>
      </w:pPr>
      <w:r>
        <w:rPr>
          <w:rFonts w:ascii="Arial" w:cs="Arial" w:eastAsia="Arial" w:hAnsi="Arial"/>
          <w:sz w:val="12"/>
          <w:szCs w:val="12"/>
          <w:color w:val="auto"/>
        </w:rPr>
        <w:t>During the nine months ended September 30, 2022, net cash used in investing activities was $72.4 million, consisting primarily of net purchases of short-term investments.</w:t>
      </w:r>
    </w:p>
    <w:p>
      <w:pPr>
        <w:spacing w:after="0" w:line="62" w:lineRule="exact"/>
        <w:rPr>
          <w:sz w:val="20"/>
          <w:szCs w:val="20"/>
          <w:color w:val="auto"/>
        </w:rPr>
      </w:pPr>
    </w:p>
    <w:p>
      <w:pPr>
        <w:ind w:left="1560" w:right="2139"/>
        <w:spacing w:after="0" w:line="291" w:lineRule="auto"/>
        <w:rPr>
          <w:sz w:val="20"/>
          <w:szCs w:val="20"/>
          <w:color w:val="auto"/>
        </w:rPr>
      </w:pPr>
      <w:r>
        <w:rPr>
          <w:rFonts w:ascii="Arial" w:cs="Arial" w:eastAsia="Arial" w:hAnsi="Arial"/>
          <w:sz w:val="12"/>
          <w:szCs w:val="12"/>
          <w:color w:val="auto"/>
        </w:rPr>
        <w:t>During the year ended December 31, 2020, net cash used in investing activities was $21.1 million, consisting primarily of purchases of short-term investments.</w:t>
      </w:r>
    </w:p>
    <w:p>
      <w:pPr>
        <w:spacing w:after="0" w:line="62"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During the year ended December 31, 2021, net cash provided by investing activities was $17.9 million, consisting primarily of net maturities of short-term investments of  $19.1 million, partially offset by purchases of property and equipment of  $1.2 million.</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Cash Flows Provided by Financing Activities</w:t>
      </w:r>
    </w:p>
    <w:p>
      <w:pPr>
        <w:spacing w:after="0" w:line="34" w:lineRule="exact"/>
        <w:rPr>
          <w:sz w:val="20"/>
          <w:szCs w:val="20"/>
          <w:color w:val="auto"/>
        </w:rPr>
      </w:pPr>
    </w:p>
    <w:p>
      <w:pPr>
        <w:ind w:left="1560" w:right="1759"/>
        <w:spacing w:after="0" w:line="272" w:lineRule="auto"/>
        <w:rPr>
          <w:sz w:val="20"/>
          <w:szCs w:val="20"/>
          <w:color w:val="auto"/>
        </w:rPr>
      </w:pPr>
      <w:r>
        <w:rPr>
          <w:rFonts w:ascii="Arial" w:cs="Arial" w:eastAsia="Arial" w:hAnsi="Arial"/>
          <w:sz w:val="12"/>
          <w:szCs w:val="12"/>
          <w:color w:val="auto"/>
        </w:rPr>
        <w:t>During the nine months ended September 30, 2021, net cash provided by financing activities was $103.4 million, consisting primarily of net proceeds from the issuance of our Series B redeemable convertible preferred shares and Series Seed redeemable convertible preferred shares of Basecamp Bio.</w:t>
      </w:r>
    </w:p>
    <w:p>
      <w:pPr>
        <w:spacing w:after="0" w:line="7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During the nine months ended September 30, 2022, net cash provided by financing activities was</w:t>
      </w:r>
    </w:p>
    <w:p>
      <w:pPr>
        <w:spacing w:after="0" w:line="23" w:lineRule="exact"/>
        <w:rPr>
          <w:sz w:val="20"/>
          <w:szCs w:val="20"/>
          <w:color w:val="auto"/>
        </w:rPr>
      </w:pPr>
    </w:p>
    <w:p>
      <w:pPr>
        <w:ind w:left="1560" w:right="1639"/>
        <w:spacing w:after="0" w:line="281" w:lineRule="auto"/>
        <w:rPr>
          <w:sz w:val="20"/>
          <w:szCs w:val="20"/>
          <w:color w:val="auto"/>
        </w:rPr>
      </w:pPr>
      <w:r>
        <w:rPr>
          <w:rFonts w:ascii="Arial" w:cs="Arial" w:eastAsia="Arial" w:hAnsi="Arial"/>
          <w:sz w:val="12"/>
          <w:szCs w:val="12"/>
          <w:color w:val="auto"/>
        </w:rPr>
        <w:t>$29.3 million, consisting primarily of net proceeds from the issuance of our Series B redeemable convertible preferred shares, partially offset by payments of deferred offering costs.</w:t>
      </w:r>
    </w:p>
    <w:p>
      <w:pPr>
        <w:spacing w:after="0" w:line="67" w:lineRule="exact"/>
        <w:rPr>
          <w:sz w:val="20"/>
          <w:szCs w:val="20"/>
          <w:color w:val="auto"/>
        </w:rPr>
      </w:pPr>
    </w:p>
    <w:p>
      <w:pPr>
        <w:ind w:left="1560" w:right="1899"/>
        <w:spacing w:after="0" w:line="291" w:lineRule="auto"/>
        <w:rPr>
          <w:sz w:val="20"/>
          <w:szCs w:val="20"/>
          <w:color w:val="auto"/>
        </w:rPr>
      </w:pPr>
      <w:r>
        <w:rPr>
          <w:rFonts w:ascii="Arial" w:cs="Arial" w:eastAsia="Arial" w:hAnsi="Arial"/>
          <w:sz w:val="12"/>
          <w:szCs w:val="12"/>
          <w:color w:val="auto"/>
        </w:rPr>
        <w:t>During the year ended December 31, 2020, net cash provided by financing activities was $25.8 million, consisting of net proceeds from the issuance of Series A+ redeemable convertible preferred shares.</w:t>
      </w:r>
    </w:p>
    <w:p>
      <w:pPr>
        <w:spacing w:after="0" w:line="62" w:lineRule="exact"/>
        <w:rPr>
          <w:sz w:val="20"/>
          <w:szCs w:val="20"/>
          <w:color w:val="auto"/>
        </w:rPr>
      </w:pPr>
    </w:p>
    <w:p>
      <w:pPr>
        <w:jc w:val="both"/>
        <w:ind w:left="1560" w:right="1839"/>
        <w:spacing w:after="0" w:line="280" w:lineRule="auto"/>
        <w:rPr>
          <w:sz w:val="20"/>
          <w:szCs w:val="20"/>
          <w:color w:val="auto"/>
        </w:rPr>
      </w:pPr>
      <w:r>
        <w:rPr>
          <w:rFonts w:ascii="Arial" w:cs="Arial" w:eastAsia="Arial" w:hAnsi="Arial"/>
          <w:sz w:val="12"/>
          <w:szCs w:val="12"/>
          <w:color w:val="auto"/>
        </w:rPr>
        <w:t>During the year ended December 31, 2021, net cash provided by financing activities was $103.3 million, consisting primarily of net proceeds from the issuance of our Series B redeemable convertible preferred shares and Series Seed redeemable convertible preferred shares of Basecamp Bio.</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Off-Balance Sheet Arrangements</w:t>
      </w:r>
    </w:p>
    <w:p>
      <w:pPr>
        <w:spacing w:after="0" w:line="36"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Since our inception, we did not have, and we do not currently have, any off-balance sheet arrangements as defined in the rules and regulations of the SEC.</w:t>
      </w:r>
    </w:p>
    <w:p>
      <w:pPr>
        <w:spacing w:after="0" w:line="12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Contractual Obligations</w:t>
      </w:r>
    </w:p>
    <w:p>
      <w:pPr>
        <w:spacing w:after="0" w:line="36" w:lineRule="exact"/>
        <w:rPr>
          <w:sz w:val="20"/>
          <w:szCs w:val="20"/>
          <w:color w:val="auto"/>
        </w:rPr>
      </w:pPr>
    </w:p>
    <w:p>
      <w:pPr>
        <w:ind w:left="1560" w:right="2199"/>
        <w:spacing w:after="0" w:line="291" w:lineRule="auto"/>
        <w:rPr>
          <w:sz w:val="20"/>
          <w:szCs w:val="20"/>
          <w:color w:val="auto"/>
        </w:rPr>
      </w:pPr>
      <w:r>
        <w:rPr>
          <w:rFonts w:ascii="Arial" w:cs="Arial" w:eastAsia="Arial" w:hAnsi="Arial"/>
          <w:sz w:val="12"/>
          <w:szCs w:val="12"/>
          <w:color w:val="auto"/>
        </w:rPr>
        <w:t>As of September 30, 2022, our contractual obligations consist of facilities lease payments totaling $0.4 million through October 31, 2023.</w:t>
      </w:r>
    </w:p>
    <w:p>
      <w:pPr>
        <w:spacing w:after="0" w:line="11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36"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color w:val="auto"/>
        </w:rPr>
        <w:t>In connection with the preparation of the financial statements, material weaknesses in our internal control over financial reporting were identified as of December 31, 2021.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These material weaknesses are as follows:</w:t>
      </w:r>
    </w:p>
    <w:p>
      <w:pPr>
        <w:spacing w:after="0" w:line="75"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79" w:lineRule="exact"/>
        <w:rPr>
          <w:sz w:val="20"/>
          <w:szCs w:val="20"/>
          <w:color w:val="auto"/>
        </w:rPr>
      </w:pPr>
    </w:p>
    <w:p>
      <w:pPr>
        <w:ind w:left="1560" w:right="1799"/>
        <w:spacing w:after="0" w:line="266" w:lineRule="auto"/>
        <w:rPr>
          <w:sz w:val="20"/>
          <w:szCs w:val="20"/>
          <w:color w:val="auto"/>
        </w:rPr>
      </w:pPr>
      <w:r>
        <w:rPr>
          <w:rFonts w:ascii="Arial" w:cs="Arial" w:eastAsia="Arial" w:hAnsi="Arial"/>
          <w:sz w:val="12"/>
          <w:szCs w:val="12"/>
          <w:color w:val="auto"/>
        </w:rPr>
        <w:t>We did not design and maintain effective controls to ensure adequate segregation of duties within our financial reporting function, including controls related to the procurement and payroll processes, journal entries and account reconciliations. Specifically, certain personnel have incompatible duties including the ability to (i) 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4" w:name="page115"/>
    <w:bookmarkEnd w:id="11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We did not design and maintain effective controls over certain information technology, or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spacing w:after="0" w:line="237" w:lineRule="exact"/>
        <w:rPr>
          <w:sz w:val="20"/>
          <w:szCs w:val="20"/>
          <w:color w:val="auto"/>
        </w:rPr>
      </w:pPr>
    </w:p>
    <w:p>
      <w:pPr>
        <w:ind w:left="1560" w:right="1759"/>
        <w:spacing w:after="0" w:line="282" w:lineRule="auto"/>
        <w:rPr>
          <w:sz w:val="20"/>
          <w:szCs w:val="20"/>
          <w:color w:val="auto"/>
        </w:rPr>
      </w:pPr>
      <w:r>
        <w:rPr>
          <w:rFonts w:ascii="Arial" w:cs="Arial" w:eastAsia="Arial" w:hAnsi="Arial"/>
          <w:sz w:val="12"/>
          <w:szCs w:val="12"/>
          <w:color w:val="auto"/>
        </w:rPr>
        <w:t>These material weaknesses did not result in any misstatements to the consolidated financial statements. However,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67" w:lineRule="exact"/>
        <w:rPr>
          <w:sz w:val="20"/>
          <w:szCs w:val="20"/>
          <w:color w:val="auto"/>
        </w:rPr>
      </w:pPr>
    </w:p>
    <w:p>
      <w:pPr>
        <w:ind w:left="1560" w:right="1659"/>
        <w:spacing w:after="0" w:line="308" w:lineRule="auto"/>
        <w:rPr>
          <w:sz w:val="20"/>
          <w:szCs w:val="20"/>
          <w:color w:val="auto"/>
        </w:rPr>
      </w:pPr>
      <w:r>
        <w:rPr>
          <w:rFonts w:ascii="Arial" w:cs="Arial" w:eastAsia="Arial" w:hAnsi="Arial"/>
          <w:sz w:val="12"/>
          <w:szCs w:val="12"/>
          <w:color w:val="auto"/>
        </w:rPr>
        <w:t>We have taken and will continue to take certain measures to remediate the material weaknesses described above, including the following:</w:t>
      </w:r>
    </w:p>
    <w:p>
      <w:pPr>
        <w:spacing w:after="0" w:line="13" w:lineRule="exact"/>
        <w:rPr>
          <w:sz w:val="20"/>
          <w:szCs w:val="20"/>
          <w:color w:val="auto"/>
        </w:rPr>
      </w:pPr>
    </w:p>
    <w:p>
      <w:pPr>
        <w:ind w:left="1980" w:right="1639" w:hanging="157"/>
        <w:spacing w:after="0" w:line="282" w:lineRule="auto"/>
        <w:tabs>
          <w:tab w:leader="none" w:pos="19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hiring additional accounting and IT personnel, including but not limited to, a senior director of SEC reporting and technical reporting, director of finance and financial planning and analysis and director of information security, as well as appointing our existing chief operating officer as the chief financial officer to bolster our reporting, accounting and IT capabilities;</w:t>
      </w:r>
    </w:p>
    <w:p>
      <w:pPr>
        <w:spacing w:after="0" w:line="18" w:lineRule="exact"/>
        <w:rPr>
          <w:rFonts w:ascii="Arial" w:cs="Arial" w:eastAsia="Arial" w:hAnsi="Arial"/>
          <w:sz w:val="12"/>
          <w:szCs w:val="12"/>
          <w:color w:val="auto"/>
        </w:rPr>
      </w:pPr>
    </w:p>
    <w:p>
      <w:pPr>
        <w:ind w:left="1980" w:right="1879" w:hanging="157"/>
        <w:spacing w:after="0" w:line="308" w:lineRule="auto"/>
        <w:tabs>
          <w:tab w:leader="none" w:pos="19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engaging a third party to assist in designing and implementing controls related to segregation of duties and IT general controls;</w:t>
      </w:r>
    </w:p>
    <w:p>
      <w:pPr>
        <w:spacing w:after="0" w:line="13" w:lineRule="exact"/>
        <w:rPr>
          <w:rFonts w:ascii="Arial" w:cs="Arial" w:eastAsia="Arial" w:hAnsi="Arial"/>
          <w:sz w:val="12"/>
          <w:szCs w:val="12"/>
          <w:color w:val="auto"/>
        </w:rPr>
      </w:pPr>
    </w:p>
    <w:p>
      <w:pPr>
        <w:jc w:val="both"/>
        <w:ind w:left="1980" w:right="1739" w:hanging="157"/>
        <w:spacing w:after="0" w:line="308" w:lineRule="auto"/>
        <w:tabs>
          <w:tab w:leader="none" w:pos="19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designing and implementing controls to formalize roles and review responsibilities to align with our team’s skills and experience and designing and implementing controls over segregation of duties.</w:t>
      </w:r>
    </w:p>
    <w:p>
      <w:pPr>
        <w:spacing w:after="0" w:line="13"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designing and implementing controls over the preparation and review of account reconciliations and journal entries supporting our period-end financial reporting process; and</w:t>
      </w:r>
    </w:p>
    <w:p>
      <w:pPr>
        <w:spacing w:after="0" w:line="3" w:lineRule="exact"/>
        <w:rPr>
          <w:rFonts w:ascii="Arial" w:cs="Arial" w:eastAsia="Arial" w:hAnsi="Arial"/>
          <w:sz w:val="12"/>
          <w:szCs w:val="12"/>
          <w:color w:val="auto"/>
        </w:rPr>
      </w:pPr>
    </w:p>
    <w:p>
      <w:pPr>
        <w:jc w:val="both"/>
        <w:ind w:left="1980" w:right="1759" w:hanging="157"/>
        <w:spacing w:after="0" w:line="288" w:lineRule="auto"/>
        <w:tabs>
          <w:tab w:leader="none" w:pos="19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designing and implementing IT general controls, including controls over change management, the review and update of user access rights and privileges, controls over processing of data and data backups and recovery.</w:t>
      </w:r>
    </w:p>
    <w:p>
      <w:pPr>
        <w:spacing w:after="0" w:line="74"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We have begun to hire additional accounting and IT personnel, including but not limited to the hiring of a senior director of SEC reporting and technical reporting in December 2021, director of finance and financial planning and analysis in February 2022 and director of information security in April 2022, engaged third party resources to assist us in designing and implementing controls related to period-end financial reporting, segregation of duties, and IT general controls, and begun to implement appropriate segregation of duties in the operation of manual controls. In addition, in May 2022, we appointed our existing chief operating officer as our chief financial officer.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are working to remediate the material weaknesses as efficiently and effectively as possible.</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46"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For more detail on our significant accounting policies, refer to Note 2 to our consolidated financial statements and unaudited interim condensed consolidated financial statements included elsewhere in this prospectus.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5" w:name="page116"/>
    <w:bookmarkEnd w:id="11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34" w:lineRule="exact"/>
        <w:rPr>
          <w:sz w:val="20"/>
          <w:szCs w:val="20"/>
          <w:color w:val="auto"/>
        </w:rPr>
      </w:pPr>
    </w:p>
    <w:p>
      <w:pPr>
        <w:ind w:left="1560" w:right="1839"/>
        <w:spacing w:after="0" w:line="280" w:lineRule="auto"/>
        <w:rPr>
          <w:sz w:val="20"/>
          <w:szCs w:val="20"/>
          <w:color w:val="auto"/>
        </w:rPr>
      </w:pPr>
      <w:r>
        <w:rPr>
          <w:rFonts w:ascii="Arial" w:cs="Arial" w:eastAsia="Arial" w:hAnsi="Arial"/>
          <w:sz w:val="12"/>
          <w:szCs w:val="12"/>
          <w:color w:val="auto"/>
        </w:rPr>
        <w:t>We use a fair value-based method to account for all share-based compensation arrangements with employees and non-employees, including share options and share awards. Our determination of the fair value of share options on the date of grant utilizes the Black-Scholes option pricing model.</w:t>
      </w:r>
    </w:p>
    <w:p>
      <w:pPr>
        <w:spacing w:after="0" w:line="68" w:lineRule="exact"/>
        <w:rPr>
          <w:sz w:val="20"/>
          <w:szCs w:val="20"/>
          <w:color w:val="auto"/>
        </w:rPr>
      </w:pPr>
    </w:p>
    <w:p>
      <w:pPr>
        <w:jc w:val="both"/>
        <w:ind w:left="1560" w:right="1759"/>
        <w:spacing w:after="0" w:line="272" w:lineRule="auto"/>
        <w:rPr>
          <w:sz w:val="20"/>
          <w:szCs w:val="20"/>
          <w:color w:val="auto"/>
        </w:rPr>
      </w:pPr>
      <w:r>
        <w:rPr>
          <w:rFonts w:ascii="Arial" w:cs="Arial" w:eastAsia="Arial" w:hAnsi="Arial"/>
          <w:sz w:val="12"/>
          <w:szCs w:val="12"/>
          <w:color w:val="auto"/>
        </w:rPr>
        <w:t>We recognize the fair value of the options granted on a straight-line basis over the period during which an optionee is required to provide services in exchange for the option award, known as the requisite service period, which usually is the vesting period. We account for forfeitures as they occur.</w:t>
      </w:r>
    </w:p>
    <w:p>
      <w:pPr>
        <w:spacing w:after="0" w:line="72" w:lineRule="exact"/>
        <w:rPr>
          <w:sz w:val="20"/>
          <w:szCs w:val="20"/>
          <w:color w:val="auto"/>
        </w:rPr>
      </w:pPr>
    </w:p>
    <w:p>
      <w:pPr>
        <w:ind w:left="1560" w:right="1679"/>
        <w:spacing w:after="0" w:line="270" w:lineRule="auto"/>
        <w:rPr>
          <w:sz w:val="20"/>
          <w:szCs w:val="20"/>
          <w:color w:val="auto"/>
        </w:rPr>
      </w:pPr>
      <w:r>
        <w:rPr>
          <w:rFonts w:ascii="Arial" w:cs="Arial" w:eastAsia="Arial" w:hAnsi="Arial"/>
          <w:sz w:val="12"/>
          <w:szCs w:val="12"/>
          <w:color w:val="auto"/>
        </w:rPr>
        <w:t>Estimates of the fair value of equity awards as of the grant date using valuation models such as the Black-Scholes option pricing model are affected by assumptions with a number of complex variables. Changes in certain assumptions can materially affect the fair value and ultimately the amount of share-based compensation expense recognized. These inputs are subjective and generally require significant analysis and judgment to develop. The assumptions are as follows:</w:t>
      </w:r>
    </w:p>
    <w:p>
      <w:pPr>
        <w:spacing w:after="0" w:line="26" w:lineRule="exact"/>
        <w:rPr>
          <w:sz w:val="20"/>
          <w:szCs w:val="20"/>
          <w:color w:val="auto"/>
        </w:rPr>
      </w:pPr>
    </w:p>
    <w:p>
      <w:pPr>
        <w:ind w:left="1980" w:hanging="157"/>
        <w:spacing w:after="0"/>
        <w:tabs>
          <w:tab w:leader="none" w:pos="198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Fair Value of Ordinary Shares—</w:t>
      </w:r>
      <w:r>
        <w:rPr>
          <w:rFonts w:ascii="Arial" w:cs="Arial" w:eastAsia="Arial" w:hAnsi="Arial"/>
          <w:sz w:val="12"/>
          <w:szCs w:val="12"/>
          <w:color w:val="auto"/>
        </w:rPr>
        <w:t>see the subsection titled “—Ordinary Shares Valuation” below.</w:t>
      </w:r>
    </w:p>
    <w:p>
      <w:pPr>
        <w:spacing w:after="0" w:line="74" w:lineRule="exact"/>
        <w:rPr>
          <w:rFonts w:ascii="Arial" w:cs="Arial" w:eastAsia="Arial" w:hAnsi="Arial"/>
          <w:sz w:val="12"/>
          <w:szCs w:val="12"/>
          <w:color w:val="auto"/>
        </w:rPr>
      </w:pPr>
    </w:p>
    <w:p>
      <w:pPr>
        <w:ind w:left="1980" w:right="1659" w:hanging="157"/>
        <w:spacing w:after="0" w:line="274" w:lineRule="auto"/>
        <w:tabs>
          <w:tab w:leader="none" w:pos="198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—The expected term represents the period that the share-based awards are</w:t>
      </w:r>
      <w:r>
        <w:rPr>
          <w:rFonts w:ascii="Arial" w:cs="Arial" w:eastAsia="Arial" w:hAnsi="Arial"/>
          <w:sz w:val="12"/>
          <w:szCs w:val="12"/>
          <w:i w:val="1"/>
          <w:iCs w:val="1"/>
          <w:color w:val="auto"/>
        </w:rPr>
        <w:t xml:space="preserve"> </w:t>
      </w:r>
      <w:r>
        <w:rPr>
          <w:rFonts w:ascii="Arial" w:cs="Arial" w:eastAsia="Arial" w:hAnsi="Arial"/>
          <w:sz w:val="12"/>
          <w:szCs w:val="12"/>
          <w:color w:val="auto"/>
        </w:rPr>
        <w:t>expected to be outstanding. 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25" w:lineRule="exact"/>
        <w:rPr>
          <w:rFonts w:ascii="Arial" w:cs="Arial" w:eastAsia="Arial" w:hAnsi="Arial"/>
          <w:sz w:val="12"/>
          <w:szCs w:val="12"/>
          <w:color w:val="auto"/>
        </w:rPr>
      </w:pPr>
    </w:p>
    <w:p>
      <w:pPr>
        <w:ind w:left="1980" w:right="1579" w:hanging="157"/>
        <w:spacing w:after="0" w:line="275" w:lineRule="auto"/>
        <w:tabs>
          <w:tab w:leader="none" w:pos="198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—For all share options granted to date, we estimated the volatility data based on a</w:t>
      </w:r>
      <w:r>
        <w:rPr>
          <w:rFonts w:ascii="Arial" w:cs="Arial" w:eastAsia="Arial" w:hAnsi="Arial"/>
          <w:sz w:val="12"/>
          <w:szCs w:val="12"/>
          <w:i w:val="1"/>
          <w:iCs w:val="1"/>
          <w:color w:val="auto"/>
        </w:rPr>
        <w:t xml:space="preserve"> </w:t>
      </w:r>
      <w:r>
        <w:rPr>
          <w:rFonts w:ascii="Arial" w:cs="Arial" w:eastAsia="Arial" w:hAnsi="Arial"/>
          <w:sz w:val="12"/>
          <w:szCs w:val="12"/>
          <w:color w:val="auto"/>
        </w:rPr>
        <w:t>study of publicly traded industry peer companies as we did not have any trading history for our ordinary shares. For purposes of identifying these peer companies, we considered the industry, stage of development, size and financial leverage of potential comparable companies. For each grant, we measured historical volatility over a period equivalent to the expected term. We will continue to apply this process until a sufficient amount of historical information regarding the volatility of our own share price becomes available.</w:t>
      </w:r>
    </w:p>
    <w:p>
      <w:pPr>
        <w:spacing w:after="0" w:line="24" w:lineRule="exact"/>
        <w:rPr>
          <w:rFonts w:ascii="Arial" w:cs="Arial" w:eastAsia="Arial" w:hAnsi="Arial"/>
          <w:sz w:val="12"/>
          <w:szCs w:val="12"/>
          <w:color w:val="auto"/>
        </w:rPr>
      </w:pPr>
    </w:p>
    <w:p>
      <w:pPr>
        <w:ind w:left="1980" w:right="1759" w:hanging="157"/>
        <w:spacing w:after="0" w:line="288" w:lineRule="auto"/>
        <w:tabs>
          <w:tab w:leader="none" w:pos="198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—The risk-free interest rate is based on the U.S. Treasury yield in effect at</w:t>
      </w:r>
      <w:r>
        <w:rPr>
          <w:rFonts w:ascii="Arial" w:cs="Arial" w:eastAsia="Arial" w:hAnsi="Arial"/>
          <w:sz w:val="12"/>
          <w:szCs w:val="12"/>
          <w:i w:val="1"/>
          <w:iCs w:val="1"/>
          <w:color w:val="auto"/>
        </w:rPr>
        <w:t xml:space="preserve"> </w:t>
      </w:r>
      <w:r>
        <w:rPr>
          <w:rFonts w:ascii="Arial" w:cs="Arial" w:eastAsia="Arial" w:hAnsi="Arial"/>
          <w:sz w:val="12"/>
          <w:szCs w:val="12"/>
          <w:color w:val="auto"/>
        </w:rPr>
        <w:t>the time of the grant for zero-coupon U.S. Treasury notes with remaining terms similar to the expected term of the options.</w:t>
      </w:r>
    </w:p>
    <w:p>
      <w:pPr>
        <w:spacing w:after="0" w:line="25"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Expected Dividend Yield</w:t>
      </w:r>
      <w:r>
        <w:rPr>
          <w:rFonts w:ascii="Arial" w:cs="Arial" w:eastAsia="Arial" w:hAnsi="Arial"/>
          <w:sz w:val="12"/>
          <w:szCs w:val="12"/>
          <w:color w:val="auto"/>
        </w:rPr>
        <w:t>—We assumed the expected dividend to be zero as we have never paid</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and have no current plans to do so.</w:t>
      </w:r>
    </w:p>
    <w:p>
      <w:pPr>
        <w:spacing w:after="0" w:line="52" w:lineRule="exact"/>
        <w:rPr>
          <w:sz w:val="20"/>
          <w:szCs w:val="20"/>
          <w:color w:val="auto"/>
        </w:rPr>
      </w:pPr>
    </w:p>
    <w:p>
      <w:pPr>
        <w:ind w:left="1560" w:right="1699"/>
        <w:spacing w:after="0" w:line="278" w:lineRule="auto"/>
        <w:rPr>
          <w:sz w:val="20"/>
          <w:szCs w:val="20"/>
          <w:color w:val="auto"/>
        </w:rPr>
      </w:pPr>
      <w:r>
        <w:rPr>
          <w:rFonts w:ascii="Arial" w:cs="Arial" w:eastAsia="Arial" w:hAnsi="Arial"/>
          <w:sz w:val="12"/>
          <w:szCs w:val="12"/>
          <w:color w:val="auto"/>
        </w:rPr>
        <w:t>See Note 11 to our audited consolidated financial statements and Note 10 to our unaudited interim condensed consolidated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2020 and 2021, and the nine months ended September 30, 2021 and 2022.</w:t>
      </w:r>
    </w:p>
    <w:p>
      <w:pPr>
        <w:spacing w:after="0" w:line="81" w:lineRule="exact"/>
        <w:rPr>
          <w:sz w:val="20"/>
          <w:szCs w:val="20"/>
          <w:color w:val="auto"/>
        </w:rPr>
      </w:pPr>
    </w:p>
    <w:p>
      <w:pPr>
        <w:ind w:left="1560" w:right="1679"/>
        <w:spacing w:after="0" w:line="288" w:lineRule="auto"/>
        <w:rPr>
          <w:sz w:val="20"/>
          <w:szCs w:val="20"/>
          <w:color w:val="auto"/>
        </w:rPr>
      </w:pPr>
      <w:r>
        <w:rPr>
          <w:rFonts w:ascii="Arial" w:cs="Arial" w:eastAsia="Arial" w:hAnsi="Arial"/>
          <w:sz w:val="12"/>
          <w:szCs w:val="12"/>
          <w:color w:val="auto"/>
        </w:rPr>
        <w:t>The intrinsic value of all outstanding options as of September 30, 2022, was approximately $25.3 million, based on the initial public offering price of  $15.00 per ADS, of which approximately $9.4 million is related to vested options and approximately $15.9 million is related to unvested options.</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Ordinary Shares Valuation</w:t>
      </w:r>
    </w:p>
    <w:p>
      <w:pPr>
        <w:spacing w:after="0" w:line="44" w:lineRule="exact"/>
        <w:rPr>
          <w:sz w:val="20"/>
          <w:szCs w:val="20"/>
          <w:color w:val="auto"/>
        </w:rPr>
      </w:pPr>
    </w:p>
    <w:p>
      <w:pPr>
        <w:ind w:left="1560" w:right="1739"/>
        <w:spacing w:after="0" w:line="278" w:lineRule="auto"/>
        <w:rPr>
          <w:sz w:val="20"/>
          <w:szCs w:val="20"/>
          <w:color w:val="auto"/>
        </w:rPr>
      </w:pPr>
      <w:r>
        <w:rPr>
          <w:rFonts w:ascii="Arial" w:cs="Arial" w:eastAsia="Arial" w:hAnsi="Arial"/>
          <w:sz w:val="12"/>
          <w:szCs w:val="12"/>
          <w:color w:val="auto"/>
        </w:rPr>
        <w:t>The estimated fair value of the ordinary shares underlying our share options and share awards was determined at each grant date by our board of directors, with input from management and an independent third-party valuation firm. All options to purchase shares of our ordinary shares are intended to be exercisable at a price per share not less than the per-share fair value of our ordinary shares underlying those options on the date of grant.</w:t>
      </w:r>
    </w:p>
    <w:p>
      <w:pPr>
        <w:spacing w:after="0" w:line="81" w:lineRule="exact"/>
        <w:rPr>
          <w:sz w:val="20"/>
          <w:szCs w:val="20"/>
          <w:color w:val="auto"/>
        </w:rPr>
      </w:pPr>
    </w:p>
    <w:p>
      <w:pPr>
        <w:ind w:left="1560" w:right="1699"/>
        <w:spacing w:after="0" w:line="282" w:lineRule="auto"/>
        <w:rPr>
          <w:sz w:val="20"/>
          <w:szCs w:val="20"/>
          <w:color w:val="auto"/>
        </w:rPr>
      </w:pPr>
      <w:r>
        <w:rPr>
          <w:rFonts w:ascii="Arial" w:cs="Arial" w:eastAsia="Arial" w:hAnsi="Arial"/>
          <w:sz w:val="12"/>
          <w:szCs w:val="12"/>
          <w:color w:val="auto"/>
        </w:rPr>
        <w:t>In the absence of a public trading market for our ordinary shares, on each grant date, we develop an estimate of the fair value of our ordinary shares based on the information known to us on the date of grant, upon a review of any recent events and their potential impact on the estimated fair value per share of the ordinary</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6" w:name="page117"/>
    <w:bookmarkEnd w:id="11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79"/>
        <w:spacing w:after="0" w:line="308" w:lineRule="auto"/>
        <w:rPr>
          <w:sz w:val="20"/>
          <w:szCs w:val="20"/>
          <w:color w:val="auto"/>
        </w:rPr>
      </w:pPr>
      <w:r>
        <w:rPr>
          <w:rFonts w:ascii="Arial" w:cs="Arial" w:eastAsia="Arial" w:hAnsi="Arial"/>
          <w:sz w:val="12"/>
          <w:szCs w:val="12"/>
          <w:color w:val="auto"/>
        </w:rPr>
        <w:t>shares, and in part on contemporaneous input from an independent third-party valuation firm. Our estimate of fair value is reviewed and approved by our board of directors.</w:t>
      </w:r>
    </w:p>
    <w:p>
      <w:pPr>
        <w:spacing w:after="0" w:line="62"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 xml:space="preserve">We determined our valuations of our ordinary shares in accordance with the guidelines outlined in the American Institute of Certified Public Accountants Practice Aid, </w:t>
      </w:r>
      <w:r>
        <w:rPr>
          <w:rFonts w:ascii="Arial" w:cs="Arial" w:eastAsia="Arial" w:hAnsi="Arial"/>
          <w:sz w:val="12"/>
          <w:szCs w:val="12"/>
          <w:i w:val="1"/>
          <w:iCs w:val="1"/>
          <w:color w:val="auto"/>
        </w:rPr>
        <w:t>Valuation of Privately-Held-Company Equity</w:t>
      </w:r>
      <w:r>
        <w:rPr>
          <w:rFonts w:ascii="Arial" w:cs="Arial" w:eastAsia="Arial" w:hAnsi="Arial"/>
          <w:sz w:val="12"/>
          <w:szCs w:val="12"/>
          <w:color w:val="auto"/>
        </w:rPr>
        <w:t xml:space="preserve"> </w:t>
      </w:r>
      <w:r>
        <w:rPr>
          <w:rFonts w:ascii="Arial" w:cs="Arial" w:eastAsia="Arial" w:hAnsi="Arial"/>
          <w:sz w:val="12"/>
          <w:szCs w:val="12"/>
          <w:i w:val="1"/>
          <w:iCs w:val="1"/>
          <w:color w:val="auto"/>
        </w:rPr>
        <w:t>Securities Issued as Compensation</w:t>
      </w:r>
      <w:r>
        <w:rPr>
          <w:rFonts w:ascii="Arial" w:cs="Arial" w:eastAsia="Arial" w:hAnsi="Arial"/>
          <w:sz w:val="12"/>
          <w:szCs w:val="12"/>
          <w:color w:val="auto"/>
        </w:rPr>
        <w:t>, or the Practice Aid. We based the assumptions used to determine the</w:t>
      </w:r>
      <w:r>
        <w:rPr>
          <w:rFonts w:ascii="Arial" w:cs="Arial" w:eastAsia="Arial" w:hAnsi="Arial"/>
          <w:sz w:val="12"/>
          <w:szCs w:val="12"/>
          <w:i w:val="1"/>
          <w:iCs w:val="1"/>
          <w:color w:val="auto"/>
        </w:rPr>
        <w:t xml:space="preserve"> </w:t>
      </w:r>
      <w:r>
        <w:rPr>
          <w:rFonts w:ascii="Arial" w:cs="Arial" w:eastAsia="Arial" w:hAnsi="Arial"/>
          <w:sz w:val="12"/>
          <w:szCs w:val="12"/>
          <w:color w:val="auto"/>
        </w:rPr>
        <w:t>estimated fair value of our ordinary shares on numerous objective and subjective factors, combined with management judgment, including:</w:t>
      </w:r>
    </w:p>
    <w:p>
      <w:pPr>
        <w:spacing w:after="0" w:line="23" w:lineRule="exact"/>
        <w:rPr>
          <w:sz w:val="20"/>
          <w:szCs w:val="20"/>
          <w:color w:val="auto"/>
        </w:rPr>
      </w:pPr>
    </w:p>
    <w:p>
      <w:pPr>
        <w:ind w:left="1980" w:right="1839" w:hanging="157"/>
        <w:spacing w:after="0" w:line="308" w:lineRule="auto"/>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our most recently available valuations of our ordinary shares performed by an independent third-party valuation firm;</w:t>
      </w:r>
    </w:p>
    <w:p>
      <w:pPr>
        <w:spacing w:after="0" w:line="22"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prices at which we sold shares of our redeemable convertible preferred shares;</w:t>
      </w:r>
    </w:p>
    <w:p>
      <w:pPr>
        <w:spacing w:after="0" w:line="74" w:lineRule="exact"/>
        <w:rPr>
          <w:rFonts w:ascii="Arial" w:cs="Arial" w:eastAsia="Arial" w:hAnsi="Arial"/>
          <w:sz w:val="12"/>
          <w:szCs w:val="12"/>
          <w:color w:val="auto"/>
        </w:rPr>
      </w:pPr>
    </w:p>
    <w:p>
      <w:pPr>
        <w:ind w:left="1980" w:right="1879" w:hanging="157"/>
        <w:spacing w:after="0" w:line="308" w:lineRule="auto"/>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rights, preferences and privileges of our redeemable convertible preferred shares relative to those of our ordinary shares;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lack of marketability of our common shares as a private company;</w:t>
      </w:r>
    </w:p>
    <w:p>
      <w:pPr>
        <w:spacing w:after="0" w:line="84"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our stage of development and business strategy, and material risks related to our business;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our financial condition and operating results, including our levels of available capital resources;</w:t>
      </w:r>
    </w:p>
    <w:p>
      <w:pPr>
        <w:spacing w:after="0" w:line="84"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progress of our research and development efforts;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hiring of key personnel and the experience of management;</w:t>
      </w:r>
    </w:p>
    <w:p>
      <w:pPr>
        <w:spacing w:after="0" w:line="84"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likelihood of achieving a liquidity event given prevailing market conditions;</w:t>
      </w:r>
    </w:p>
    <w:p>
      <w:pPr>
        <w:spacing w:after="0" w:line="74"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external market conditions affecting the pharmaceutical and biotechnology industry and trends within the industry; and</w:t>
      </w:r>
    </w:p>
    <w:p>
      <w:pPr>
        <w:spacing w:after="0" w:line="22" w:lineRule="exact"/>
        <w:rPr>
          <w:rFonts w:ascii="Arial" w:cs="Arial" w:eastAsia="Arial" w:hAnsi="Arial"/>
          <w:sz w:val="12"/>
          <w:szCs w:val="12"/>
          <w:color w:val="auto"/>
        </w:rPr>
      </w:pPr>
    </w:p>
    <w:p>
      <w:pPr>
        <w:ind w:left="1980" w:hanging="157"/>
        <w:spacing w:after="0"/>
        <w:tabs>
          <w:tab w:leader="none" w:pos="1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valuation of comparable public companies.</w:t>
      </w:r>
    </w:p>
    <w:p>
      <w:pPr>
        <w:spacing w:after="0" w:line="123" w:lineRule="exact"/>
        <w:rPr>
          <w:sz w:val="20"/>
          <w:szCs w:val="20"/>
          <w:color w:val="auto"/>
        </w:rPr>
      </w:pPr>
    </w:p>
    <w:p>
      <w:pPr>
        <w:ind w:left="1560" w:right="1639"/>
        <w:spacing w:after="0" w:line="272" w:lineRule="auto"/>
        <w:rPr>
          <w:sz w:val="20"/>
          <w:szCs w:val="20"/>
          <w:color w:val="auto"/>
        </w:rPr>
      </w:pPr>
      <w:r>
        <w:rPr>
          <w:rFonts w:ascii="Arial" w:cs="Arial" w:eastAsia="Arial" w:hAnsi="Arial"/>
          <w:sz w:val="12"/>
          <w:szCs w:val="12"/>
          <w:color w:val="auto"/>
        </w:rPr>
        <w:t>For all options granted through September 30, 2022, our board determined the enterprise value based on the Market Approach, Option Pricing Method, or OPM, and Probability Weighted Expected Return Method, or PWERM, or a weighted combination of the OPM and PWERM methods. Under the Market Approach, we estimate the value based upon our prior sales of preferred stock to unrelated third parties. We then apply these derived multiples or values to our financial metrics to estimate our market value. The allocation of these enterprise values to each part of our capital structure, including our ordinary shares, was done based on the OPM. The OPM treats the rights of the holders of preferred and ordinary shares as equivalent to call options on any value of the enterprise above certain break points of value based upon the liquidation preferences of the holders of preferred shares, as well as their rights to participation and conversion. Thus, the estimated value of the ordinary share can be determined by estimating the value of its portion of each of these call option rights. The OPM derives the implied equity value of a company from a recent transaction involving our own securities issued on an arms-length basis. Under the PWERM, the value is estimated based upon analysis of future values for the enterprise under varying scenarios, and probabilities are ascribed to these scenarios based on expected future outcomes.</w:t>
      </w:r>
    </w:p>
    <w:p>
      <w:pPr>
        <w:spacing w:after="0" w:line="73"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Following the closing of this offering, our board of directors intends to determine the fair value of our ordinary shares based on the closing sales price of our ordinary shares as reported on the primary stock exchange on which our ADSs are traded on the date of grant of equity awards.</w:t>
      </w:r>
    </w:p>
    <w:p>
      <w:pPr>
        <w:spacing w:after="0" w:line="1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Accrued Research and Development Expenses</w:t>
      </w:r>
    </w:p>
    <w:p>
      <w:pPr>
        <w:spacing w:after="0" w:line="44"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We have entered into various agreements with contract manufacturing organizations, or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balance sheets.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on the balance sheets until the services are rendered. To date, our estimated accruals have not differed materially from the actual costs.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7" w:name="page118"/>
    <w:bookmarkEnd w:id="11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Redeemable Convertible Preferred Shares</w:t>
      </w:r>
    </w:p>
    <w:p>
      <w:pPr>
        <w:spacing w:after="0" w:line="4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We record all shares of our redeemable convertible preferred shares at their respective fair values on the dates of issuance, net of issuance costs. The fair value of Series B-1 redeemable convertible preferred shares issued in the Basecamp Bio share exchange agreement was estimated using various fair value measures of classes of preferred stock calculated as part of the valuation of our ordinary shares. In the event of the voluntary or involuntary liquidation, dissolution or winding up of our company, or a liquidation event such as a merger, acquisition and sale of all or substantially all of our assets, each of which we refer to as a deemed liquidation event, proceeds will be distributed in accordance with the liquidation preferences set forth in our amended and restated memorandum and articles of association unless the holders of redeemable convertible preferred shares have converted their redeemable convertible preferred shares into ordinary shares. Therefore, the redeemable convertible preferred shares are recorded in mezzanine equity on our balance sheets as events triggering the liquidation preferences are not solely within our control. We made an accounting policy election to recognize changes in the redemption value of redeemable convertible preferred shares immediately as they occur and adjust the carrying value of redeemable convertible preferred shares to equal its redemption value at the end of each reporting period.</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JOBS Act Accounting Election and Smaller Reporting Company Status</w:t>
      </w:r>
    </w:p>
    <w:p>
      <w:pPr>
        <w:spacing w:after="0" w:line="46"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38"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ordinary shares held by non-affiliates is less than $250.0 million measured on the last business day of our second fiscal quarter, or our annual revenue is less than $100.0 million during the most recently completed fiscal year and our ordinary shares held by non-affiliates is less than $700.0 million measured on the last business day of our second fiscal quarter.</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Recent Accounting Pronouncements</w:t>
      </w:r>
    </w:p>
    <w:p>
      <w:pPr>
        <w:spacing w:after="0" w:line="46" w:lineRule="exact"/>
        <w:rPr>
          <w:sz w:val="20"/>
          <w:szCs w:val="20"/>
          <w:color w:val="auto"/>
        </w:rPr>
      </w:pPr>
    </w:p>
    <w:p>
      <w:pPr>
        <w:ind w:left="1560" w:right="1619"/>
        <w:spacing w:after="0" w:line="288" w:lineRule="auto"/>
        <w:rPr>
          <w:sz w:val="20"/>
          <w:szCs w:val="20"/>
          <w:color w:val="auto"/>
        </w:rPr>
      </w:pPr>
      <w:r>
        <w:rPr>
          <w:rFonts w:ascii="Arial" w:cs="Arial" w:eastAsia="Arial" w:hAnsi="Arial"/>
          <w:sz w:val="12"/>
          <w:szCs w:val="12"/>
          <w:color w:val="auto"/>
        </w:rPr>
        <w:t>See “Recent Accounting Pronouncements” in Note 2 to our consolidated financial statements and unaudited interim condensed consolidated financial statements included elsewhere in this prospectus for additional information.</w:t>
      </w:r>
    </w:p>
    <w:p>
      <w:pPr>
        <w:spacing w:after="0" w:line="11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9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Interest Rate Sensitivity</w:t>
      </w:r>
    </w:p>
    <w:p>
      <w:pPr>
        <w:spacing w:after="0" w:line="44"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The market risk inherent in our financial instruments and in our financial position represents the potential loss arising from adverse changes in interest rates. As of September 30, 2022, we had cash, cash equivalents and short-term investments of  $102.8 million, consisting of interest-bearing money market funds, U.S. government bonds, U.S. government agency bonds and corporate debt securities, for which the fair value would be affected by changes in the general level of U.S. interest rates. However, due to the short-term maturities and the low-risk profile of our cash equivalents, we do not believe that a hypothetical 10% increase or decrease in the relative value of interest rates would have a material effect on our consolidated financial statements included elsewhere in this prospectus.</w:t>
      </w:r>
    </w:p>
    <w:p>
      <w:pPr>
        <w:spacing w:after="0" w:line="2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Foreign Currency Risk</w:t>
      </w:r>
    </w:p>
    <w:p>
      <w:pPr>
        <w:spacing w:after="0" w:line="44"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Our business is primarily conducted in U.S. dollars. Transactions conducted in foreign currencies have not had, and are not expected to have, a material effect on our results of operations, financial position or cash flows. Our operating expenses in countries outside the United States, are payable in foreign currencies and therefore expose us to currency risk. We do not believe that a hypothetical 10% increase or decrease in the relative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8" w:name="page119"/>
    <w:bookmarkEnd w:id="11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799"/>
        <w:spacing w:after="0" w:line="288" w:lineRule="auto"/>
        <w:rPr>
          <w:sz w:val="20"/>
          <w:szCs w:val="20"/>
          <w:color w:val="auto"/>
        </w:rPr>
      </w:pPr>
      <w:r>
        <w:rPr>
          <w:rFonts w:ascii="Arial" w:cs="Arial" w:eastAsia="Arial" w:hAnsi="Arial"/>
          <w:sz w:val="12"/>
          <w:szCs w:val="12"/>
          <w:color w:val="auto"/>
        </w:rPr>
        <w:t>value of the U.S. dollar to other currencies would have had a material effect on our consolidated financial statements included elsewhere in this prospectus. We do not currently maintain a program to hedge exposures to non-U.S. dollar currencies.</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Credit Risk</w:t>
      </w:r>
    </w:p>
    <w:p>
      <w:pPr>
        <w:spacing w:after="0" w:line="44"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We maintain our cash, cash equivalents and short-term investments with several financial institutions in the United States, China and the Cayman Islands, and our current deposits are likely in excess of insured limits. We believe these institutions have sufficient assets and liquidity to conduct their operations in the ordinary course of business with little or no credit risk to us.</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Effects of Inflation</w:t>
      </w:r>
    </w:p>
    <w:p>
      <w:pPr>
        <w:spacing w:after="0" w:line="44" w:lineRule="exact"/>
        <w:rPr>
          <w:sz w:val="20"/>
          <w:szCs w:val="20"/>
          <w:color w:val="auto"/>
        </w:rPr>
      </w:pPr>
    </w:p>
    <w:p>
      <w:pPr>
        <w:ind w:left="1560" w:right="1779"/>
        <w:spacing w:after="0" w:line="288" w:lineRule="auto"/>
        <w:rPr>
          <w:sz w:val="20"/>
          <w:szCs w:val="20"/>
          <w:color w:val="auto"/>
        </w:rPr>
      </w:pPr>
      <w:r>
        <w:rPr>
          <w:rFonts w:ascii="Arial" w:cs="Arial" w:eastAsia="Arial" w:hAnsi="Arial"/>
          <w:sz w:val="12"/>
          <w:szCs w:val="12"/>
          <w:color w:val="auto"/>
        </w:rPr>
        <w:t>Inflation generally affects us by increasing our cost of labor and in the future our clinical trial costs. We do not believe that inflation has had a material effect on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9" w:name="page120"/>
    <w:bookmarkEnd w:id="119"/>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BUSINESS</w:t>
      </w:r>
    </w:p>
    <w:p>
      <w:pPr>
        <w:spacing w:after="0" w:line="5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Overview</w:t>
      </w:r>
    </w:p>
    <w:p>
      <w:pPr>
        <w:spacing w:after="0" w:line="46"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We are a clinical stage global biopharmaceutical company aiming to develop and deliver novel oral therapeutics to treat a wide range of chronic diseases with unmet medical needs.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w:t>
      </w:r>
    </w:p>
    <w:p>
      <w:pPr>
        <w:spacing w:after="0" w:line="81"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Our initial focus is on G-protein-coupled receptors, or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glucagon-like-peptide-1 receptor, or GLP-1R, for the treatment of type-2 diabetes mellitus, or T2DM, and obesity. We completed our Phase 1 single ascending dose, or SAD, study of GSBR-1290 in September 2022. GSBR-1290 was generally well tolerated and demonstrated dose-dependent pharmacokinetics, or PK, and pharmacological, or PD, activity. We submitted an Investigational New Drug application, or IND, to the United States Food and Drug Administration, or FDA, to support initiation of a Phase 1b proof-of-concept study in T2DM and obesity and received FDA allowance in September 2022. We initiated the Phase 1b multiple ascending dose, or MAD, study in January 2023 and plan to submit a protocol amendment to the FDA to transition to a Phase 2a proof-of-concept study in T2DM and obesity with the expected initiation in the second half of 2023. We expect to report topline data for the Phase 1b study and Phase 2a study in the second half of 2023. Beyond GSBR-1290, we are developing next generation GLP-1R candidates, including dual GLP-1R/GIPR agonists, each designed with customized properties to achieve additional benefit. In September 2022, we completed a Phase 1 SAD and MAD study evaluating ANPA-0073, our small molecule product candidate targeting the apelin receptor, or APJR, in which it was generally well tolerated in healthy human volunteers. ANPA-0073 is in development for the treatment of patients with idiopathic pulmonary fibrosis, or IPF, and pulmonary arterial hypertension, or PAH. We expect to conduct additional preclinical studies to be followed by a Phase 1 formulation bridging PK study in Australia. Moreover, we are advancing a differentiated lysophosphatidic acid 1 receptor, or LPA1R antagonist for the treatment of IPF. We selected a development candidate in January 2023 and expect to initiate a first-in-human study in 2024.</w:t>
      </w:r>
    </w:p>
    <w:p>
      <w:pPr>
        <w:spacing w:after="0" w:line="84" w:lineRule="exact"/>
        <w:rPr>
          <w:sz w:val="20"/>
          <w:szCs w:val="20"/>
          <w:color w:val="auto"/>
        </w:rPr>
      </w:pPr>
    </w:p>
    <w:p>
      <w:pPr>
        <w:ind w:left="1560" w:right="1619"/>
        <w:spacing w:after="0" w:line="270" w:lineRule="auto"/>
        <w:rPr>
          <w:sz w:val="20"/>
          <w:szCs w:val="20"/>
          <w:color w:val="auto"/>
        </w:rPr>
      </w:pPr>
      <w:r>
        <w:rPr>
          <w:rFonts w:ascii="Arial" w:cs="Arial" w:eastAsia="Arial" w:hAnsi="Arial"/>
          <w:sz w:val="12"/>
          <w:szCs w:val="12"/>
          <w:color w:val="auto"/>
        </w:rPr>
        <w:t>A number of GPCR properties contribute to its importance as a drug target class, including interaction with a diverse set of signaling molecules, involvement in a vast array of physiological and pathological processes, and cell surface expression that enables extracellular drug binding. As such, GPCRs have emerged as the largest family of targets for approved drugs, have provided significant benefit to patients and have achieved blockbuster sales in a number of therapeutic indications, including diabetes (Victoza), bipolar disorders (Abilify, Seroquel), asthma (Singulair), hypertension (Diovan, Lopressor), and cardiovascular disease (Plavix). Despite this success, there remain a number of challenges to continued innovation in this target class, including (i) low expression levels on cell surfaces, (ii) the complexity of the multi-subunit peptide GPCR receptor, (iii) difficulties in obtaining relevant crystal structures as a basis for drug design, and</w:t>
      </w:r>
    </w:p>
    <w:p>
      <w:pPr>
        <w:spacing w:after="0" w:line="1" w:lineRule="exact"/>
        <w:rPr>
          <w:sz w:val="20"/>
          <w:szCs w:val="20"/>
          <w:color w:val="auto"/>
        </w:rPr>
      </w:pPr>
    </w:p>
    <w:p>
      <w:pPr>
        <w:ind w:left="1560" w:right="1659" w:firstLine="5"/>
        <w:spacing w:after="0" w:line="276" w:lineRule="auto"/>
        <w:tabs>
          <w:tab w:leader="none" w:pos="1764" w:val="left"/>
        </w:tabs>
        <w:numPr>
          <w:ilvl w:val="0"/>
          <w:numId w:val="65"/>
        </w:numPr>
        <w:rPr>
          <w:rFonts w:ascii="Arial" w:cs="Arial" w:eastAsia="Arial" w:hAnsi="Arial"/>
          <w:sz w:val="12"/>
          <w:szCs w:val="12"/>
          <w:color w:val="auto"/>
        </w:rPr>
      </w:pPr>
      <w:r>
        <w:rPr>
          <w:rFonts w:ascii="Arial" w:cs="Arial" w:eastAsia="Arial" w:hAnsi="Arial"/>
          <w:sz w:val="12"/>
          <w:szCs w:val="12"/>
          <w:color w:val="auto"/>
        </w:rPr>
        <w:t>non-specific signaling through multiple intracellular signaling pathways, a concept known as non-biased signaling, which can limit activity and increase side effects. We have developed a platform designed to address these key challenges, enabling us to discover small molecule drugs to effectively target GPCRs. Further, our platform has been designed to develop novel drugs against other targets where traditional drug discovery methods have not been adequate.</w:t>
      </w:r>
    </w:p>
    <w:p>
      <w:pPr>
        <w:spacing w:after="0" w:line="80"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Our next generation structure-based drug discovery platform is based on techniques that our founders have evolved for over 25 years, which enables us to generate small molecule product candidates designed to overcome the historical limitations of GPCR drug development. As shown below, we believe our insights and capability to visualize the three-dimensional protein structures of the target and the ligands combined with the computational chemistry capabilities of our co-founder and strategic partner, Schrödinger Inc., or Schrödinger, give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0" w:name="page121"/>
    <w:bookmarkEnd w:id="12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Advantages of GPCR oral small molecule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183515</wp:posOffset>
            </wp:positionV>
            <wp:extent cx="3733165" cy="1196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33165" cy="119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560" w:type="dxa"/>
        <w:tblCellMar>
          <w:top w:w="0" w:type="dxa"/>
          <w:left w:w="0" w:type="dxa"/>
          <w:bottom w:w="0" w:type="dxa"/>
          <w:right w:w="0" w:type="dxa"/>
        </w:tblCellMar>
      </w:tblPr>
      <w:tr>
        <w:trPr>
          <w:trHeight w:val="141"/>
        </w:trPr>
        <w:tc>
          <w:tcPr>
            <w:tcW w:w="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278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CHALLENGES</w:t>
            </w: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8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ind w:left="900"/>
              <w:spacing w:after="0"/>
              <w:rPr>
                <w:sz w:val="20"/>
                <w:szCs w:val="20"/>
                <w:color w:val="auto"/>
              </w:rPr>
            </w:pPr>
            <w:r>
              <w:rPr>
                <w:rFonts w:ascii="Arial" w:cs="Arial" w:eastAsia="Arial" w:hAnsi="Arial"/>
                <w:sz w:val="10"/>
                <w:szCs w:val="10"/>
                <w:b w:val="1"/>
                <w:bCs w:val="1"/>
                <w:color w:val="auto"/>
              </w:rPr>
              <w:t>OPPORTUNITIES</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97"/>
        </w:trPr>
        <w:tc>
          <w:tcPr>
            <w:tcW w:w="80" w:type="dxa"/>
            <w:vAlign w:val="bottom"/>
          </w:tcPr>
          <w:p>
            <w:pPr>
              <w:spacing w:after="0" w:line="97" w:lineRule="exact"/>
              <w:rPr>
                <w:sz w:val="20"/>
                <w:szCs w:val="20"/>
                <w:color w:val="auto"/>
              </w:rPr>
            </w:pPr>
            <w:r>
              <w:rPr>
                <w:rFonts w:ascii="Arial" w:cs="Arial" w:eastAsia="Arial" w:hAnsi="Arial"/>
                <w:sz w:val="11"/>
                <w:szCs w:val="11"/>
                <w:color w:val="auto"/>
              </w:rPr>
              <w:t>​</w:t>
            </w:r>
          </w:p>
        </w:tc>
        <w:tc>
          <w:tcPr>
            <w:tcW w:w="2780" w:type="dxa"/>
            <w:vAlign w:val="bottom"/>
          </w:tcPr>
          <w:p>
            <w:pPr>
              <w:spacing w:after="0"/>
              <w:rPr>
                <w:sz w:val="8"/>
                <w:szCs w:val="8"/>
                <w:color w:val="auto"/>
              </w:rPr>
            </w:pPr>
          </w:p>
        </w:tc>
        <w:tc>
          <w:tcPr>
            <w:tcW w:w="160" w:type="dxa"/>
            <w:vAlign w:val="bottom"/>
          </w:tcPr>
          <w:p>
            <w:pPr>
              <w:spacing w:after="0" w:line="97" w:lineRule="exact"/>
              <w:rPr>
                <w:sz w:val="20"/>
                <w:szCs w:val="20"/>
                <w:color w:val="auto"/>
              </w:rPr>
            </w:pPr>
            <w:r>
              <w:rPr>
                <w:rFonts w:ascii="Arial" w:cs="Arial" w:eastAsia="Arial" w:hAnsi="Arial"/>
                <w:sz w:val="11"/>
                <w:szCs w:val="11"/>
                <w:color w:val="auto"/>
              </w:rPr>
              <w:t>​ ​</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2780" w:type="dxa"/>
            <w:vAlign w:val="bottom"/>
            <w:vMerge w:val="restart"/>
          </w:tcPr>
          <w:p>
            <w:pPr>
              <w:ind w:left="40"/>
              <w:spacing w:after="0"/>
              <w:rPr>
                <w:sz w:val="20"/>
                <w:szCs w:val="20"/>
                <w:color w:val="auto"/>
              </w:rPr>
            </w:pPr>
            <w:r>
              <w:rPr>
                <w:rFonts w:ascii="Arial" w:cs="Arial" w:eastAsia="Arial" w:hAnsi="Arial"/>
                <w:sz w:val="12"/>
                <w:szCs w:val="12"/>
                <w:color w:val="auto"/>
              </w:rPr>
              <w:t>Customizable pharmaceutic properties</w:t>
            </w:r>
          </w:p>
        </w:tc>
        <w:tc>
          <w:tcPr>
            <w:tcW w:w="40" w:type="dxa"/>
            <w:vAlign w:val="bottom"/>
          </w:tcPr>
          <w:p>
            <w:pPr>
              <w:spacing w:after="0" w:line="9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1"/>
        </w:trPr>
        <w:tc>
          <w:tcPr>
            <w:tcW w:w="2860" w:type="dxa"/>
            <w:vAlign w:val="bottom"/>
            <w:gridSpan w:val="2"/>
          </w:tcPr>
          <w:p>
            <w:pPr>
              <w:spacing w:after="0" w:line="52" w:lineRule="exact"/>
              <w:rPr>
                <w:sz w:val="20"/>
                <w:szCs w:val="20"/>
                <w:color w:val="auto"/>
              </w:rPr>
            </w:pPr>
            <w:r>
              <w:rPr>
                <w:rFonts w:ascii="Arial" w:cs="Arial" w:eastAsia="Arial" w:hAnsi="Arial"/>
                <w:sz w:val="5"/>
                <w:szCs w:val="5"/>
                <w:color w:val="auto"/>
              </w:rPr>
              <w:t>▪ Limited cellular and tissue permeability</w:t>
            </w: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7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line="123" w:lineRule="exact"/>
              <w:rPr>
                <w:sz w:val="20"/>
                <w:szCs w:val="20"/>
                <w:color w:val="auto"/>
              </w:rPr>
            </w:pPr>
            <w:r>
              <w:rPr>
                <w:rFonts w:ascii="Arial" w:cs="Arial" w:eastAsia="Arial" w:hAnsi="Arial"/>
                <w:sz w:val="12"/>
                <w:szCs w:val="12"/>
                <w:color w:val="auto"/>
              </w:rPr>
              <w:t>​</w:t>
            </w:r>
          </w:p>
        </w:tc>
        <w:tc>
          <w:tcPr>
            <w:tcW w:w="2780" w:type="dxa"/>
            <w:vAlign w:val="bottom"/>
          </w:tcPr>
          <w:p>
            <w:pPr>
              <w:spacing w:after="0"/>
              <w:rPr>
                <w:sz w:val="10"/>
                <w:szCs w:val="10"/>
                <w:color w:val="auto"/>
              </w:rPr>
            </w:pPr>
          </w:p>
        </w:tc>
        <w:tc>
          <w:tcPr>
            <w:tcW w:w="160" w:type="dxa"/>
            <w:vAlign w:val="bottom"/>
          </w:tcPr>
          <w:p>
            <w:pPr>
              <w:spacing w:after="0" w:line="123" w:lineRule="exact"/>
              <w:rPr>
                <w:sz w:val="20"/>
                <w:szCs w:val="20"/>
                <w:color w:val="auto"/>
              </w:rPr>
            </w:pPr>
            <w:r>
              <w:rPr>
                <w:rFonts w:ascii="Arial" w:cs="Arial" w:eastAsia="Arial" w:hAnsi="Arial"/>
                <w:sz w:val="12"/>
                <w:szCs w:val="12"/>
                <w:color w:val="auto"/>
              </w:rPr>
              <w:t>​ ​</w:t>
            </w:r>
          </w:p>
        </w:tc>
        <w:tc>
          <w:tcPr>
            <w:tcW w:w="2860" w:type="dxa"/>
            <w:vAlign w:val="bottom"/>
            <w:gridSpan w:val="2"/>
            <w:vMerge w:val="restart"/>
          </w:tcPr>
          <w:p>
            <w:pPr>
              <w:spacing w:after="0"/>
              <w:rPr>
                <w:sz w:val="20"/>
                <w:szCs w:val="20"/>
                <w:color w:val="auto"/>
              </w:rPr>
            </w:pPr>
            <w:r>
              <w:rPr>
                <w:rFonts w:ascii="Arial" w:cs="Arial" w:eastAsia="Arial" w:hAnsi="Arial"/>
                <w:sz w:val="12"/>
                <w:szCs w:val="12"/>
                <w:color w:val="auto"/>
              </w:rPr>
              <w:t>▪ Orally available, better patient compliance</w:t>
            </w:r>
          </w:p>
        </w:tc>
        <w:tc>
          <w:tcPr>
            <w:tcW w:w="40" w:type="dxa"/>
            <w:vAlign w:val="bottom"/>
          </w:tcPr>
          <w:p>
            <w:pPr>
              <w:spacing w:after="0" w:line="12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1"/>
        </w:trPr>
        <w:tc>
          <w:tcPr>
            <w:tcW w:w="2860" w:type="dxa"/>
            <w:vAlign w:val="bottom"/>
            <w:gridSpan w:val="2"/>
          </w:tcPr>
          <w:p>
            <w:pPr>
              <w:spacing w:after="0" w:line="52" w:lineRule="exact"/>
              <w:rPr>
                <w:sz w:val="20"/>
                <w:szCs w:val="20"/>
                <w:color w:val="auto"/>
              </w:rPr>
            </w:pPr>
            <w:r>
              <w:rPr>
                <w:rFonts w:ascii="Arial" w:cs="Arial" w:eastAsia="Arial" w:hAnsi="Arial"/>
                <w:sz w:val="5"/>
                <w:szCs w:val="5"/>
                <w:color w:val="auto"/>
              </w:rPr>
              <w:t>▪ Generally not orally available</w:t>
            </w:r>
          </w:p>
        </w:tc>
        <w:tc>
          <w:tcPr>
            <w:tcW w:w="160" w:type="dxa"/>
            <w:vAlign w:val="bottom"/>
          </w:tcPr>
          <w:p>
            <w:pPr>
              <w:spacing w:after="0"/>
              <w:rPr>
                <w:sz w:val="4"/>
                <w:szCs w:val="4"/>
                <w:color w:val="auto"/>
              </w:rPr>
            </w:pPr>
          </w:p>
        </w:tc>
        <w:tc>
          <w:tcPr>
            <w:tcW w:w="28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line="123" w:lineRule="exact"/>
              <w:rPr>
                <w:sz w:val="20"/>
                <w:szCs w:val="20"/>
                <w:color w:val="auto"/>
              </w:rPr>
            </w:pPr>
            <w:r>
              <w:rPr>
                <w:rFonts w:ascii="Arial" w:cs="Arial" w:eastAsia="Arial" w:hAnsi="Arial"/>
                <w:sz w:val="12"/>
                <w:szCs w:val="12"/>
                <w:color w:val="auto"/>
              </w:rPr>
              <w:t>​</w:t>
            </w:r>
          </w:p>
        </w:tc>
        <w:tc>
          <w:tcPr>
            <w:tcW w:w="2780" w:type="dxa"/>
            <w:vAlign w:val="bottom"/>
          </w:tcPr>
          <w:p>
            <w:pPr>
              <w:spacing w:after="0"/>
              <w:rPr>
                <w:sz w:val="10"/>
                <w:szCs w:val="10"/>
                <w:color w:val="auto"/>
              </w:rPr>
            </w:pPr>
          </w:p>
        </w:tc>
        <w:tc>
          <w:tcPr>
            <w:tcW w:w="160" w:type="dxa"/>
            <w:vAlign w:val="bottom"/>
          </w:tcPr>
          <w:p>
            <w:pPr>
              <w:spacing w:after="0" w:line="123" w:lineRule="exact"/>
              <w:rPr>
                <w:sz w:val="20"/>
                <w:szCs w:val="20"/>
                <w:color w:val="auto"/>
              </w:rPr>
            </w:pPr>
            <w:r>
              <w:rPr>
                <w:rFonts w:ascii="Arial" w:cs="Arial" w:eastAsia="Arial" w:hAnsi="Arial"/>
                <w:sz w:val="12"/>
                <w:szCs w:val="12"/>
                <w:color w:val="auto"/>
              </w:rPr>
              <w:t>​ ​</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2780" w:type="dxa"/>
            <w:vAlign w:val="bottom"/>
            <w:vMerge w:val="restart"/>
          </w:tcPr>
          <w:p>
            <w:pPr>
              <w:ind w:left="40"/>
              <w:spacing w:after="0"/>
              <w:rPr>
                <w:sz w:val="20"/>
                <w:szCs w:val="20"/>
                <w:color w:val="auto"/>
              </w:rPr>
            </w:pPr>
            <w:r>
              <w:rPr>
                <w:rFonts w:ascii="Arial" w:cs="Arial" w:eastAsia="Arial" w:hAnsi="Arial"/>
                <w:sz w:val="12"/>
                <w:szCs w:val="12"/>
                <w:color w:val="auto"/>
              </w:rPr>
              <w:t>No cold-chain requirements</w:t>
            </w:r>
          </w:p>
        </w:tc>
        <w:tc>
          <w:tcPr>
            <w:tcW w:w="40" w:type="dxa"/>
            <w:vAlign w:val="bottom"/>
          </w:tcPr>
          <w:p>
            <w:pPr>
              <w:spacing w:after="0" w:line="12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1"/>
        </w:trPr>
        <w:tc>
          <w:tcPr>
            <w:tcW w:w="2860" w:type="dxa"/>
            <w:vAlign w:val="bottom"/>
            <w:gridSpan w:val="2"/>
          </w:tcPr>
          <w:p>
            <w:pPr>
              <w:spacing w:after="0" w:line="52" w:lineRule="exact"/>
              <w:rPr>
                <w:sz w:val="20"/>
                <w:szCs w:val="20"/>
                <w:color w:val="auto"/>
              </w:rPr>
            </w:pPr>
            <w:r>
              <w:rPr>
                <w:rFonts w:ascii="Arial" w:cs="Arial" w:eastAsia="Arial" w:hAnsi="Arial"/>
                <w:sz w:val="5"/>
                <w:szCs w:val="5"/>
                <w:color w:val="auto"/>
              </w:rPr>
              <w:t>▪ Limited stability, cold supply chain requirements</w:t>
            </w: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7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line="123" w:lineRule="exact"/>
              <w:rPr>
                <w:sz w:val="20"/>
                <w:szCs w:val="20"/>
                <w:color w:val="auto"/>
              </w:rPr>
            </w:pPr>
            <w:r>
              <w:rPr>
                <w:rFonts w:ascii="Arial" w:cs="Arial" w:eastAsia="Arial" w:hAnsi="Arial"/>
                <w:sz w:val="12"/>
                <w:szCs w:val="12"/>
                <w:color w:val="auto"/>
              </w:rPr>
              <w:t>​</w:t>
            </w:r>
          </w:p>
        </w:tc>
        <w:tc>
          <w:tcPr>
            <w:tcW w:w="2780" w:type="dxa"/>
            <w:vAlign w:val="bottom"/>
            <w:vMerge w:val="restart"/>
          </w:tcPr>
          <w:p>
            <w:pPr>
              <w:ind w:left="40"/>
              <w:spacing w:after="0"/>
              <w:rPr>
                <w:sz w:val="20"/>
                <w:szCs w:val="20"/>
                <w:color w:val="auto"/>
              </w:rPr>
            </w:pPr>
            <w:r>
              <w:rPr>
                <w:rFonts w:ascii="Arial" w:cs="Arial" w:eastAsia="Arial" w:hAnsi="Arial"/>
                <w:sz w:val="12"/>
                <w:szCs w:val="12"/>
                <w:color w:val="auto"/>
              </w:rPr>
              <w:t>Higher costs</w:t>
            </w:r>
          </w:p>
        </w:tc>
        <w:tc>
          <w:tcPr>
            <w:tcW w:w="160" w:type="dxa"/>
            <w:vAlign w:val="bottom"/>
          </w:tcPr>
          <w:p>
            <w:pPr>
              <w:spacing w:after="0" w:line="123" w:lineRule="exact"/>
              <w:rPr>
                <w:sz w:val="20"/>
                <w:szCs w:val="20"/>
                <w:color w:val="auto"/>
              </w:rPr>
            </w:pPr>
            <w:r>
              <w:rPr>
                <w:rFonts w:ascii="Arial" w:cs="Arial" w:eastAsia="Arial" w:hAnsi="Arial"/>
                <w:sz w:val="12"/>
                <w:szCs w:val="12"/>
                <w:color w:val="auto"/>
              </w:rPr>
              <w:t>​ ​</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2780" w:type="dxa"/>
            <w:vAlign w:val="bottom"/>
            <w:vMerge w:val="restart"/>
          </w:tcPr>
          <w:p>
            <w:pPr>
              <w:ind w:left="40"/>
              <w:spacing w:after="0"/>
              <w:rPr>
                <w:sz w:val="20"/>
                <w:szCs w:val="20"/>
                <w:color w:val="auto"/>
              </w:rPr>
            </w:pPr>
            <w:r>
              <w:rPr>
                <w:rFonts w:ascii="Arial" w:cs="Arial" w:eastAsia="Arial" w:hAnsi="Arial"/>
                <w:sz w:val="12"/>
                <w:szCs w:val="12"/>
                <w:color w:val="auto"/>
              </w:rPr>
              <w:t>Lower costs</w:t>
            </w:r>
          </w:p>
        </w:tc>
        <w:tc>
          <w:tcPr>
            <w:tcW w:w="40" w:type="dxa"/>
            <w:vAlign w:val="bottom"/>
          </w:tcPr>
          <w:p>
            <w:pPr>
              <w:spacing w:after="0" w:line="12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2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39370</wp:posOffset>
            </wp:positionV>
            <wp:extent cx="373316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41"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We believe the strengths of our platform position us to develop oral small molecule drugs that can deliver biologic-like activity and specificity. Oral small molecules can address many of the key limitations of biologic and peptide drugs, thereby significantly improving patient access. We believe this is particularly important for the most prevalent chronic diseases including those involving the metabolic, cardiovascular, and pulmonary systems.</w:t>
      </w:r>
    </w:p>
    <w:p>
      <w:pPr>
        <w:spacing w:after="0" w:line="81"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Our lead product candidate, GSBR-1290, is an oral and biased small molecule agonist of GLP-1R, a validated GPCR drug target for T2DM and obesity. There are currently five marketed peptide molecules that target GLP-1R; collectively, these peptide therapies generated worldwide sales of  $13.2 billion in 2020. However, there are currently no approved oral small molecule therapies targeting GLP-1R. In non-human primate, or NHP, studies, GSBR-1290 demonstrated glucose-dependent insulin secretion and suppressed food intake, resulting in weight reduction. Given these findings and other compelling preclinical data, we completed a Phase 1 study in healthy volunteers for GSBR-1290 in September 2022. GSBR-1290 was generally well tolerated and demonstrated dose-dependent PK and PD related activity. We submitted an IND to the FDA to support initiation of a Phase 1b proof-of-concept study in T2DM and obesity and received FDA allowance in September 2022. We initiated the Phase 1b MAD study in January 2023 and plan to submit a protocol amendment to the FDA to transition to a Phase 2a proof-of-concept study in T2DM and obesity with the expected initiation in the second half of 2023. We expect to report topline data for the Phase 1b study and Phase 2a study in the second half of 2023. Beyond GSBR-1290, we are developing next generation GLP-1R candidates, including dual GLP-1R/GIPR agonists, each designed with customized properties to achieve additional benefit.</w:t>
      </w:r>
    </w:p>
    <w:p>
      <w:pPr>
        <w:spacing w:after="0" w:line="90" w:lineRule="exact"/>
        <w:rPr>
          <w:sz w:val="20"/>
          <w:szCs w:val="20"/>
          <w:color w:val="auto"/>
        </w:rPr>
      </w:pPr>
    </w:p>
    <w:p>
      <w:pPr>
        <w:ind w:left="1560" w:right="1639"/>
        <w:spacing w:after="0" w:line="274" w:lineRule="auto"/>
        <w:rPr>
          <w:sz w:val="20"/>
          <w:szCs w:val="20"/>
          <w:color w:val="auto"/>
        </w:rPr>
      </w:pPr>
      <w:r>
        <w:rPr>
          <w:rFonts w:ascii="Arial" w:cs="Arial" w:eastAsia="Arial" w:hAnsi="Arial"/>
          <w:sz w:val="12"/>
          <w:szCs w:val="12"/>
          <w:color w:val="auto"/>
        </w:rPr>
        <w:t>We are also developing oral small molecule therapeutics targeting other GPCRs for the treatment of pulmonary and cardiovascular diseases. Specifically, we are advancing ANPA-0073, our biased agonist, targeting APJR, a GPCR that has been implicated in IPF and PAH. In September 2022, we completed a Phase 1 SAD and MAD study evaluating ANPA-0073 in healthy human volunteers, in which it was generally well tolerated. Additionally, we are developing an antagonist that targets LPA1R, a GPCR implicated in responses to tissue injury and pro-fibrotic processes. We have demonstrated substantial anti-fibrotic activity of our LPA1R antagonists in mouse models of fibrotic lung disease and we selected a development candidate in January 2023 and expect to initiate a first-in-human study in 2024.</w:t>
      </w:r>
    </w:p>
    <w:p>
      <w:pPr>
        <w:spacing w:after="0" w:line="74" w:lineRule="exact"/>
        <w:rPr>
          <w:sz w:val="20"/>
          <w:szCs w:val="20"/>
          <w:color w:val="auto"/>
        </w:rPr>
      </w:pPr>
    </w:p>
    <w:p>
      <w:pPr>
        <w:ind w:left="1560" w:right="1679"/>
        <w:spacing w:after="0" w:line="288" w:lineRule="auto"/>
        <w:rPr>
          <w:sz w:val="20"/>
          <w:szCs w:val="20"/>
          <w:color w:val="auto"/>
        </w:rPr>
      </w:pPr>
      <w:r>
        <w:rPr>
          <w:rFonts w:ascii="Arial" w:cs="Arial" w:eastAsia="Arial" w:hAnsi="Arial"/>
          <w:sz w:val="12"/>
          <w:szCs w:val="12"/>
          <w:color w:val="auto"/>
        </w:rPr>
        <w:t>At Basecamp Bio Inc., or Basecamp Bio, our wholly owned subsidiary dedicated to fueling our pipeline and pursuing drug discovery partnerships, we leverage the power of cryo-electron microscopy, or cryo-EM, machine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1" w:name="page122"/>
    <w:bookmarkEnd w:id="12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learning and X-ray crystallography, as the basis for our molecular designs. We employ state-of-the-art small molecule hit identification, including DNA encoded library technology and affinity mass spectrometry selections for membrane proteins.</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Our Management Team and Investors</w:t>
      </w:r>
    </w:p>
    <w:p>
      <w:pPr>
        <w:spacing w:after="0" w:line="36"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We were co-founded by our Chief Executive Officer, Raymond Stevens, Ph.D., a world-renowned pioneer in the field of structure-based drug discovery, and by Schrödinger, a pioneering company in computational physics-based drug design. While at Scripps Research (formerly the Scripps Research Institute),</w:t>
      </w:r>
    </w:p>
    <w:p>
      <w:pPr>
        <w:spacing w:after="0" w:line="1" w:lineRule="exact"/>
        <w:rPr>
          <w:sz w:val="20"/>
          <w:szCs w:val="20"/>
          <w:color w:val="auto"/>
        </w:rPr>
      </w:pPr>
    </w:p>
    <w:p>
      <w:pPr>
        <w:ind w:left="1560" w:right="1699"/>
        <w:spacing w:after="0" w:line="264" w:lineRule="auto"/>
        <w:rPr>
          <w:sz w:val="20"/>
          <w:szCs w:val="20"/>
          <w:color w:val="auto"/>
        </w:rPr>
      </w:pPr>
      <w:r>
        <w:rPr>
          <w:rFonts w:ascii="Arial" w:cs="Arial" w:eastAsia="Arial" w:hAnsi="Arial"/>
          <w:sz w:val="12"/>
          <w:szCs w:val="12"/>
          <w:color w:val="auto"/>
        </w:rPr>
        <w:t>Dr. Stevens’ lab solved the first structure of a human GPCR in 2007, as well as many of the unique human GPCRs that have been structurally determined in the human proteome. This unparalleled track record of GPCR structure-based design forms one of the core elements enabling us to continually advance our platform technology.</w:t>
      </w:r>
    </w:p>
    <w:p>
      <w:pPr>
        <w:spacing w:after="0" w:line="77"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Dr. Stevens has founded successful structure-based drug discovery companies, many of which have developed approved drugs, including Syrrx, Inc., or Syrrx (acquired by Takeda Pharmaceutical Co. in 2005), that developed alogliptin (Nesina), a dipeptidyl peptidase 4, or DPP-4, inhibitor for T2DM, and Receptos (acquired by Celgene Corporation in 2015) that developed the small molecule S1P1 agonist ozanimod (Zeposia), approved for ulcerative colitis and multiple sclerosis. Prior to founding Structure Therapeutics, Dr. Stevens founded The Bridge Institute at the University of Southern California and the iHuman Institute at ShanghaiTech University. He is also the founder of the GPCR Consortium, a public-private global collaboration advancing GPCR research.</w:t>
      </w:r>
    </w:p>
    <w:p>
      <w:pPr>
        <w:spacing w:after="0" w:line="81" w:lineRule="exact"/>
        <w:rPr>
          <w:sz w:val="20"/>
          <w:szCs w:val="20"/>
          <w:color w:val="auto"/>
        </w:rPr>
      </w:pPr>
    </w:p>
    <w:p>
      <w:pPr>
        <w:ind w:left="1560" w:right="1659"/>
        <w:spacing w:after="0" w:line="259" w:lineRule="auto"/>
        <w:rPr>
          <w:sz w:val="20"/>
          <w:szCs w:val="20"/>
          <w:color w:val="auto"/>
        </w:rPr>
      </w:pPr>
      <w:r>
        <w:rPr>
          <w:rFonts w:ascii="Arial" w:cs="Arial" w:eastAsia="Arial" w:hAnsi="Arial"/>
          <w:sz w:val="12"/>
          <w:szCs w:val="12"/>
          <w:color w:val="auto"/>
        </w:rPr>
        <w:t>In addition, we have assembled an exceptional global management team with extensive experience in drug discovery and development, business and commercial development, and capital markets activities. Mark Bach, M.D., Ph.D., our Chief Medical Officer, has over 30 years of clinical research and pharmaceutical development experience in both Asia and the United States at Janssen Pharmaceuticals and Merck &amp; Co, Inc., or Merck. Xichen Lin, Ph.D., our Chief Scientific Officer and General Manager of Shanghai ShouTi Biotechnology Co., Ltd., brings 20 years of experience in drug discovery and development at Novo Nordisk A/S, or Novo Nordisk, and GlaxoSmithKline plc, or GSK. Yingli Ma, Ph.D., our Chief Technology Officer, brings close to 15 years of research, technology, and drug discovery experience at Amgen Inc., or Amgen, and GSK. Melita Sun Jung, our Chief Business Officer has over 20 years of life sciences corporate strategy, business development and commercial experience at Sangamo Therapeutics, Inc., Adamas Pharmaceuticals, Inc., and Ipsen Ltd. Jun Yoon, our Chief Financial Officer and co-founder, has over</w:t>
      </w:r>
    </w:p>
    <w:p>
      <w:pPr>
        <w:spacing w:after="0" w:line="2" w:lineRule="exact"/>
        <w:rPr>
          <w:sz w:val="20"/>
          <w:szCs w:val="20"/>
          <w:color w:val="auto"/>
        </w:rPr>
      </w:pPr>
    </w:p>
    <w:p>
      <w:pPr>
        <w:ind w:left="1560" w:right="1839"/>
        <w:spacing w:after="0" w:line="281" w:lineRule="auto"/>
        <w:rPr>
          <w:sz w:val="20"/>
          <w:szCs w:val="20"/>
          <w:color w:val="auto"/>
        </w:rPr>
      </w:pPr>
      <w:r>
        <w:rPr>
          <w:rFonts w:ascii="Arial" w:cs="Arial" w:eastAsia="Arial" w:hAnsi="Arial"/>
          <w:sz w:val="12"/>
          <w:szCs w:val="12"/>
          <w:color w:val="auto"/>
        </w:rPr>
        <w:t>20 years of industry operating experience at Cellerant Therapeutics, Inc., VIA Pharmaceuticals, Inc. and Syrrx.</w:t>
      </w:r>
    </w:p>
    <w:p>
      <w:pPr>
        <w:spacing w:after="0" w:line="67" w:lineRule="exact"/>
        <w:rPr>
          <w:sz w:val="20"/>
          <w:szCs w:val="20"/>
          <w:color w:val="auto"/>
        </w:rPr>
      </w:pPr>
    </w:p>
    <w:p>
      <w:pPr>
        <w:ind w:left="1560" w:right="1659"/>
        <w:spacing w:after="0" w:line="271" w:lineRule="auto"/>
        <w:rPr>
          <w:sz w:val="20"/>
          <w:szCs w:val="20"/>
          <w:color w:val="auto"/>
        </w:rPr>
      </w:pPr>
      <w:r>
        <w:rPr>
          <w:rFonts w:ascii="Arial" w:cs="Arial" w:eastAsia="Arial" w:hAnsi="Arial"/>
          <w:sz w:val="12"/>
          <w:szCs w:val="12"/>
          <w:color w:val="auto"/>
        </w:rPr>
        <w:t>With offices in both the United States and the People’s Republic of China, we are able to take advantage of the talent, discovery and development resources, and business opportunities in the two largest pharmaceutical markets globally. We are well positioned to understand the nuances and regulatory environments of each country, and we use these strengths to our advantage.</w:t>
      </w:r>
    </w:p>
    <w:p>
      <w:pPr>
        <w:spacing w:after="0" w:line="73" w:lineRule="exact"/>
        <w:rPr>
          <w:sz w:val="20"/>
          <w:szCs w:val="20"/>
          <w:color w:val="auto"/>
        </w:rPr>
      </w:pPr>
    </w:p>
    <w:p>
      <w:pPr>
        <w:ind w:left="1560" w:right="1819"/>
        <w:spacing w:after="0" w:line="280" w:lineRule="auto"/>
        <w:rPr>
          <w:sz w:val="20"/>
          <w:szCs w:val="20"/>
          <w:color w:val="auto"/>
        </w:rPr>
      </w:pPr>
      <w:r>
        <w:rPr>
          <w:rFonts w:ascii="Arial" w:cs="Arial" w:eastAsia="Arial" w:hAnsi="Arial"/>
          <w:sz w:val="12"/>
          <w:szCs w:val="12"/>
          <w:color w:val="auto"/>
        </w:rPr>
        <w:t>Since our inception, we have raised $198.0 million, supported by a syndicate of leading global investors, including BVF Partners, Deep Track Capital, Eight Roads Ventures, F-Prime Capital Partners, Qiming Venture Partners, and Sequoia Capital China.</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Our Strategy</w:t>
      </w:r>
    </w:p>
    <w:p>
      <w:pPr>
        <w:spacing w:after="0" w:line="36" w:lineRule="exact"/>
        <w:rPr>
          <w:sz w:val="20"/>
          <w:szCs w:val="20"/>
          <w:color w:val="auto"/>
        </w:rPr>
      </w:pPr>
    </w:p>
    <w:p>
      <w:pPr>
        <w:ind w:left="1560" w:right="1659"/>
        <w:spacing w:after="0" w:line="280" w:lineRule="auto"/>
        <w:rPr>
          <w:sz w:val="20"/>
          <w:szCs w:val="20"/>
          <w:color w:val="auto"/>
        </w:rPr>
      </w:pPr>
      <w:r>
        <w:rPr>
          <w:rFonts w:ascii="Arial" w:cs="Arial" w:eastAsia="Arial" w:hAnsi="Arial"/>
          <w:sz w:val="12"/>
          <w:szCs w:val="12"/>
          <w:color w:val="auto"/>
        </w:rPr>
        <w:t>Our mission is to discover and develop broadly accessible oral therapeutics to treat a wide range of chronic diseases with unmet medical need through advancements in structure-based drug discovery and computational chemistry. The key pillars of our business strategy to achieve this mission include:</w:t>
      </w:r>
    </w:p>
    <w:p>
      <w:pPr>
        <w:spacing w:after="0" w:line="22" w:lineRule="exact"/>
        <w:rPr>
          <w:sz w:val="20"/>
          <w:szCs w:val="20"/>
          <w:color w:val="auto"/>
        </w:rPr>
      </w:pPr>
    </w:p>
    <w:p>
      <w:pPr>
        <w:ind w:left="1980" w:right="1639" w:hanging="157"/>
        <w:spacing w:after="0" w:line="273" w:lineRule="auto"/>
        <w:tabs>
          <w:tab w:leader="none" w:pos="1980" w:val="left"/>
        </w:tabs>
        <w:numPr>
          <w:ilvl w:val="0"/>
          <w:numId w:val="6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Invest in and leverage our next generation structure-based drug discovery platform to drive innovations in GPCR targeted therapies and beyond. </w:t>
      </w:r>
      <w:r>
        <w:rPr>
          <w:rFonts w:ascii="Arial" w:cs="Arial" w:eastAsia="Arial" w:hAnsi="Arial"/>
          <w:sz w:val="12"/>
          <w:szCs w:val="12"/>
          <w:color w:val="auto"/>
        </w:rPr>
        <w:t>Our platform has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potential to transform the treatment paradigm for a wide range of chronic diseases with unmet medical need. We are continually growing our position as a leader in structure-based drug discovery and development by incorporating platform innovations that have the potential to expand the therapeutic opportunity of this field. We are integrating advancements in computational chemistry, molecular imaging technologies, structural biology techniques, and machine learning while continuing to deepen our understanding of GPCR signaling pathways and pharmacology. We intend to expand into other key emerging areas where we can leverage our platform to develop orally-available molecules against targets that historically have been limited to peptides or biologics.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2" w:name="page123"/>
    <w:bookmarkEnd w:id="12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980" w:right="1619" w:hanging="157"/>
        <w:spacing w:after="0" w:line="272" w:lineRule="auto"/>
        <w:tabs>
          <w:tab w:leader="none" w:pos="1980" w:val="left"/>
        </w:tabs>
        <w:numPr>
          <w:ilvl w:val="0"/>
          <w:numId w:val="6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Advance our GLP-1R franchise of metabolic focused assets, establishing a foundation for additional opportunities. </w:t>
      </w:r>
      <w:r>
        <w:rPr>
          <w:rFonts w:ascii="Arial" w:cs="Arial" w:eastAsia="Arial" w:hAnsi="Arial"/>
          <w:sz w:val="12"/>
          <w:szCs w:val="12"/>
          <w:color w:val="auto"/>
        </w:rPr>
        <w:t>Our franchise approach involves developing next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generation GLP-1R agonists, including dual GLP-1R/GIPR agonists, each designed with customized properties to achieve maximum benefit. Based on compelling data generated from our preclinical studies, we believe that our lead GLP-1R candidate, GSBR-1290, has the potential to be a differentiated treatment for T2DM and obesity, and we completed a Phase 1 SAD study in T2DM in September 2022. We initiated the Phase 1b MAD study in January 2023 and plan to submit a protocol amendment to the FDA to transition to a Phase 2a proof-of-concept study in T2DM and obesity with the expected initiation in the second half of 2023. In addition, our next generation GLP-1R program is focused on the development of orally-available small molecules with GLP-1R and glucose-dependent insulinotropic polypeptide receptor, or GIPR, activity.</w:t>
      </w:r>
    </w:p>
    <w:p>
      <w:pPr>
        <w:spacing w:after="0" w:line="37" w:lineRule="exact"/>
        <w:rPr>
          <w:rFonts w:ascii="Arial" w:cs="Arial" w:eastAsia="Arial" w:hAnsi="Arial"/>
          <w:sz w:val="12"/>
          <w:szCs w:val="12"/>
          <w:color w:val="auto"/>
        </w:rPr>
      </w:pPr>
    </w:p>
    <w:p>
      <w:pPr>
        <w:ind w:left="1980" w:right="1599" w:hanging="157"/>
        <w:spacing w:after="0" w:line="273" w:lineRule="auto"/>
        <w:tabs>
          <w:tab w:leader="none" w:pos="1980" w:val="left"/>
        </w:tabs>
        <w:numPr>
          <w:ilvl w:val="0"/>
          <w:numId w:val="6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Pursue additional opportunities in chronic diseases. </w:t>
      </w:r>
      <w:r>
        <w:rPr>
          <w:rFonts w:ascii="Arial" w:cs="Arial" w:eastAsia="Arial" w:hAnsi="Arial"/>
          <w:sz w:val="12"/>
          <w:szCs w:val="12"/>
          <w:color w:val="auto"/>
        </w:rPr>
        <w:t>Chronic diseases pose a major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burden to patients and healthcare systems worldwide and there is an urgent need for effective and more accessible treatment options. For our APJR agonist product candidate, ANPA-0073, we completed a Phase 1 SAD and MAD study in healthy human volunteers in September 2022. ANPA-0073 is in development for the treatment of patients with IPF and PAH. We expect to conduct additional preclinical studies to be followed by a Phase 1 formulation bridging PK study in Australia. In addition, we are evaluating LPA1R antagonism in IPF, and selected a development candidate in January 2023 and expect to initiate a first-in-human study in 2024. We plan to continue to harness insights on GPCR targets, particularly among metabolic, endocrine, pulmonary, and cardiovascular indications, and leverage our platform to fuel our pipeline through our discovery engine at Basecamp Bio.</w:t>
      </w:r>
    </w:p>
    <w:p>
      <w:pPr>
        <w:spacing w:after="0" w:line="182" w:lineRule="exact"/>
        <w:rPr>
          <w:rFonts w:ascii="Arial" w:cs="Arial" w:eastAsia="Arial" w:hAnsi="Arial"/>
          <w:sz w:val="12"/>
          <w:szCs w:val="12"/>
          <w:color w:val="auto"/>
        </w:rPr>
      </w:pPr>
    </w:p>
    <w:p>
      <w:pPr>
        <w:ind w:left="1980" w:right="1659" w:hanging="157"/>
        <w:spacing w:after="0" w:line="275" w:lineRule="auto"/>
        <w:tabs>
          <w:tab w:leader="none" w:pos="1980" w:val="left"/>
        </w:tabs>
        <w:numPr>
          <w:ilvl w:val="0"/>
          <w:numId w:val="6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Maximize the potential of our platform and portfolio through strategic partnerships. </w:t>
      </w:r>
      <w:r>
        <w:rPr>
          <w:rFonts w:ascii="Arial" w:cs="Arial" w:eastAsia="Arial" w:hAnsi="Arial"/>
          <w:sz w:val="12"/>
          <w:szCs w:val="12"/>
          <w:color w:val="auto"/>
        </w:rPr>
        <w:t>We have an established value- and capability-enhancing collaboration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Schrödinger, our co-founder and strategic partner. We intend to continue to explore additional collaborations with third parties to further strengthen our platform capabilities and enable expansion of our portfolio. We plan to leverage our platform for external opportunities where partners bring additional disease biology understanding, drug development and commercial expertise, regional insights, or other complementary capabilities.</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Our Pipeline and Programs</w:t>
      </w:r>
    </w:p>
    <w:p>
      <w:pPr>
        <w:spacing w:after="0" w:line="46"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We pursue opportunities to target GPCRs in human diseases on the basis of validated biology, safety, development feasibility and market potential. We are building a pipeline of wholly-owned oral small molecule drugs targeting chronic diseases with unmet medical need and commercial potential. Our initial focus is in areas of metabolic, cardiovascular and pulmonary diseases.</w:t>
      </w:r>
    </w:p>
    <w:p>
      <w:pPr>
        <w:spacing w:after="0" w:line="77"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following table summarizes key information on our current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94615</wp:posOffset>
            </wp:positionV>
            <wp:extent cx="3733165" cy="12522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3316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Metabolic</w:t>
      </w:r>
    </w:p>
    <w:p>
      <w:pPr>
        <w:spacing w:after="0" w:line="44"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We are initially advancing our GLP-1R franchise as a treatment for T2DM and obesity, conditions affecting approximately 537 million and 764 million people worldwide, respectively. We believe our GLP-1R programs have demonstrated qualities that offer the potential to differentiate them versus current approved and in development programs.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3" w:name="page124"/>
    <w:bookmarkEnd w:id="12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39" w:hanging="157"/>
        <w:spacing w:after="0" w:line="273" w:lineRule="auto"/>
        <w:tabs>
          <w:tab w:leader="none" w:pos="1980" w:val="left"/>
        </w:tabs>
        <w:numPr>
          <w:ilvl w:val="0"/>
          <w:numId w:val="6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GSBR-1290. </w:t>
      </w:r>
      <w:r>
        <w:rPr>
          <w:rFonts w:ascii="Arial" w:cs="Arial" w:eastAsia="Arial" w:hAnsi="Arial"/>
          <w:sz w:val="12"/>
          <w:szCs w:val="12"/>
          <w:color w:val="auto"/>
        </w:rPr>
        <w:t>GSBR-1290 is a biased GLP-1R agonist which has demonstrated dose-dependent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activation of the G-protein pathway. GSBR-1290 has also demonstrated glucose-dependent insulin secretion and suppressed food intake with similar activity to an approved injectable peptide GLP-1R agonist in preclinical models. The product candidate is designed to be orally administered, without restrictions on diet or concomitant therapy. We submitted an IND in the United States for our dose escalation Phase 1b proof-of-concept study in T2DM and obesity. In September 2022, we received FDA allowance to proceed with the Phase 1b MAD study, which we initiated in January 2023, and plan to submit a protocol amendment to the FDA to transition to a Phase 2a proof-of-concept study in T2DM and obesity with the expected initiation in the second half of 2023. We expect to report topline data for the Phase 1b study and Phase 2a study in the second half of 2023. We will initially focus development of GSBR-1290 on T2DM with a secondary focus on obesity.</w:t>
      </w:r>
    </w:p>
    <w:p>
      <w:pPr>
        <w:spacing w:after="0" w:line="4" w:lineRule="exact"/>
        <w:rPr>
          <w:rFonts w:ascii="Arial" w:cs="Arial" w:eastAsia="Arial" w:hAnsi="Arial"/>
          <w:sz w:val="12"/>
          <w:szCs w:val="12"/>
          <w:color w:val="auto"/>
        </w:rPr>
      </w:pPr>
    </w:p>
    <w:p>
      <w:pPr>
        <w:ind w:left="1980" w:right="1899" w:hanging="157"/>
        <w:spacing w:after="0" w:line="308" w:lineRule="auto"/>
        <w:tabs>
          <w:tab w:leader="none" w:pos="1980" w:val="left"/>
        </w:tabs>
        <w:numPr>
          <w:ilvl w:val="0"/>
          <w:numId w:val="6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Next generation. </w:t>
      </w:r>
      <w:r>
        <w:rPr>
          <w:rFonts w:ascii="Arial" w:cs="Arial" w:eastAsia="Arial" w:hAnsi="Arial"/>
          <w:sz w:val="12"/>
          <w:szCs w:val="12"/>
          <w:color w:val="auto"/>
        </w:rPr>
        <w:t>Our next generation small molecule program is focused on GLP-1R/GIPR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modulation with the potential for enhanced metabolic control.</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Pulmonary and Cardiovascular</w:t>
      </w:r>
    </w:p>
    <w:p>
      <w:pPr>
        <w:spacing w:after="0" w:line="34"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Our APJR agonist program is being evaluated for IPF and PAH. In another program, we are evaluating an LPA1R antagonist for IPF.</w:t>
      </w:r>
    </w:p>
    <w:p>
      <w:pPr>
        <w:spacing w:after="0" w:line="62"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Our APJR product candidate, ANPA-0073, is a G-protein biased APJR agonist for which we completed a Phase 1 SAD and MAD study, in which it was generally well tolerated as a single dose from 2mg to 600 mg, and at doses from 75 mg to 500 mg once daily dosing for seven days, with no serious adverse events, or SAEs, reported.</w:t>
      </w:r>
    </w:p>
    <w:p>
      <w:pPr>
        <w:spacing w:after="0" w:line="10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GPCRs as a Therapeutic Target Family</w:t>
      </w:r>
    </w:p>
    <w:p>
      <w:pPr>
        <w:spacing w:after="0" w:line="36"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GPCRs form the largest human membrane protein family, consisting of approximately 800 identified members as illustrated below. GPCRs are involved in several vital physiological functions, such as immune system regulation and inflammation, autonomic nervous system transmission, behavioral and mood regulation, sensory transmission, and maintenance of homeostasis, making them important targets for numerous therapeutics. To date, there are approximately 475 drugs on the market acting at over 100 unique GPCRs. Additionally, more than 220 GPCRs have not yet been explored as clinical targets, hence representing broad untapped therapeutic potential for addressing global healthcare needs.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Phylogenetic tree of GPCR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183515</wp:posOffset>
            </wp:positionV>
            <wp:extent cx="2240915" cy="22472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40915" cy="224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4" w:name="page125"/>
    <w:bookmarkEnd w:id="12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39"/>
        <w:spacing w:after="0" w:line="264" w:lineRule="auto"/>
        <w:rPr>
          <w:sz w:val="20"/>
          <w:szCs w:val="20"/>
          <w:color w:val="auto"/>
        </w:rPr>
      </w:pPr>
      <w:r>
        <w:rPr>
          <w:rFonts w:ascii="Arial" w:cs="Arial" w:eastAsia="Arial" w:hAnsi="Arial"/>
          <w:sz w:val="12"/>
          <w:szCs w:val="12"/>
          <w:color w:val="auto"/>
        </w:rPr>
        <w:t>GPCR targeting drugs have successfully delivered significant patient benefit resulting in large market opportunities in many therapeutic areas. Examples include liraglutide (Victoza for T2DM), aripiprazole (Abilify for schizophrenia, bipolar disorder and depression), montelukast (Singulair for asthma), valsartan (Diovan for hypertension), metoprolol (Lopressor for hypertension, angina, and myocardial infarction), and clopidogrel (Plavix for myocardial infarction and stroke). GPCR related drugs are the largest drug class accounting for approximately 27% of global pharmaceutical sales with estimated aggregate sales of $890 billion between 2011 and 2015.</w:t>
      </w:r>
    </w:p>
    <w:p>
      <w:pPr>
        <w:spacing w:after="0" w:line="78" w:lineRule="exact"/>
        <w:rPr>
          <w:sz w:val="20"/>
          <w:szCs w:val="20"/>
          <w:color w:val="auto"/>
        </w:rPr>
      </w:pPr>
    </w:p>
    <w:p>
      <w:pPr>
        <w:ind w:left="1560" w:right="1759"/>
        <w:spacing w:after="0" w:line="280" w:lineRule="auto"/>
        <w:rPr>
          <w:sz w:val="20"/>
          <w:szCs w:val="20"/>
          <w:color w:val="auto"/>
        </w:rPr>
      </w:pPr>
      <w:r>
        <w:rPr>
          <w:rFonts w:ascii="Arial" w:cs="Arial" w:eastAsia="Arial" w:hAnsi="Arial"/>
          <w:sz w:val="12"/>
          <w:szCs w:val="12"/>
          <w:color w:val="auto"/>
        </w:rPr>
        <w:t>GPCRs are proteins that span the entire width of cell membranes. Their primary function is to recognize extracellular substances, primarily ligands, and transmit signals across the cell membrane to the inside of the cell.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Schematic of a GPCR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183515</wp:posOffset>
            </wp:positionV>
            <wp:extent cx="1492250" cy="19342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92250" cy="193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As shown above, the binding of extracellular ligands to GPCRs elicits conformational changes that impact the intracellular side of the receptor, resulting in the formation of a GPCR complex with signal transducers, particularly G-proteins. These signal transducers go on to interact with second messengers, ultimately either stimulating or inhibiting certain cellular processes.</w:t>
      </w:r>
    </w:p>
    <w:p>
      <w:pPr>
        <w:spacing w:after="0" w:line="73" w:lineRule="exact"/>
        <w:rPr>
          <w:sz w:val="20"/>
          <w:szCs w:val="20"/>
          <w:color w:val="auto"/>
        </w:rPr>
      </w:pPr>
    </w:p>
    <w:p>
      <w:pPr>
        <w:ind w:left="1560" w:right="1779"/>
        <w:spacing w:after="0" w:line="266" w:lineRule="auto"/>
        <w:rPr>
          <w:sz w:val="20"/>
          <w:szCs w:val="20"/>
          <w:color w:val="auto"/>
        </w:rPr>
      </w:pPr>
      <w:r>
        <w:rPr>
          <w:rFonts w:ascii="Arial" w:cs="Arial" w:eastAsia="Arial" w:hAnsi="Arial"/>
          <w:sz w:val="12"/>
          <w:szCs w:val="12"/>
          <w:color w:val="auto"/>
        </w:rPr>
        <w:t>GPCRs signal not only through G-proteins, but also through β-arrestins and other non-G-protein transducers. β-arrestins play an essential role in many physiological and pathological processes, and are involved in the desensitization, internalization, sequestration, and trafficking of GPCRs. Certain GPCR ligands are capable of simultaneously activating both G-protein and non-G-protein mediated signaling pathways, which can lead to a variety of physiologic as well as pathologic effects.</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Challenges of GPCR Therapeutic Discovery and Development</w:t>
      </w:r>
    </w:p>
    <w:p>
      <w:pPr>
        <w:spacing w:after="0" w:line="36" w:lineRule="exact"/>
        <w:rPr>
          <w:sz w:val="20"/>
          <w:szCs w:val="20"/>
          <w:color w:val="auto"/>
        </w:rPr>
      </w:pPr>
    </w:p>
    <w:p>
      <w:pPr>
        <w:ind w:left="1560" w:right="1619"/>
        <w:spacing w:after="0" w:line="308" w:lineRule="auto"/>
        <w:rPr>
          <w:sz w:val="20"/>
          <w:szCs w:val="20"/>
          <w:color w:val="auto"/>
        </w:rPr>
      </w:pPr>
      <w:r>
        <w:rPr>
          <w:rFonts w:ascii="Arial" w:cs="Arial" w:eastAsia="Arial" w:hAnsi="Arial"/>
          <w:sz w:val="12"/>
          <w:szCs w:val="12"/>
          <w:color w:val="auto"/>
        </w:rPr>
        <w:t>Despite tremendous advancements in structure-based drug design and development, GPCR drug discovery and development remains challenging.</w:t>
      </w:r>
    </w:p>
    <w:p>
      <w:pPr>
        <w:spacing w:after="0" w:line="4" w:lineRule="exact"/>
        <w:rPr>
          <w:sz w:val="20"/>
          <w:szCs w:val="20"/>
          <w:color w:val="auto"/>
        </w:rPr>
      </w:pPr>
    </w:p>
    <w:p>
      <w:pPr>
        <w:ind w:left="1980" w:right="1699" w:hanging="157"/>
        <w:spacing w:after="0" w:line="274" w:lineRule="auto"/>
        <w:tabs>
          <w:tab w:leader="none" w:pos="198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Similarity between the binding sites of GPCRs and related receptors can cause off-target toxicities: </w:t>
      </w:r>
      <w:r>
        <w:rPr>
          <w:rFonts w:ascii="Arial" w:cs="Arial" w:eastAsia="Arial" w:hAnsi="Arial"/>
          <w:sz w:val="12"/>
          <w:szCs w:val="12"/>
          <w:color w:val="auto"/>
        </w:rPr>
        <w:t>All GPCRs have the same overall three-dimensional architecture but the</w:t>
      </w:r>
      <w:r>
        <w:rPr>
          <w:rFonts w:ascii="Arial" w:cs="Arial" w:eastAsia="Arial" w:hAnsi="Arial"/>
          <w:sz w:val="12"/>
          <w:szCs w:val="12"/>
          <w:b w:val="1"/>
          <w:bCs w:val="1"/>
          <w:color w:val="auto"/>
        </w:rPr>
        <w:t xml:space="preserve"> </w:t>
      </w:r>
      <w:r>
        <w:rPr>
          <w:rFonts w:ascii="Arial" w:cs="Arial" w:eastAsia="Arial" w:hAnsi="Arial"/>
          <w:sz w:val="12"/>
          <w:szCs w:val="12"/>
          <w:color w:val="auto"/>
        </w:rPr>
        <w:t>specific endogenous binding site is unique due to the placement of amino acid side chains shaping the binding site. For instance, the early sphingosine-1-phosphate 1 receptor, or S1P1R, agonist Gilenya led to the development of a new class of therapy for the treatment of multiple sclerosis, but had exhibited bradycardia as a side effect due in part to sphingosine-1-phosphate 3 receptor, or S1P3R activity, a very closely related S1P1 receptor subtype. The next generation S1P1R agonist Zeposia was designed using structural</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5" w:name="page126"/>
    <w:bookmarkEnd w:id="12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19"/>
        <w:spacing w:after="0" w:line="325" w:lineRule="auto"/>
        <w:rPr>
          <w:sz w:val="20"/>
          <w:szCs w:val="20"/>
          <w:color w:val="auto"/>
        </w:rPr>
      </w:pPr>
      <w:r>
        <w:rPr>
          <w:rFonts w:ascii="Arial" w:cs="Arial" w:eastAsia="Arial" w:hAnsi="Arial"/>
          <w:sz w:val="12"/>
          <w:szCs w:val="12"/>
          <w:color w:val="auto"/>
        </w:rPr>
        <w:t>information by Receptos, Inc. to remove the S1P3 and other activities and therefore did not have the same side effect profile as Gilenya.</w:t>
      </w:r>
    </w:p>
    <w:p>
      <w:pPr>
        <w:spacing w:after="0" w:line="13" w:lineRule="exact"/>
        <w:rPr>
          <w:sz w:val="20"/>
          <w:szCs w:val="20"/>
          <w:color w:val="auto"/>
        </w:rPr>
      </w:pPr>
    </w:p>
    <w:p>
      <w:pPr>
        <w:ind w:left="1980" w:right="1699" w:hanging="157"/>
        <w:spacing w:after="0" w:line="278" w:lineRule="auto"/>
        <w:tabs>
          <w:tab w:leader="none" w:pos="1980"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GPCRs are involved in diverse downstream signaling pathways which can result in side effects: </w:t>
      </w:r>
      <w:r>
        <w:rPr>
          <w:rFonts w:ascii="Arial" w:cs="Arial" w:eastAsia="Arial" w:hAnsi="Arial"/>
          <w:sz w:val="12"/>
          <w:szCs w:val="12"/>
          <w:color w:val="auto"/>
        </w:rPr>
        <w:t>GPCRs interact with a range of molecules, including G-protein and non-G-protein</w:t>
      </w:r>
      <w:r>
        <w:rPr>
          <w:rFonts w:ascii="Arial" w:cs="Arial" w:eastAsia="Arial" w:hAnsi="Arial"/>
          <w:sz w:val="12"/>
          <w:szCs w:val="12"/>
          <w:b w:val="1"/>
          <w:bCs w:val="1"/>
          <w:color w:val="auto"/>
        </w:rPr>
        <w:t xml:space="preserve"> </w:t>
      </w:r>
      <w:r>
        <w:rPr>
          <w:rFonts w:ascii="Arial" w:cs="Arial" w:eastAsia="Arial" w:hAnsi="Arial"/>
          <w:sz w:val="12"/>
          <w:szCs w:val="12"/>
          <w:color w:val="auto"/>
        </w:rPr>
        <w:t>transducers including β-arrestin. Signaling pathway selectivity results from agonist-induced specific receptor conformation and when targeting GPCRs involved in multiple signaling pathways, both therapeutic benefits and side effect issues may arise.</w:t>
      </w:r>
    </w:p>
    <w:p>
      <w:pPr>
        <w:spacing w:after="0" w:line="41" w:lineRule="exact"/>
        <w:rPr>
          <w:rFonts w:ascii="Arial" w:cs="Arial" w:eastAsia="Arial" w:hAnsi="Arial"/>
          <w:sz w:val="12"/>
          <w:szCs w:val="12"/>
          <w:color w:val="auto"/>
        </w:rPr>
      </w:pPr>
    </w:p>
    <w:p>
      <w:pPr>
        <w:ind w:left="1980" w:right="1579" w:hanging="157"/>
        <w:spacing w:after="0" w:line="278" w:lineRule="auto"/>
        <w:tabs>
          <w:tab w:leader="none" w:pos="1980"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Expression levels of GPCRs are low and create significant hurdles to structural and PD characterization: </w:t>
      </w:r>
      <w:r>
        <w:rPr>
          <w:rFonts w:ascii="Arial" w:cs="Arial" w:eastAsia="Arial" w:hAnsi="Arial"/>
          <w:sz w:val="12"/>
          <w:szCs w:val="12"/>
          <w:color w:val="auto"/>
        </w:rPr>
        <w:t>Recombinant protein expression of GPCRs remains extremely</w:t>
      </w:r>
      <w:r>
        <w:rPr>
          <w:rFonts w:ascii="Arial" w:cs="Arial" w:eastAsia="Arial" w:hAnsi="Arial"/>
          <w:sz w:val="12"/>
          <w:szCs w:val="12"/>
          <w:b w:val="1"/>
          <w:bCs w:val="1"/>
          <w:color w:val="auto"/>
        </w:rPr>
        <w:t xml:space="preserve"> </w:t>
      </w:r>
      <w:r>
        <w:rPr>
          <w:rFonts w:ascii="Arial" w:cs="Arial" w:eastAsia="Arial" w:hAnsi="Arial"/>
          <w:sz w:val="12"/>
          <w:szCs w:val="12"/>
          <w:color w:val="auto"/>
        </w:rPr>
        <w:t>challenging. Expression levels of GPCRs are low and improvement of expression level continues to be mainly empirical and resource-consuming. GPCRs are complex membrane proteins that require a stable membrane environment throughout the purification process to avoid destabilization and aggregation.</w:t>
      </w:r>
    </w:p>
    <w:p>
      <w:pPr>
        <w:spacing w:after="0" w:line="196" w:lineRule="exact"/>
        <w:rPr>
          <w:rFonts w:ascii="Arial" w:cs="Arial" w:eastAsia="Arial" w:hAnsi="Arial"/>
          <w:sz w:val="12"/>
          <w:szCs w:val="12"/>
          <w:color w:val="auto"/>
        </w:rPr>
      </w:pPr>
    </w:p>
    <w:p>
      <w:pPr>
        <w:ind w:left="1980" w:right="1619" w:hanging="157"/>
        <w:spacing w:after="0" w:line="278" w:lineRule="auto"/>
        <w:tabs>
          <w:tab w:leader="none" w:pos="1980"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GPCR structural visualization is complex making GPCR structure-based drug discovery challenging: </w:t>
      </w:r>
      <w:r>
        <w:rPr>
          <w:rFonts w:ascii="Arial" w:cs="Arial" w:eastAsia="Arial" w:hAnsi="Arial"/>
          <w:sz w:val="12"/>
          <w:szCs w:val="12"/>
          <w:color w:val="auto"/>
        </w:rPr>
        <w:t>Structure-based drug design requires rapid iterations of GPCR</w:t>
      </w:r>
      <w:r>
        <w:rPr>
          <w:rFonts w:ascii="Arial" w:cs="Arial" w:eastAsia="Arial" w:hAnsi="Arial"/>
          <w:sz w:val="12"/>
          <w:szCs w:val="12"/>
          <w:b w:val="1"/>
          <w:bCs w:val="1"/>
          <w:color w:val="auto"/>
        </w:rPr>
        <w:t xml:space="preserve"> </w:t>
      </w:r>
      <w:r>
        <w:rPr>
          <w:rFonts w:ascii="Arial" w:cs="Arial" w:eastAsia="Arial" w:hAnsi="Arial"/>
          <w:sz w:val="12"/>
          <w:szCs w:val="12"/>
          <w:color w:val="auto"/>
        </w:rPr>
        <w:t>structures in complex with specific new ligands to determine their effects on conformation. This is well established through robust crystallography platforms for soluble drug targets. Cryo-EM has helped accelerate the membrane protein field, but the methods still require substantial expertise and execution.</w:t>
      </w:r>
    </w:p>
    <w:p>
      <w:pPr>
        <w:spacing w:after="0" w:line="235" w:lineRule="exact"/>
        <w:rPr>
          <w:sz w:val="20"/>
          <w:szCs w:val="20"/>
          <w:color w:val="auto"/>
        </w:rPr>
      </w:pPr>
    </w:p>
    <w:p>
      <w:pPr>
        <w:ind w:left="1560" w:right="1639"/>
        <w:spacing w:after="0" w:line="297" w:lineRule="auto"/>
        <w:rPr>
          <w:sz w:val="20"/>
          <w:szCs w:val="20"/>
          <w:color w:val="auto"/>
        </w:rPr>
      </w:pPr>
      <w:r>
        <w:rPr>
          <w:rFonts w:ascii="Arial" w:cs="Arial" w:eastAsia="Arial" w:hAnsi="Arial"/>
          <w:sz w:val="12"/>
          <w:szCs w:val="12"/>
          <w:color w:val="auto"/>
        </w:rPr>
        <w:t>Drug discovery approaches targeting GPCRs have evolved from traditional approaches including high throughput screening to rational design for enhanced activity, tailor-made signaling response, and improved selectivity, which leads to improved safety and tolerability profiles.</w:t>
      </w:r>
    </w:p>
    <w:p>
      <w:pPr>
        <w:spacing w:after="0" w:line="116"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Our Platform and Approach</w:t>
      </w:r>
    </w:p>
    <w:p>
      <w:pPr>
        <w:spacing w:after="0" w:line="46" w:lineRule="exact"/>
        <w:rPr>
          <w:sz w:val="20"/>
          <w:szCs w:val="20"/>
          <w:color w:val="auto"/>
        </w:rPr>
      </w:pPr>
    </w:p>
    <w:p>
      <w:pPr>
        <w:ind w:left="1560" w:right="1659"/>
        <w:spacing w:after="0" w:line="297" w:lineRule="auto"/>
        <w:rPr>
          <w:sz w:val="20"/>
          <w:szCs w:val="20"/>
          <w:color w:val="auto"/>
        </w:rPr>
      </w:pPr>
      <w:r>
        <w:rPr>
          <w:rFonts w:ascii="Arial" w:cs="Arial" w:eastAsia="Arial" w:hAnsi="Arial"/>
          <w:sz w:val="12"/>
          <w:szCs w:val="12"/>
          <w:color w:val="auto"/>
        </w:rPr>
        <w:t>Our platform is based on techniques that our founders have been evolving for over 25 years, which have enabled them to deliver multiple marketed medicines. Our approach enables us to generate small molecule product candidates that are designed to overcome the historical limitations of GPCR drug development.</w:t>
      </w:r>
    </w:p>
    <w:p>
      <w:pPr>
        <w:spacing w:after="0" w:line="68" w:lineRule="exact"/>
        <w:rPr>
          <w:sz w:val="20"/>
          <w:szCs w:val="20"/>
          <w:color w:val="auto"/>
        </w:rPr>
      </w:pPr>
    </w:p>
    <w:p>
      <w:pPr>
        <w:ind w:left="1560" w:right="1599"/>
        <w:spacing w:after="0" w:line="290" w:lineRule="auto"/>
        <w:rPr>
          <w:sz w:val="20"/>
          <w:szCs w:val="20"/>
          <w:color w:val="auto"/>
        </w:rPr>
      </w:pPr>
      <w:r>
        <w:rPr>
          <w:rFonts w:ascii="Arial" w:cs="Arial" w:eastAsia="Arial" w:hAnsi="Arial"/>
          <w:sz w:val="12"/>
          <w:szCs w:val="12"/>
          <w:color w:val="auto"/>
        </w:rPr>
        <w:t>Our insights and capabilities enable us to visualize the three-dimensional protein structures of the target and the ligands. We believe this visualization combined with the computational chemistry capabilities of Schrödinger gives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spacing w:after="0" w:line="73" w:lineRule="exact"/>
        <w:rPr>
          <w:sz w:val="20"/>
          <w:szCs w:val="20"/>
          <w:color w:val="auto"/>
        </w:rPr>
      </w:pPr>
    </w:p>
    <w:p>
      <w:pPr>
        <w:ind w:left="1560" w:right="1919"/>
        <w:spacing w:after="0" w:line="325" w:lineRule="auto"/>
        <w:rPr>
          <w:sz w:val="20"/>
          <w:szCs w:val="20"/>
          <w:color w:val="auto"/>
        </w:rPr>
      </w:pPr>
      <w:r>
        <w:rPr>
          <w:rFonts w:ascii="Arial" w:cs="Arial" w:eastAsia="Arial" w:hAnsi="Arial"/>
          <w:sz w:val="12"/>
          <w:szCs w:val="12"/>
          <w:color w:val="auto"/>
        </w:rPr>
        <w:t>As shown below, our technology platform allows us to determine feasibility, optimize the design of, and efficiently generate families of potent and highly selective small molecule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6" w:name="page127"/>
    <w:bookmarkEnd w:id="12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integrated technology platform from target to 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183515</wp:posOffset>
            </wp:positionV>
            <wp:extent cx="3585845" cy="18846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85845" cy="188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60" w:right="1619"/>
        <w:spacing w:after="0" w:line="291" w:lineRule="auto"/>
        <w:rPr>
          <w:sz w:val="20"/>
          <w:szCs w:val="20"/>
          <w:color w:val="auto"/>
        </w:rPr>
      </w:pPr>
      <w:r>
        <w:rPr>
          <w:rFonts w:ascii="Arial" w:cs="Arial" w:eastAsia="Arial" w:hAnsi="Arial"/>
          <w:sz w:val="12"/>
          <w:szCs w:val="12"/>
          <w:color w:val="auto"/>
        </w:rPr>
        <w:t>Oral small molecules have the potential to address the key limitations of biologic and peptide drugs, such as high cost and patient inconvenience, thereby significantly improving patient access. We believe this is particularly important for the most prevalent chronic diseases including those involving the endocrine, cardiovascular, and pulmonary systems. We believe the strengths of our technology platform will enable us to develop oral small molecule drugs that can deliver biologic-like activity and specificity.</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Strategic GPCR Target Prioritization</w:t>
      </w:r>
    </w:p>
    <w:p>
      <w:pPr>
        <w:spacing w:after="0" w:line="44" w:lineRule="exact"/>
        <w:rPr>
          <w:sz w:val="20"/>
          <w:szCs w:val="20"/>
          <w:color w:val="auto"/>
        </w:rPr>
      </w:pPr>
    </w:p>
    <w:p>
      <w:pPr>
        <w:ind w:left="1560" w:right="1799"/>
        <w:spacing w:after="0" w:line="305" w:lineRule="auto"/>
        <w:rPr>
          <w:sz w:val="20"/>
          <w:szCs w:val="20"/>
          <w:color w:val="auto"/>
        </w:rPr>
      </w:pPr>
      <w:r>
        <w:rPr>
          <w:rFonts w:ascii="Arial" w:cs="Arial" w:eastAsia="Arial" w:hAnsi="Arial"/>
          <w:sz w:val="12"/>
          <w:szCs w:val="12"/>
          <w:color w:val="auto"/>
        </w:rPr>
        <w:t>We start with target prioritization by focusing on validated GPCR targets that do not have attractive small molecule solutions. We then prioritize by assessing the feasibility of a small molecule solution for these targets and market opportunities of their respective target indication.</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Expertise in GPCR Structure-Based Drug Discovery</w:t>
      </w:r>
    </w:p>
    <w:p>
      <w:pPr>
        <w:spacing w:after="0" w:line="44" w:lineRule="exact"/>
        <w:rPr>
          <w:sz w:val="20"/>
          <w:szCs w:val="20"/>
          <w:color w:val="auto"/>
        </w:rPr>
      </w:pPr>
    </w:p>
    <w:p>
      <w:pPr>
        <w:ind w:left="1560" w:right="1599"/>
        <w:spacing w:after="0" w:line="287" w:lineRule="auto"/>
        <w:rPr>
          <w:sz w:val="20"/>
          <w:szCs w:val="20"/>
          <w:color w:val="auto"/>
        </w:rPr>
      </w:pPr>
      <w:r>
        <w:rPr>
          <w:rFonts w:ascii="Arial" w:cs="Arial" w:eastAsia="Arial" w:hAnsi="Arial"/>
          <w:sz w:val="12"/>
          <w:szCs w:val="12"/>
          <w:color w:val="auto"/>
        </w:rPr>
        <w:t>GPCRs are difficult to characterize structurally because they are composed of seven transmembrane domains, have low expression, and are unstable outside of the cell membrane environment. While structure-based approaches have been utilized for decades in soluble protein drug discovery, recent breakthrough advancements in computational chemistry, artificial intelligence, machine learning and electron microscopy are redefining the field of GPCR structure-based drug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7" w:name="page128"/>
    <w:bookmarkEnd w:id="12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Visualization of GPCR Structure and binding site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183515</wp:posOffset>
            </wp:positionV>
            <wp:extent cx="2615565" cy="1927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1556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As shown above, our structure-based technology platform combines direct visualization of protein receptor binding interactions with advanced simulation of molecular motion and signal transduction. Site 1 is considered to be the orthosteric or primary binding site for receptor activation. Site 2 is on the surface of the receptor, often referred to as the allosteric site and may potentially regulate receptor activation signaling. By visualizing and analyzing how different ligands bind to a particular target and specific sites and affect their conformational dynamics, we believe we are able to efficiently convert biologics and peptides into more accessible, patient-accommodating oral small molecules. In addition, we can enhance the pharmaceutic properties of our small molecules with the aim to elicit the desired function while maintaining superior pharmaceutical properties.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Non-biased vs biased GPCR 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183515</wp:posOffset>
            </wp:positionV>
            <wp:extent cx="2983865" cy="12585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83865" cy="125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Additionally, GPCR signaling can follow several pathways and molecules can be designed such that their pharmacology is selected to create “biased signaling” as illustrated above. GPCRs are known to signal not only through G-proteins, but also through β-arrestins, intracellular proteins that “arrest” the signal and stop the receptor from becoming over-stimulated through a receptor internalization mechanism. Using the three-dimensional structures of GPCRs and selection methods, we can potentially design highly selective “biased” molecules that preferentially activate G-protein and not β-arrestin pathways, which could lead to enhanced clinical activity as well as an improved safety profile due to lower dosage requirements.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8" w:name="page129"/>
    <w:bookmarkEnd w:id="12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GPCR Experience</w:t>
      </w:r>
    </w:p>
    <w:p>
      <w:pPr>
        <w:spacing w:after="0" w:line="106" w:lineRule="exact"/>
        <w:rPr>
          <w:sz w:val="20"/>
          <w:szCs w:val="20"/>
          <w:color w:val="auto"/>
        </w:rPr>
      </w:pPr>
    </w:p>
    <w:p>
      <w:pPr>
        <w:ind w:left="1560" w:right="2099"/>
        <w:spacing w:after="0" w:line="269" w:lineRule="auto"/>
        <w:rPr>
          <w:sz w:val="20"/>
          <w:szCs w:val="20"/>
          <w:color w:val="auto"/>
        </w:rPr>
      </w:pPr>
      <w:r>
        <w:rPr>
          <w:rFonts w:ascii="Arial" w:cs="Arial" w:eastAsia="Arial" w:hAnsi="Arial"/>
          <w:sz w:val="12"/>
          <w:szCs w:val="12"/>
          <w:b w:val="1"/>
          <w:bCs w:val="1"/>
          <w:i w:val="1"/>
          <w:iCs w:val="1"/>
          <w:color w:val="auto"/>
        </w:rPr>
        <w:t>Robust and Integrated Medicinal Chemistry to Generate and Optimize Hits on GPCR Targets</w:t>
      </w:r>
    </w:p>
    <w:p>
      <w:pPr>
        <w:spacing w:after="0" w:line="172" w:lineRule="exact"/>
        <w:rPr>
          <w:sz w:val="20"/>
          <w:szCs w:val="20"/>
          <w:color w:val="auto"/>
        </w:rPr>
      </w:pPr>
    </w:p>
    <w:p>
      <w:pPr>
        <w:jc w:val="both"/>
        <w:ind w:left="1560" w:right="1719"/>
        <w:spacing w:after="0" w:line="297" w:lineRule="auto"/>
        <w:rPr>
          <w:sz w:val="20"/>
          <w:szCs w:val="20"/>
          <w:color w:val="auto"/>
        </w:rPr>
      </w:pPr>
      <w:r>
        <w:rPr>
          <w:rFonts w:ascii="Arial" w:cs="Arial" w:eastAsia="Arial" w:hAnsi="Arial"/>
          <w:sz w:val="12"/>
          <w:szCs w:val="12"/>
          <w:color w:val="auto"/>
        </w:rPr>
        <w:t>We have extensive medicinal chemistry know-how on the discovery and development of novel molecules that target GPCRs. When coupled with our deep understanding of GPCR biology, we have the potential to design appropriate chemotypes for each GPCR function as illustrated below.</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Family members with determined structures 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highlighted within the tree, and their binding pockets with the ligand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175895</wp:posOffset>
            </wp:positionV>
            <wp:extent cx="3364865" cy="1872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4865" cy="187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Four character code at end of each image is Protein Data Bank ID.</w:t>
      </w:r>
    </w:p>
    <w:p>
      <w:pPr>
        <w:spacing w:after="0" w:line="115" w:lineRule="exact"/>
        <w:rPr>
          <w:sz w:val="20"/>
          <w:szCs w:val="20"/>
          <w:color w:val="auto"/>
        </w:rPr>
      </w:pPr>
    </w:p>
    <w:p>
      <w:pPr>
        <w:ind w:left="1560" w:right="1859"/>
        <w:spacing w:after="0" w:line="304" w:lineRule="auto"/>
        <w:rPr>
          <w:sz w:val="20"/>
          <w:szCs w:val="20"/>
          <w:color w:val="auto"/>
        </w:rPr>
      </w:pPr>
      <w:r>
        <w:rPr>
          <w:rFonts w:ascii="Arial" w:cs="Arial" w:eastAsia="Arial" w:hAnsi="Arial"/>
          <w:sz w:val="12"/>
          <w:szCs w:val="12"/>
          <w:color w:val="auto"/>
        </w:rPr>
        <w:t>Further optimization of compounds powered by our excellence in medicinal chemistry lead us to identify potent and selective oral small molecule product candidates.</w:t>
      </w:r>
    </w:p>
    <w:p>
      <w:pPr>
        <w:spacing w:after="0" w:line="1" w:lineRule="exact"/>
        <w:rPr>
          <w:sz w:val="20"/>
          <w:szCs w:val="20"/>
          <w:color w:val="auto"/>
        </w:rPr>
      </w:pPr>
    </w:p>
    <w:p>
      <w:pPr>
        <w:ind w:left="1560" w:right="2059"/>
        <w:spacing w:after="0" w:line="292" w:lineRule="auto"/>
        <w:rPr>
          <w:sz w:val="20"/>
          <w:szCs w:val="20"/>
          <w:color w:val="auto"/>
        </w:rPr>
      </w:pPr>
      <w:r>
        <w:rPr>
          <w:rFonts w:ascii="Arial" w:cs="Arial" w:eastAsia="Arial" w:hAnsi="Arial"/>
          <w:sz w:val="12"/>
          <w:szCs w:val="12"/>
          <w:b w:val="1"/>
          <w:bCs w:val="1"/>
          <w:i w:val="1"/>
          <w:iCs w:val="1"/>
          <w:color w:val="auto"/>
        </w:rPr>
        <w:t>Partnership with Schrödinger Leveraging its Cutting-Edge Computational Chemistry Capability</w:t>
      </w:r>
    </w:p>
    <w:p>
      <w:pPr>
        <w:spacing w:after="0" w:line="1" w:lineRule="exact"/>
        <w:rPr>
          <w:sz w:val="20"/>
          <w:szCs w:val="20"/>
          <w:color w:val="auto"/>
        </w:rPr>
      </w:pPr>
    </w:p>
    <w:p>
      <w:pPr>
        <w:ind w:left="1560" w:right="1579"/>
        <w:spacing w:after="0" w:line="284" w:lineRule="auto"/>
        <w:rPr>
          <w:sz w:val="20"/>
          <w:szCs w:val="20"/>
          <w:color w:val="auto"/>
        </w:rPr>
      </w:pPr>
      <w:r>
        <w:rPr>
          <w:rFonts w:ascii="Arial" w:cs="Arial" w:eastAsia="Arial" w:hAnsi="Arial"/>
          <w:sz w:val="12"/>
          <w:szCs w:val="12"/>
          <w:color w:val="auto"/>
        </w:rPr>
        <w:t xml:space="preserve">We have a collaboration with Schrödinger on the iteration and optimization of GPCR lead compounds using various next-generation physics-based computational technologies. Schrödinger is a scientific leader in chemical simulation, accurate physics-based methods, which includes among many technologies, Free Energy Perturbation, or FEP, and in silico drug discovery. Its computational platforms integrate predictive physics-based methods with machine learning to evaluate billions of compounds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achieving experimental accuracy on properties such as binding affinity and solubility. Through this iterative process, we can accelerate evaluation and optimization of molecules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ahead of synthesis and assay, and then further optimize them through additional cycles of computation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29" w:name="page130"/>
    <w:bookmarkEnd w:id="12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integrated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53975</wp:posOffset>
            </wp:positionV>
            <wp:extent cx="3204845" cy="2063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4845" cy="206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560" w:right="1639"/>
        <w:spacing w:after="0" w:line="293" w:lineRule="auto"/>
        <w:rPr>
          <w:sz w:val="20"/>
          <w:szCs w:val="20"/>
          <w:color w:val="auto"/>
        </w:rPr>
      </w:pPr>
      <w:r>
        <w:rPr>
          <w:rFonts w:ascii="Arial" w:cs="Arial" w:eastAsia="Arial" w:hAnsi="Arial"/>
          <w:sz w:val="12"/>
          <w:szCs w:val="12"/>
          <w:color w:val="auto"/>
        </w:rPr>
        <w:t>As shown above, our collaboration with Schrödinger in our computational and chemistry module enables us to accelerate our lead optimization drug discovery process and reduce development costs. In our partnership with Schrödinger on GPCR drug discovery, we retain the full product rights on the compounds under development.</w:t>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Safety Assays</w:t>
      </w:r>
    </w:p>
    <w:p>
      <w:pPr>
        <w:spacing w:after="0" w:line="34"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We have proactively used cell and animal-based safety assays to better screen out unwanted side effects, such as liver, cardiovascular and central nervous system toxicity at the initial stages of lead optimization, and we have designed molecules to help minimize safety risks at every step. Our in-depth understanding of GPCR signaling pathway provide us insights to design biased molecules when necessary to mitigate any unwanted liabilities while maintaining the desired activities.</w:t>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Other Proprietary In-House Development Tools for Drug Synthesis and Screening</w:t>
      </w:r>
    </w:p>
    <w:p>
      <w:pPr>
        <w:spacing w:after="0" w:line="44" w:lineRule="exact"/>
        <w:rPr>
          <w:sz w:val="20"/>
          <w:szCs w:val="20"/>
          <w:color w:val="auto"/>
        </w:rPr>
      </w:pPr>
    </w:p>
    <w:p>
      <w:pPr>
        <w:ind w:left="1560" w:right="2039"/>
        <w:spacing w:after="0" w:line="308" w:lineRule="auto"/>
        <w:rPr>
          <w:sz w:val="20"/>
          <w:szCs w:val="20"/>
          <w:color w:val="auto"/>
        </w:rPr>
      </w:pPr>
      <w:r>
        <w:rPr>
          <w:rFonts w:ascii="Arial" w:cs="Arial" w:eastAsia="Arial" w:hAnsi="Arial"/>
          <w:sz w:val="12"/>
          <w:szCs w:val="12"/>
          <w:color w:val="auto"/>
        </w:rPr>
        <w:t>Basecamp Bio focuses specifically on technology development and early discovery and continues to innovate new methods, particularly in hit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0" w:name="page131"/>
    <w:bookmarkEnd w:id="13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Basecamp Bio early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183515</wp:posOffset>
            </wp:positionV>
            <wp:extent cx="3358515" cy="21056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58515" cy="210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60" w:right="1659"/>
        <w:spacing w:after="0" w:line="271" w:lineRule="auto"/>
        <w:rPr>
          <w:sz w:val="20"/>
          <w:szCs w:val="20"/>
          <w:color w:val="auto"/>
        </w:rPr>
      </w:pPr>
      <w:r>
        <w:rPr>
          <w:rFonts w:ascii="Arial" w:cs="Arial" w:eastAsia="Arial" w:hAnsi="Arial"/>
          <w:sz w:val="12"/>
          <w:szCs w:val="12"/>
          <w:color w:val="auto"/>
        </w:rPr>
        <w:t>In addition to our robust iterative structure-based drug discovery platform shown above, Basecamp Bio is optimizing proprietary in-house drug discovery tools including DNA-Encoded Library technology and Affinity Mass Spectrometry technology to enable the synthesis and screening of vast numbers of small molecule product candidates at a scale that is not possible to achieve by traditional methods.</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Our Lead GPCR Programs</w:t>
      </w:r>
    </w:p>
    <w:p>
      <w:pPr>
        <w:spacing w:after="0" w:line="36" w:lineRule="exact"/>
        <w:rPr>
          <w:sz w:val="20"/>
          <w:szCs w:val="20"/>
          <w:color w:val="auto"/>
        </w:rPr>
      </w:pPr>
    </w:p>
    <w:p>
      <w:pPr>
        <w:ind w:left="1560" w:right="1759"/>
        <w:spacing w:after="0" w:line="271" w:lineRule="auto"/>
        <w:rPr>
          <w:sz w:val="20"/>
          <w:szCs w:val="20"/>
          <w:color w:val="auto"/>
        </w:rPr>
      </w:pPr>
      <w:r>
        <w:rPr>
          <w:rFonts w:ascii="Arial" w:cs="Arial" w:eastAsia="Arial" w:hAnsi="Arial"/>
          <w:sz w:val="12"/>
          <w:szCs w:val="12"/>
          <w:color w:val="auto"/>
        </w:rPr>
        <w:t>By leveraging our unique platform capabilities, we are building a pipeline of oral small molecule product candidates designed to have patient impact and broad commercial opportunity in therapeutic areas traditionally dominated by biologics and peptide medicines. We are initially focusing on chronic metabolic, cardiovascular, and pulmonary diseases with unmet medical need.</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Our GLP-1R Focused Franchise for Metabolic Disorders</w:t>
      </w:r>
    </w:p>
    <w:p>
      <w:pPr>
        <w:spacing w:after="0" w:line="34"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To unlock the full potential of our drug discovery platform across a broad range of metabolic indications, we intend to build out our franchise approach for GLP-1R. Our franchise approach involves developing next generation GLP-1R candidates, with each exhibiting customized properties to achieve additional benefit. Our lead GLP-1R product candidate, GSBR-1290, has the potential to be a differentiated treatment for T2DM and obesity based on preclinical data.</w:t>
      </w:r>
    </w:p>
    <w:p>
      <w:pPr>
        <w:spacing w:after="0" w:line="76"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GSBR-1290 is an oral and biased agonist of the GLP-1R, a validated GPCR drug target involved in a variety of metabolic conditions. We completed a Phase 1 SAD study for GSBR-1290 in healthy volunteers in September 2022. We initiated the Phase 1b MAD study in January 2023 and plan to submit a protocol amendment to the FDA to transition to a Phase 2a proof-of-concept study in T2DM and obesity with the expected intiation in the second half of 2023. Based on our preclinical data, we believe that GSBR-1290 and our next-generation product candidates have the potential to have highly differentiated profiles versus currently approved therapies and those in development.</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Diabetes Disease Background</w:t>
      </w:r>
    </w:p>
    <w:p>
      <w:pPr>
        <w:spacing w:after="0" w:line="34"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Diabetes mellitus, or DM, is an endocrine related disorder of glucose regulation with subsequent hyperglycemia, or high blood sugar, which develops following pancreatic β-cell destruction or dysfunction resulting in severe loss of insulin production, also known as type 1 diabetes, or β-cell dysfunction and loss of insulin sensitivity, also known as T2DM. T2DM is more common in adults and accounts for around 90% of all diabetes cases. In T2DM, the loss of insulin sensitivity is often preceded by being overweight or obese, and manifests along with</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1" w:name="page132"/>
    <w:bookmarkEnd w:id="13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hypertension and dyslipidemia. Regardless of etiology, once hyperglycemia develops, patients with diabetes share a common disease course characterized by atherosclerotic diseases such as coronary heart disease, stroke, peripheral vascular disease and/or, microvascular diseases such as nephropathy, retinopathy, and neuropathy. Additionally, hyperglycemia is associated with metabolic dysfunction, chronic inflammation, and an increase in infections.</w:t>
      </w:r>
    </w:p>
    <w:p>
      <w:pPr>
        <w:spacing w:after="0" w:line="76"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According to the 2021 International Diabetes Federation Diabetes Atlas, more than one in ten adults are now living with diabetes globally. The estimated prevalence of diabetes in adults aged 20 to 79 years has more than tripled since 2000, from an estimated 151 million (4.6% of the global population in this age group at the time) to 537 million (10.5%) today. If trends continue, the number will jump to a staggering 783 million</w:t>
      </w:r>
    </w:p>
    <w:p>
      <w:pPr>
        <w:spacing w:after="0" w:line="1" w:lineRule="exact"/>
        <w:rPr>
          <w:sz w:val="20"/>
          <w:szCs w:val="20"/>
          <w:color w:val="auto"/>
        </w:rPr>
      </w:pPr>
    </w:p>
    <w:p>
      <w:pPr>
        <w:ind w:left="1560" w:right="1879"/>
        <w:spacing w:after="0" w:line="257" w:lineRule="auto"/>
        <w:rPr>
          <w:sz w:val="20"/>
          <w:szCs w:val="20"/>
          <w:color w:val="auto"/>
        </w:rPr>
      </w:pPr>
      <w:r>
        <w:rPr>
          <w:rFonts w:ascii="Arial" w:cs="Arial" w:eastAsia="Arial" w:hAnsi="Arial"/>
          <w:sz w:val="12"/>
          <w:szCs w:val="12"/>
          <w:color w:val="auto"/>
        </w:rPr>
        <w:t>(12.2%) by 2045. The number of adults with diabetes in the United States reached 32.2 million in 2021, while China has the largest numbers of adults with diabetes at 140.9 million. In 2021, approximately</w:t>
      </w:r>
    </w:p>
    <w:p>
      <w:pPr>
        <w:ind w:left="1560" w:right="1699"/>
        <w:spacing w:after="0" w:line="264" w:lineRule="auto"/>
        <w:rPr>
          <w:sz w:val="20"/>
          <w:szCs w:val="20"/>
          <w:color w:val="auto"/>
        </w:rPr>
      </w:pPr>
      <w:r>
        <w:rPr>
          <w:rFonts w:ascii="Arial" w:cs="Arial" w:eastAsia="Arial" w:hAnsi="Arial"/>
          <w:sz w:val="12"/>
          <w:szCs w:val="12"/>
          <w:color w:val="auto"/>
        </w:rPr>
        <w:t>6.7 million adults aged 20 to 79 are estimated to have died as a result of diabetes or its complications. According to American Diabetes Association, or ADA, the total estimated cost of diagnosed diabetes in the United States increased to $327 billion in 2017, which included $237 billion in direct medical costs and $90 billion in reduced productivity.</w:t>
      </w:r>
    </w:p>
    <w:p>
      <w:pPr>
        <w:spacing w:after="0" w:line="77" w:lineRule="exact"/>
        <w:rPr>
          <w:sz w:val="20"/>
          <w:szCs w:val="20"/>
          <w:color w:val="auto"/>
        </w:rPr>
      </w:pPr>
    </w:p>
    <w:p>
      <w:pPr>
        <w:ind w:left="1560" w:right="1919"/>
        <w:spacing w:after="0" w:line="264" w:lineRule="auto"/>
        <w:rPr>
          <w:sz w:val="20"/>
          <w:szCs w:val="20"/>
          <w:color w:val="auto"/>
        </w:rPr>
      </w:pPr>
      <w:r>
        <w:rPr>
          <w:rFonts w:ascii="Arial" w:cs="Arial" w:eastAsia="Arial" w:hAnsi="Arial"/>
          <w:sz w:val="12"/>
          <w:szCs w:val="12"/>
          <w:color w:val="auto"/>
        </w:rPr>
        <w:t>In newly diagnosed T2DM patients, treatment is focused on improving modifiable risk factors such as obesity, low physical activity and high caloric diet through patient education that includes instruction on maintaining a healthy lifestyle including nutritional counseling, avoiding excessive calories and rapidly absorbed carbohydrates, and physical exercise. Patients who are unable to achieve glycemic control through weight loss and/or lifestyle modifications should be started on single or combination glucose-lowering medications to lower their glycemic burden and reduce the risk of cardiovascular and other complications.</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Obesity Disease Background</w:t>
      </w:r>
    </w:p>
    <w:p>
      <w:pPr>
        <w:spacing w:after="0" w:line="27" w:lineRule="exact"/>
        <w:rPr>
          <w:sz w:val="20"/>
          <w:szCs w:val="20"/>
          <w:color w:val="auto"/>
        </w:rPr>
      </w:pPr>
    </w:p>
    <w:p>
      <w:pPr>
        <w:jc w:val="both"/>
        <w:ind w:left="1560" w:right="1659"/>
        <w:spacing w:after="0" w:line="190" w:lineRule="auto"/>
        <w:rPr>
          <w:sz w:val="20"/>
          <w:szCs w:val="20"/>
          <w:color w:val="auto"/>
        </w:rPr>
      </w:pPr>
      <w:r>
        <w:rPr>
          <w:rFonts w:ascii="Arial" w:cs="Arial" w:eastAsia="Arial" w:hAnsi="Arial"/>
          <w:sz w:val="12"/>
          <w:szCs w:val="12"/>
          <w:color w:val="auto"/>
        </w:rPr>
        <w:t xml:space="preserve">Obesity, defined as a body mass index, or BMI, of </w:t>
      </w:r>
      <w:r>
        <w:rPr>
          <w:rFonts w:ascii="Arial" w:cs="Arial" w:eastAsia="Arial" w:hAnsi="Arial"/>
          <w:sz w:val="12"/>
          <w:szCs w:val="12"/>
          <w:u w:val="single" w:color="auto"/>
          <w:color w:val="auto"/>
        </w:rPr>
        <w:t>&gt;</w:t>
      </w:r>
      <w:r>
        <w:rPr>
          <w:rFonts w:ascii="Arial" w:cs="Arial" w:eastAsia="Arial" w:hAnsi="Arial"/>
          <w:sz w:val="12"/>
          <w:szCs w:val="12"/>
          <w:color w:val="auto"/>
        </w:rPr>
        <w:t xml:space="preserve"> 30 kg/m</w:t>
      </w:r>
      <w:r>
        <w:rPr>
          <w:rFonts w:ascii="Arial" w:cs="Arial" w:eastAsia="Arial" w:hAnsi="Arial"/>
          <w:sz w:val="18"/>
          <w:szCs w:val="18"/>
          <w:color w:val="auto"/>
          <w:vertAlign w:val="superscript"/>
        </w:rPr>
        <w:t>2</w:t>
      </w:r>
      <w:r>
        <w:rPr>
          <w:rFonts w:ascii="Arial" w:cs="Arial" w:eastAsia="Arial" w:hAnsi="Arial"/>
          <w:sz w:val="12"/>
          <w:szCs w:val="12"/>
          <w:color w:val="auto"/>
        </w:rPr>
        <w:t>, is a major independent risk factor for T2DM. Approximately 90% of T2DM patients are considered either overweight with a BMI between 25.0 kg/m</w:t>
      </w:r>
      <w:r>
        <w:rPr>
          <w:rFonts w:ascii="Arial" w:cs="Arial" w:eastAsia="Arial" w:hAnsi="Arial"/>
          <w:sz w:val="18"/>
          <w:szCs w:val="18"/>
          <w:color w:val="auto"/>
          <w:vertAlign w:val="superscript"/>
        </w:rPr>
        <w:t>2</w:t>
      </w:r>
      <w:r>
        <w:rPr>
          <w:rFonts w:ascii="Arial" w:cs="Arial" w:eastAsia="Arial" w:hAnsi="Arial"/>
          <w:sz w:val="12"/>
          <w:szCs w:val="12"/>
          <w:color w:val="auto"/>
        </w:rPr>
        <w:t xml:space="preserve"> and 29.9 kg/m</w:t>
      </w:r>
      <w:r>
        <w:rPr>
          <w:rFonts w:ascii="Arial" w:cs="Arial" w:eastAsia="Arial" w:hAnsi="Arial"/>
          <w:sz w:val="18"/>
          <w:szCs w:val="18"/>
          <w:color w:val="auto"/>
          <w:vertAlign w:val="superscript"/>
        </w:rPr>
        <w:t>2</w:t>
      </w:r>
      <w:r>
        <w:rPr>
          <w:rFonts w:ascii="Arial" w:cs="Arial" w:eastAsia="Arial" w:hAnsi="Arial"/>
          <w:sz w:val="12"/>
          <w:szCs w:val="12"/>
          <w:color w:val="auto"/>
        </w:rPr>
        <w:t>, or obese with a BMI of 30 kg/m</w:t>
      </w:r>
      <w:r>
        <w:rPr>
          <w:rFonts w:ascii="Arial" w:cs="Arial" w:eastAsia="Arial" w:hAnsi="Arial"/>
          <w:sz w:val="18"/>
          <w:szCs w:val="18"/>
          <w:color w:val="auto"/>
          <w:vertAlign w:val="superscript"/>
        </w:rPr>
        <w:t>2</w:t>
      </w:r>
      <w:r>
        <w:rPr>
          <w:rFonts w:ascii="Arial" w:cs="Arial" w:eastAsia="Arial" w:hAnsi="Arial"/>
          <w:sz w:val="12"/>
          <w:szCs w:val="12"/>
          <w:color w:val="auto"/>
        </w:rPr>
        <w:t xml:space="preserve"> or greater. Worldwide obesity has nearly tripled between 1975</w:t>
      </w:r>
    </w:p>
    <w:p>
      <w:pPr>
        <w:spacing w:after="0" w:line="1"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and 2016. As of 2020, 1.9 billion (39%) adults were overweight, including over 764 million (15%) adults who were obese. In men, being slightly overweight increased diabetes risk seven-fold and in women, being slightly overweight increased diabetes risk twelve-fold. Being obese increased the risk to 60-fold.</w:t>
      </w:r>
    </w:p>
    <w:p>
      <w:pPr>
        <w:spacing w:after="0" w:line="79" w:lineRule="exact"/>
        <w:rPr>
          <w:sz w:val="20"/>
          <w:szCs w:val="20"/>
          <w:color w:val="auto"/>
        </w:rPr>
      </w:pPr>
    </w:p>
    <w:p>
      <w:pPr>
        <w:ind w:left="1560" w:right="1619"/>
        <w:spacing w:after="0" w:line="265" w:lineRule="auto"/>
        <w:rPr>
          <w:sz w:val="20"/>
          <w:szCs w:val="20"/>
          <w:color w:val="auto"/>
        </w:rPr>
      </w:pPr>
      <w:r>
        <w:rPr>
          <w:rFonts w:ascii="Arial" w:cs="Arial" w:eastAsia="Arial" w:hAnsi="Arial"/>
          <w:sz w:val="12"/>
          <w:szCs w:val="12"/>
          <w:color w:val="auto"/>
        </w:rPr>
        <w:t>Obesity affects nearly one third of all adults in the United States and is associated with a range of comorbidities, such as T2DM, cardiovascular disease, obstructive sleep apnea, and cancer. Importantly, even modest weight reduction, on the order of five to ten percent, can significantly reduce comorbidities and improve health-related outcomes and has been recently recommended by the major scientific societies (European Association of the Study of Diabetes, or EASD, and ADA). Obesity therefore represents an immense commercial opportunity with very few approved therapies on the market. The GLP-1R agonist semaglutide, approved for use in T2DM, has also been approved for weight management for which it is marketed under the brand name Wegovy, which is estimated to reach peak sales of  $6.7 billion in 2026.</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Relationship Between T2DM and Obesity</w:t>
      </w:r>
    </w:p>
    <w:p>
      <w:pPr>
        <w:spacing w:after="0" w:line="34" w:lineRule="exact"/>
        <w:rPr>
          <w:sz w:val="20"/>
          <w:szCs w:val="20"/>
          <w:color w:val="auto"/>
        </w:rPr>
      </w:pPr>
    </w:p>
    <w:p>
      <w:pPr>
        <w:ind w:left="1560" w:right="1599"/>
        <w:spacing w:after="0" w:line="270" w:lineRule="auto"/>
        <w:rPr>
          <w:sz w:val="20"/>
          <w:szCs w:val="20"/>
          <w:color w:val="auto"/>
        </w:rPr>
      </w:pPr>
      <w:r>
        <w:rPr>
          <w:rFonts w:ascii="Arial" w:cs="Arial" w:eastAsia="Arial" w:hAnsi="Arial"/>
          <w:sz w:val="12"/>
          <w:szCs w:val="12"/>
          <w:color w:val="auto"/>
        </w:rPr>
        <w:t>T2DM and obesity are not independent conditions, as the majority of patients with T2DM are obese. Observed increases in the prevalence of T2DM are related to the increasing prevalence of obesity and multiple mechanisms have been proposed through which they may be linked pathophysiologically. Upper body and visceral fat are associated with T2DM, metabolic syndrome and cardiovascular disease. Obesity is a major contributor to poor metabolic control in patients with T2DM.</w:t>
      </w:r>
    </w:p>
    <w:p>
      <w:pPr>
        <w:spacing w:after="0" w:line="75" w:lineRule="exact"/>
        <w:rPr>
          <w:sz w:val="20"/>
          <w:szCs w:val="20"/>
          <w:color w:val="auto"/>
        </w:rPr>
      </w:pPr>
    </w:p>
    <w:p>
      <w:pPr>
        <w:ind w:left="1560" w:right="1579"/>
        <w:spacing w:after="0" w:line="264" w:lineRule="auto"/>
        <w:rPr>
          <w:sz w:val="20"/>
          <w:szCs w:val="20"/>
          <w:color w:val="auto"/>
        </w:rPr>
      </w:pPr>
      <w:r>
        <w:rPr>
          <w:rFonts w:ascii="Arial" w:cs="Arial" w:eastAsia="Arial" w:hAnsi="Arial"/>
          <w:sz w:val="12"/>
          <w:szCs w:val="12"/>
          <w:color w:val="auto"/>
        </w:rPr>
        <w:t>Increasingly, weight reduction is seen as an important goal of therapy for patients with T2DM. Weight loss in the first year of treatment of T2DM has been associated with an increase in life expectancy. According to the ADA Standards of Medical Care in Diabetes—2022, management of obesity is an important factor in the treatment of diabetes since even a small degree of weight loss can improve control of blood sugar levels, resulting in a decreased need for glucose-lowering medications. Given this information, a therapy that can both lower blood glucose and help with weight management in T2DM could have near-term benefits in glycemic control and longer-term benefits in increased insulin sensitivity and reduction of cardiovascular risk.</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Current Treatments for T2DM</w:t>
      </w:r>
    </w:p>
    <w:p>
      <w:pPr>
        <w:spacing w:after="0" w:line="34"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First-line treatment for patients with T2DM involves lifestyle modifications and metformin. If glycemic control remains inadequate, an additional oral glucose lowering medication should be added. Options include sodium-glucose transport protein 2 inhibitors, dipeptidyl peptidase-4 inhibitors, and GLP-1R agonists. Current treatment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2" w:name="page133"/>
    <w:bookmarkEnd w:id="13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59"/>
        <w:spacing w:after="0" w:line="286" w:lineRule="auto"/>
        <w:rPr>
          <w:sz w:val="20"/>
          <w:szCs w:val="20"/>
          <w:color w:val="auto"/>
        </w:rPr>
      </w:pPr>
      <w:r>
        <w:rPr>
          <w:rFonts w:ascii="Arial" w:cs="Arial" w:eastAsia="Arial" w:hAnsi="Arial"/>
          <w:sz w:val="12"/>
          <w:szCs w:val="12"/>
          <w:color w:val="auto"/>
        </w:rPr>
        <w:t>algorithms suggest that GLP-1R agonists should be preferentially used after metformin failure in patients who are at high risk for, or who have established, atherosclerotic cardiovascular disease. Several scientific societies, including the EASD and ADA, recommend GLP-1R agonists as first line therapy in patients with established atherosclerotic cardiovascular disease or in those at high risk of developing disease. According to Global Data, Eli Lilly and Company, or Eli Lilly, Novo Nordisk, Merck and Sanofi S.A., or Sanofi, have captured significant market share in the approximately $46.6 billion market for glucose-lowering agents in 2021, which is projected to grow to $60.5 billion by 2027 as depicted below.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Historical and projected global type-2 diabetes drug sales by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183515</wp:posOffset>
            </wp:positionV>
            <wp:extent cx="2983865" cy="14922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8386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Overview of GLP-1R Signaling Pathway and Target Biology</w:t>
      </w:r>
    </w:p>
    <w:p>
      <w:pPr>
        <w:spacing w:after="0" w:line="44" w:lineRule="exact"/>
        <w:rPr>
          <w:sz w:val="20"/>
          <w:szCs w:val="20"/>
          <w:color w:val="auto"/>
        </w:rPr>
      </w:pPr>
    </w:p>
    <w:p>
      <w:pPr>
        <w:ind w:left="1560" w:right="1579"/>
        <w:spacing w:after="0" w:line="285" w:lineRule="auto"/>
        <w:rPr>
          <w:sz w:val="20"/>
          <w:szCs w:val="20"/>
          <w:color w:val="auto"/>
        </w:rPr>
      </w:pPr>
      <w:r>
        <w:rPr>
          <w:rFonts w:ascii="Arial" w:cs="Arial" w:eastAsia="Arial" w:hAnsi="Arial"/>
          <w:sz w:val="12"/>
          <w:szCs w:val="12"/>
          <w:color w:val="auto"/>
        </w:rPr>
        <w:t>GLP-1 is an incretin peptide secreted in the intestinal tract in response to food intake. GLP-1 stimulates insulin secretion from pancreatic β-cells and inhibits glucagon secretion from pancreatic α-cells. GLP-1 receptors are located on various cell and tissue types including pancreatic β-cells, central and peripheral neurons, cells of the intestinal tract, vascular smooth muscle and endothelial cells, coronary arteries, and the sino-atrial node of the heart. Through actions at these receptors, GLP-1 and GLP-1R agonists have demonstrated widespread therapeutic effects in patients with diabetes, including stimulating insulin secretion and lowering blood glucose levels, slowing gastric emptying, reducing caloric intake, promoting weight loss, improving lipoprotein metabolism, lowering systolic blood pressure, improving complications from arteriosclerotic cardiovascular diseases, and reducing cardiovascular disease morbidity and mortality,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3" w:name="page134"/>
    <w:bookmarkEnd w:id="13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GLP-1R pathway and target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66675</wp:posOffset>
            </wp:positionV>
            <wp:extent cx="2983865" cy="1891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83865" cy="189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 xml:space="preserve">Endogenous GLP-1 is rapidly degraded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by DPP-4, with a half-life of one to two minutes. The development of GLP-1R agonists for the treatment of diabetes and obesity has involved modifications to the GLP-1 peptide and/or conjugation to carrier compounds or matrices that delay degradation after subcutaneous administration.</w:t>
      </w:r>
    </w:p>
    <w:p>
      <w:pPr>
        <w:spacing w:after="0" w:line="73"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The five marketed GLP-1R agonists are synthetic peptides and include liraglutide and semaglutide marketed by Novo Nordisk; dulaglutide marketed by Eli Lilly; exenatide marketed primarily by AstraZeneca plc, or AstraZeneca; and lixisenatide marketed by Sanofi. According to Global Data, these five GLP-1R peptides approved for T2DM and/or obesity collectively generated approximately. $13.2 billion in worldwide sales in 2020, which is projected to reach $36.4 billion by 2026.</w:t>
      </w:r>
    </w:p>
    <w:p>
      <w:pPr>
        <w:spacing w:after="0" w:line="86" w:lineRule="exact"/>
        <w:rPr>
          <w:sz w:val="20"/>
          <w:szCs w:val="20"/>
          <w:color w:val="auto"/>
        </w:rPr>
      </w:pPr>
    </w:p>
    <w:p>
      <w:pPr>
        <w:ind w:left="1560" w:right="1759"/>
        <w:spacing w:after="0" w:line="288" w:lineRule="auto"/>
        <w:rPr>
          <w:sz w:val="20"/>
          <w:szCs w:val="20"/>
          <w:color w:val="auto"/>
        </w:rPr>
      </w:pPr>
      <w:r>
        <w:rPr>
          <w:rFonts w:ascii="Arial" w:cs="Arial" w:eastAsia="Arial" w:hAnsi="Arial"/>
          <w:sz w:val="12"/>
          <w:szCs w:val="12"/>
          <w:color w:val="auto"/>
        </w:rPr>
        <w:t>Rybelsus is an oral formulation of semaglutide co-formulated with sodium N-8-(2-hydroxybenzoyl) amino) caprylate to limit degradation and improve oral absorption. To date, there are no approved oral small molecule therapies targeting this pathway.</w:t>
      </w:r>
    </w:p>
    <w:p>
      <w:pPr>
        <w:spacing w:after="0" w:line="74"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Common side effects of GLP-1R agonists include nausea, vomiting, and diarrhea, which are most pronounced when starting therapy or increasing the dose. Generally, these effects correlate with times of maximum drug concentrations and ameliorate with continued therapy. Typically, slow up-titration to the desired dose can mitigate these side effects. However, once-weekly injectable GLP-1R agonists typically require a long titration period to achieve an optimal dose, potentially delaying therapeutic benefit. Once-daily therapy with an oral small molecule may provide flexibility in titration and allow a combined approach with other oral therapies.</w:t>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The Unmet Medical Need for Improved GLP-1R Therapeutics in Diabetes and Obesity</w:t>
      </w:r>
    </w:p>
    <w:p>
      <w:pPr>
        <w:spacing w:after="0" w:line="44" w:lineRule="exact"/>
        <w:rPr>
          <w:sz w:val="20"/>
          <w:szCs w:val="20"/>
          <w:color w:val="auto"/>
        </w:rPr>
      </w:pPr>
    </w:p>
    <w:p>
      <w:pPr>
        <w:ind w:left="1560" w:right="1899"/>
        <w:spacing w:after="0" w:line="282" w:lineRule="auto"/>
        <w:rPr>
          <w:sz w:val="20"/>
          <w:szCs w:val="20"/>
          <w:color w:val="auto"/>
        </w:rPr>
      </w:pPr>
      <w:r>
        <w:rPr>
          <w:rFonts w:ascii="Arial" w:cs="Arial" w:eastAsia="Arial" w:hAnsi="Arial"/>
          <w:sz w:val="12"/>
          <w:szCs w:val="12"/>
          <w:color w:val="auto"/>
        </w:rPr>
        <w:t>GLP-1R agonists provide multiple beneficial effects in patients with T2DM, including excellent glycemic control with low risk of hypoglycemia, weight loss and protection against cardiovascular and renal complications. However, we believe approved GLP-1R agonists have shortcomings in terms of patient convenience, ease of dosing, and cost.</w:t>
      </w:r>
    </w:p>
    <w:p>
      <w:pPr>
        <w:spacing w:after="0" w:line="77" w:lineRule="exact"/>
        <w:rPr>
          <w:sz w:val="20"/>
          <w:szCs w:val="20"/>
          <w:color w:val="auto"/>
        </w:rPr>
      </w:pPr>
    </w:p>
    <w:p>
      <w:pPr>
        <w:ind w:left="1560" w:right="1659"/>
        <w:spacing w:after="0" w:line="282" w:lineRule="auto"/>
        <w:rPr>
          <w:sz w:val="20"/>
          <w:szCs w:val="20"/>
          <w:color w:val="auto"/>
        </w:rPr>
      </w:pPr>
      <w:r>
        <w:rPr>
          <w:rFonts w:ascii="Arial" w:cs="Arial" w:eastAsia="Arial" w:hAnsi="Arial"/>
          <w:sz w:val="12"/>
          <w:szCs w:val="12"/>
          <w:color w:val="auto"/>
        </w:rPr>
        <w:t>Injectable peptide GLP-1R agonist peptides require patients to self-inject, require inconvenient refrigerated storage and are costly. In addition, long acting GLP-1R agonists typically require long titration periods to reach an optimal dose for disease management in order to avoid treatment-associated gastrointestinal side effects.</w:t>
      </w:r>
    </w:p>
    <w:p>
      <w:pPr>
        <w:spacing w:after="0" w:line="67" w:lineRule="exact"/>
        <w:rPr>
          <w:sz w:val="20"/>
          <w:szCs w:val="20"/>
          <w:color w:val="auto"/>
        </w:rPr>
      </w:pPr>
    </w:p>
    <w:p>
      <w:pPr>
        <w:ind w:left="1560" w:right="1579"/>
        <w:spacing w:after="0" w:line="282" w:lineRule="auto"/>
        <w:rPr>
          <w:sz w:val="20"/>
          <w:szCs w:val="20"/>
          <w:color w:val="auto"/>
        </w:rPr>
      </w:pPr>
      <w:r>
        <w:rPr>
          <w:rFonts w:ascii="Arial" w:cs="Arial" w:eastAsia="Arial" w:hAnsi="Arial"/>
          <w:sz w:val="12"/>
          <w:szCs w:val="12"/>
          <w:color w:val="auto"/>
        </w:rPr>
        <w:t>Oral semaglutide (Rybelsus), the first approved oral GLP-1R peptide agonist, provides an option for patients who are unable or unwilling to self-administer. However, Rybelsus requires a stringent dosing protocol and dosing with up to four ounces of water with no food or beverage within 30 minutes. Additionally, the product’s absorption enhancer may affect the absorption of other concomitantly administered oral medications.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4" w:name="page135"/>
    <w:bookmarkEnd w:id="13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87" w:lineRule="auto"/>
        <w:rPr>
          <w:sz w:val="20"/>
          <w:szCs w:val="20"/>
          <w:color w:val="auto"/>
        </w:rPr>
      </w:pPr>
      <w:r>
        <w:rPr>
          <w:rFonts w:ascii="Arial" w:cs="Arial" w:eastAsia="Arial" w:hAnsi="Arial"/>
          <w:sz w:val="12"/>
          <w:szCs w:val="12"/>
          <w:color w:val="auto"/>
        </w:rPr>
        <w:t>We believe there is an unmet medical need for orally administered GLP-1R agonists that meet or exceed efficacy and safety parameters of available drugs with less stringent preparation requirements. Such existing constraints include restrictive food or fluid dosing protocols, refrigeration, maintenance of effective concentrations throughout the dosing interval, without interfering with the absorption of concomitant medications and that offer the potential for combination products with other glucose lowering agents or other commonly co-administered therapies.</w:t>
      </w:r>
    </w:p>
    <w:p>
      <w:pPr>
        <w:spacing w:after="0" w:line="83" w:lineRule="exact"/>
        <w:rPr>
          <w:sz w:val="20"/>
          <w:szCs w:val="20"/>
          <w:color w:val="auto"/>
        </w:rPr>
      </w:pPr>
    </w:p>
    <w:p>
      <w:pPr>
        <w:ind w:left="1560" w:right="1579"/>
        <w:spacing w:after="0" w:line="287" w:lineRule="auto"/>
        <w:rPr>
          <w:sz w:val="20"/>
          <w:szCs w:val="20"/>
          <w:color w:val="auto"/>
        </w:rPr>
      </w:pPr>
      <w:r>
        <w:rPr>
          <w:rFonts w:ascii="Arial" w:cs="Arial" w:eastAsia="Arial" w:hAnsi="Arial"/>
          <w:sz w:val="12"/>
          <w:szCs w:val="12"/>
          <w:color w:val="auto"/>
        </w:rPr>
        <w:t>In addition to glycemic control, weight management is increasingly viewed as important to the management of T2DM. Injectable GLP-1R agonists, liraglutide and semaglutide result in weight loss at doses approved for treatment of T2DM, while higher doses of each drug, indicated for chronic weight management, result in greater weight loss. At an appropriate dose, an oral GLP-1R agonist may play a role in managing both blood glucose and weight.</w:t>
      </w:r>
    </w:p>
    <w:p>
      <w:pPr>
        <w:spacing w:after="0" w:line="1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Our Solution: Small Molecule GLP-1R Agonist</w:t>
      </w:r>
    </w:p>
    <w:p>
      <w:pPr>
        <w:spacing w:after="0" w:line="44" w:lineRule="exact"/>
        <w:rPr>
          <w:sz w:val="20"/>
          <w:szCs w:val="20"/>
          <w:color w:val="auto"/>
        </w:rPr>
      </w:pPr>
    </w:p>
    <w:p>
      <w:pPr>
        <w:ind w:left="1560" w:right="1599"/>
        <w:spacing w:after="0" w:line="286" w:lineRule="auto"/>
        <w:rPr>
          <w:sz w:val="20"/>
          <w:szCs w:val="20"/>
          <w:color w:val="auto"/>
        </w:rPr>
      </w:pPr>
      <w:r>
        <w:rPr>
          <w:rFonts w:ascii="Arial" w:cs="Arial" w:eastAsia="Arial" w:hAnsi="Arial"/>
          <w:sz w:val="12"/>
          <w:szCs w:val="12"/>
          <w:color w:val="auto"/>
        </w:rPr>
        <w:t>GLP-1, along with GIPR, comprise the incretin family, peptide hormones secreted into the blood by enteroendocrine cells in the gut, which play a role in glycemic control. We are taking a franchise approach to our GLP-1R programs by developing next generation GLP-1 agonists and potential GIPR modulators. Leveraging the depth of our GLP-1R/GIPR structure platform, proprietary compound library and deep biology and disease insights, we are advancing multiple generations of structurally distinct GLP-1R agonist molecules through lead optimization. Each molecule is designed to have a different tissue penetration profile and other incretin activities in order to maximize the value and/or realize the full potential offered by our in-house platform.</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GSBR-1290</w:t>
      </w:r>
    </w:p>
    <w:p>
      <w:pPr>
        <w:spacing w:after="0" w:line="92"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We are developing GSBR-1290, a biased orally-available small molecule GLP-1R agonist, initially as a treatment for T2DM and obesity. Due to its significant preclinical activity and oral availability, we believe that GSBR-1290 has the potential to be a differentiated treatment with no restrictions on diet or concomitant therapies.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GSBR-1290 analog bound GLP-1R cryo-EM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183515</wp:posOffset>
            </wp:positionV>
            <wp:extent cx="2449830" cy="2050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49830" cy="205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60" w:right="1719"/>
        <w:spacing w:after="0" w:line="282" w:lineRule="auto"/>
        <w:rPr>
          <w:sz w:val="20"/>
          <w:szCs w:val="20"/>
          <w:color w:val="auto"/>
        </w:rPr>
      </w:pPr>
      <w:r>
        <w:rPr>
          <w:rFonts w:ascii="Arial" w:cs="Arial" w:eastAsia="Arial" w:hAnsi="Arial"/>
          <w:sz w:val="12"/>
          <w:szCs w:val="12"/>
          <w:color w:val="auto"/>
        </w:rPr>
        <w:t>GSBR-1290 was designed through our internal structure-based drug discovery platform. As shown above, multiple small molecules bound to GLP-1R structures have been generated to guide iterative chemistry design efforts. GSBR-1290 is also designed to be a biased GPCR agonist, which only activates the G-protein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5" w:name="page136"/>
    <w:bookmarkEnd w:id="13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79"/>
        <w:spacing w:after="0" w:line="291" w:lineRule="auto"/>
        <w:rPr>
          <w:sz w:val="20"/>
          <w:szCs w:val="20"/>
          <w:color w:val="auto"/>
        </w:rPr>
      </w:pPr>
      <w:r>
        <w:rPr>
          <w:rFonts w:ascii="Arial" w:cs="Arial" w:eastAsia="Arial" w:hAnsi="Arial"/>
          <w:sz w:val="12"/>
          <w:szCs w:val="12"/>
          <w:color w:val="auto"/>
        </w:rPr>
        <w:t>pathway without β-arrestin signaling at therapeutic doses, thereby avoiding receptor internalization and de-sensitization. In an intravenous glucose tolerance test, or ivGTT, in NHPs, GSBR-1290 increased glucose-dependent insulin secretion to a similar level achieved by liraglutide, an approved injectable GLP-1R agonist. In a repeat food intake study in NHPs, GSBR-1290 showed a significant decrease in body weight relative to the placebo and surpassed that seen with liraglutide.</w:t>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Preclinical Data, Pharmacology, and Biomarker Data</w:t>
      </w:r>
    </w:p>
    <w:p>
      <w:pPr>
        <w:spacing w:after="0" w:line="92"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In NHP ivGTT studies, glucose was injected five minutes following intravenous administration of either GSBR-1290 (0.05 mg/kg) or liraglutide (0.1 mg/kg). Plasma samples were taken at indicated timepoints to evaluate insulin and glucose levels. GSBR-1290 demonstrated statistically significant decreases in blood glucose concentration via stimulation of insulin secretion in a glucose-dependent manner, similar to liraglutide which was dosed at an equivalent approved human dose.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Robust activity in non-human primate acute ivGTT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107315</wp:posOffset>
            </wp:positionV>
            <wp:extent cx="2983865" cy="908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838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Data were presented as mean ± standard error of the mean, or SEM; one-way ANOVA followed by Dunnett’s multiple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comparisons test. *p&lt;0.05, **p&lt;0.01, ***p&lt;0.001 vs vehicle</w:t>
      </w:r>
    </w:p>
    <w:p>
      <w:pPr>
        <w:spacing w:after="0" w:line="115" w:lineRule="exact"/>
        <w:rPr>
          <w:sz w:val="20"/>
          <w:szCs w:val="20"/>
          <w:color w:val="auto"/>
        </w:rPr>
      </w:pPr>
    </w:p>
    <w:p>
      <w:pPr>
        <w:ind w:left="1560" w:right="1619"/>
        <w:spacing w:after="0" w:line="283" w:lineRule="auto"/>
        <w:rPr>
          <w:sz w:val="20"/>
          <w:szCs w:val="20"/>
          <w:color w:val="auto"/>
        </w:rPr>
      </w:pPr>
      <w:r>
        <w:rPr>
          <w:rFonts w:ascii="Arial" w:cs="Arial" w:eastAsia="Arial" w:hAnsi="Arial"/>
          <w:sz w:val="12"/>
          <w:szCs w:val="12"/>
          <w:color w:val="auto"/>
        </w:rPr>
        <w:t>As shown below, in a seven day repeat oral dosing study in NHPs, GSBR-1290 was evaluated at once-daily oral doses of 2 mg/kg, 6 mg/kg, and 10 mg/kg and compared to placebo and liraglutide. Food intake was measured each day over the first six days of the study and reported as an average of these measurements. ivGTT and body weight were performed before dosing and on the sixth day (body weight) or seventh day (ivGTT) of post-dosing. At all doses of GSBR-1290, glucose reduction was shown to be statistically significantly different versus vehicle and comparable to liraglutide. Similarly, all doses increased insulin secretion significantly except at 6 mg/kg dose, which only achieved statistical p value at 0.055 due to a slightly greater data variability. At 6 mg/kg and 10 mg/kg, a statistically significant reduction of average food intake measured over the first six days of the study compared to vehicle was observed. At 10 mg/kg of GSBR-1290, the average food intake from Day 1 to Day 6 was only 59% relative to liraglutide group. GSBR-1290 at 6 mg/kg and 10 mg/kg also showed a significant decrease in body weight relative to placebo and surpassed liraglutide, with the highest dose of GSBR-1290 achieving more than eight percent reduction in average body weight versus baseline in one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6" w:name="page137"/>
    <w:bookmarkEnd w:id="13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Seven day repeat oral dosing study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113030</wp:posOffset>
            </wp:positionV>
            <wp:extent cx="2947035" cy="13938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47035" cy="139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0"/>
          <w:szCs w:val="10"/>
          <w:i w:val="1"/>
          <w:iCs w:val="1"/>
          <w:color w:val="auto"/>
        </w:rPr>
        <w:t>Data were presented as mean ± SEM; one-way ANOVA followed by Dunnett’s multiple comparisons test.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*p&lt;0.05, **p&lt;0.01, ***p&lt;0.001 vs vehicle</w:t>
      </w:r>
    </w:p>
    <w:p>
      <w:pPr>
        <w:spacing w:after="0" w:line="127" w:lineRule="exact"/>
        <w:rPr>
          <w:sz w:val="20"/>
          <w:szCs w:val="20"/>
          <w:color w:val="auto"/>
        </w:rPr>
      </w:pPr>
    </w:p>
    <w:p>
      <w:pPr>
        <w:jc w:val="center"/>
        <w:ind w:left="3020" w:right="20"/>
        <w:spacing w:after="0" w:line="307" w:lineRule="auto"/>
        <w:rPr>
          <w:sz w:val="20"/>
          <w:szCs w:val="20"/>
          <w:color w:val="auto"/>
        </w:rPr>
      </w:pPr>
      <w:r>
        <w:rPr>
          <w:rFonts w:ascii="Arial" w:cs="Arial" w:eastAsia="Arial" w:hAnsi="Arial"/>
          <w:sz w:val="10"/>
          <w:szCs w:val="10"/>
          <w:i w:val="1"/>
          <w:iCs w:val="1"/>
          <w:color w:val="auto"/>
        </w:rPr>
        <w:t>In the description of our clinical trials and preclinical studies below and elsewhere in this prospectus, n represents the number of participants in a particular group and p or p-values represent the probability that random chance caused the result (e.g., a p-value of 0.01 means that there is a 0.1% probability that the difference between the placebo group and the treatment group is purely due to random chance). A p-value of less than or equal to 0.05 is a commonly used criterion for statistical significance, and may be supportive of a finding of efficacy by regulatory authorities.</w:t>
      </w:r>
    </w:p>
    <w:p>
      <w:pPr>
        <w:spacing w:after="0" w:line="65" w:lineRule="exact"/>
        <w:rPr>
          <w:sz w:val="20"/>
          <w:szCs w:val="20"/>
          <w:color w:val="auto"/>
        </w:rPr>
      </w:pPr>
    </w:p>
    <w:p>
      <w:pPr>
        <w:ind w:left="1560" w:right="1779"/>
        <w:spacing w:after="0" w:line="305" w:lineRule="auto"/>
        <w:rPr>
          <w:sz w:val="20"/>
          <w:szCs w:val="20"/>
          <w:color w:val="auto"/>
        </w:rPr>
      </w:pPr>
      <w:r>
        <w:rPr>
          <w:rFonts w:ascii="Arial" w:cs="Arial" w:eastAsia="Arial" w:hAnsi="Arial"/>
          <w:sz w:val="12"/>
          <w:szCs w:val="12"/>
          <w:color w:val="auto"/>
        </w:rPr>
        <w:t>GSBR-1290 was demonstrated to be generally well tolerated based on its 28-day GLP toxicology studies with no-observed-adverse-effect level, or NOAEL, dose at 1000 mg/kg/day in rats. The estimated therapeutic window is more than 1000-fold based in rats based on its 28-day GLP toxicology studies.</w:t>
      </w:r>
    </w:p>
    <w:p>
      <w:pPr>
        <w:spacing w:after="0" w:line="64" w:lineRule="exact"/>
        <w:rPr>
          <w:sz w:val="20"/>
          <w:szCs w:val="20"/>
          <w:color w:val="auto"/>
        </w:rPr>
      </w:pPr>
    </w:p>
    <w:p>
      <w:pPr>
        <w:ind w:left="1560" w:right="1579"/>
        <w:spacing w:after="0" w:line="284" w:lineRule="auto"/>
        <w:rPr>
          <w:sz w:val="20"/>
          <w:szCs w:val="20"/>
          <w:color w:val="auto"/>
        </w:rPr>
      </w:pPr>
      <w:r>
        <w:rPr>
          <w:rFonts w:ascii="Arial" w:cs="Arial" w:eastAsia="Arial" w:hAnsi="Arial"/>
          <w:sz w:val="12"/>
          <w:szCs w:val="12"/>
          <w:color w:val="auto"/>
        </w:rPr>
        <w:t xml:space="preserve">In addition, we conducted a preclinical comparison study of GSBR-1290 and PF-06882961, a clinical stage compound in development by Pfizer. Unlike GSBR-1290, PF-06882961 is a partially biased GLP-1R agonist, which could lead to de-sensitization of the receptor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In an experiment conducted in-house, GSBR-1290 demonstrated comparable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activity to PF-06882961 at a lower exposure. In the acute ivGTT studies, GSBR-1290 achieved similar activity to liraglutide at average concentration around 34 nanomolar, or nM, (0.05 mg intravenous), comparing to a similar activity achieved by PF-06882961 in an in-house experiment at an average concentration around 442 nM (0.3 mg intravenous). This suggests that the concentration needed to achieve full activity for GSBR-1290 is at a level much lower than that for PF-06882961. PF-06882961 has been studied in SAD and MAD studies with a maximum dose of 200 mg/BID to achieve maximum HbA1c activity and weight management.</w:t>
      </w:r>
    </w:p>
    <w:p>
      <w:pPr>
        <w:spacing w:after="0" w:line="79"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In-house data showed that PF-06882961 was positive in a glutathione trapping assay. GSBR-1290 was inactive in this assay, suggesting reduced risks with long-term use. In addition, GSBR-1290 also did not show activity as a time dependent inhibitor, or TDI, for cytochrome P450 3A4, or CYP3A4. PF-06882961 was reported as a CYP3A4 TDI, which, if confirmed in clinical trials, suggests the potential for interactions with the 30–50% of marketed drugs metabolized through this pathway.</w:t>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1 Healthy Volunteer Trial</w:t>
      </w:r>
    </w:p>
    <w:p>
      <w:pPr>
        <w:spacing w:after="0" w:line="92" w:lineRule="exact"/>
        <w:rPr>
          <w:sz w:val="20"/>
          <w:szCs w:val="20"/>
          <w:color w:val="auto"/>
        </w:rPr>
      </w:pPr>
    </w:p>
    <w:p>
      <w:pPr>
        <w:ind w:left="1560" w:right="1619"/>
        <w:spacing w:after="0" w:line="286" w:lineRule="auto"/>
        <w:rPr>
          <w:sz w:val="20"/>
          <w:szCs w:val="20"/>
          <w:color w:val="auto"/>
        </w:rPr>
      </w:pPr>
      <w:r>
        <w:rPr>
          <w:rFonts w:ascii="Arial" w:cs="Arial" w:eastAsia="Arial" w:hAnsi="Arial"/>
          <w:sz w:val="12"/>
          <w:szCs w:val="12"/>
          <w:color w:val="auto"/>
        </w:rPr>
        <w:t>In September 2022, we completed a first-in-human Phase 1 SAD study for GSBR-1290 in 48 healthy adult volunteers between the ages of 18 and 55. The objective was to assess drug safety, tolerability and PK. The study enrolled six cohorts of eight participants assigned to receive a single dose of GSBR-1290 or placebo in a 3:1 ratio. Doses ranged from 1 mg to 90 mg across the six cohorts. The fourth cohort received 15 mg administered either under a fed condition, which consisted of a standardized high fat breakfast, and under a fasted condition, in each case to characterize the effect of food on the PK of GSBR-1290. A schema of our Phase 1 SAD study is presented below:</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7" w:name="page138"/>
    <w:bookmarkEnd w:id="13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Schema of our GSBR-1290 Phase 1 SAD study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183515</wp:posOffset>
            </wp:positionV>
            <wp:extent cx="3438525" cy="15900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38525"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1 PK and PD Data in Healthy Volunteers</w:t>
      </w:r>
    </w:p>
    <w:p>
      <w:pPr>
        <w:spacing w:after="0" w:line="32" w:lineRule="exact"/>
        <w:rPr>
          <w:sz w:val="20"/>
          <w:szCs w:val="20"/>
          <w:color w:val="auto"/>
        </w:rPr>
      </w:pPr>
    </w:p>
    <w:p>
      <w:pPr>
        <w:ind w:left="1560" w:right="1759"/>
        <w:spacing w:after="0" w:line="279" w:lineRule="auto"/>
        <w:rPr>
          <w:sz w:val="20"/>
          <w:szCs w:val="20"/>
          <w:color w:val="auto"/>
        </w:rPr>
      </w:pPr>
      <w:r>
        <w:rPr>
          <w:rFonts w:ascii="Arial" w:cs="Arial" w:eastAsia="Arial" w:hAnsi="Arial"/>
          <w:sz w:val="12"/>
          <w:szCs w:val="12"/>
          <w:color w:val="auto"/>
        </w:rPr>
        <w:t>In the study, PK parameters of systemic exposure, C</w:t>
      </w:r>
      <w:r>
        <w:rPr>
          <w:rFonts w:ascii="Arial" w:cs="Arial" w:eastAsia="Arial" w:hAnsi="Arial"/>
          <w:sz w:val="18"/>
          <w:szCs w:val="18"/>
          <w:color w:val="auto"/>
          <w:vertAlign w:val="subscript"/>
        </w:rPr>
        <w:t>max</w:t>
      </w:r>
      <w:r>
        <w:rPr>
          <w:rFonts w:ascii="Arial" w:cs="Arial" w:eastAsia="Arial" w:hAnsi="Arial"/>
          <w:sz w:val="12"/>
          <w:szCs w:val="12"/>
          <w:color w:val="auto"/>
        </w:rPr>
        <w:t xml:space="preserve"> and AUC, increased with doses of GSBR-1290 across the dose range from 1 mg to 90 mg GSBR-1290. GSBR-1290 exhibited supra dose proportionality from 1 mg to 30 mg followed by less than dose-proportional from 30 mg to 90 mg.</w:t>
      </w:r>
    </w:p>
    <w:p>
      <w:pPr>
        <w:spacing w:after="0" w:line="79" w:lineRule="exact"/>
        <w:rPr>
          <w:sz w:val="20"/>
          <w:szCs w:val="20"/>
          <w:color w:val="auto"/>
        </w:rPr>
      </w:pPr>
    </w:p>
    <w:p>
      <w:pPr>
        <w:jc w:val="both"/>
        <w:ind w:left="1560" w:right="1899"/>
        <w:spacing w:after="0" w:line="247" w:lineRule="auto"/>
        <w:rPr>
          <w:sz w:val="20"/>
          <w:szCs w:val="20"/>
          <w:color w:val="auto"/>
        </w:rPr>
      </w:pPr>
      <w:r>
        <w:rPr>
          <w:rFonts w:ascii="Arial" w:cs="Arial" w:eastAsia="Arial" w:hAnsi="Arial"/>
          <w:sz w:val="12"/>
          <w:szCs w:val="12"/>
          <w:color w:val="auto"/>
        </w:rPr>
        <w:t>The 30mg dose AUC provided more than double the effective AUC0-24h required for glycemic control, derived from non-human primate PK/PD data. Food intake (high fat meal) was associated with a ~36% decrease in the geometric mean C</w:t>
      </w:r>
      <w:r>
        <w:rPr>
          <w:rFonts w:ascii="Arial" w:cs="Arial" w:eastAsia="Arial" w:hAnsi="Arial"/>
          <w:sz w:val="18"/>
          <w:szCs w:val="18"/>
          <w:color w:val="auto"/>
          <w:vertAlign w:val="subscript"/>
        </w:rPr>
        <w:t>max</w:t>
      </w:r>
      <w:r>
        <w:rPr>
          <w:rFonts w:ascii="Arial" w:cs="Arial" w:eastAsia="Arial" w:hAnsi="Arial"/>
          <w:sz w:val="12"/>
          <w:szCs w:val="12"/>
          <w:color w:val="auto"/>
        </w:rPr>
        <w:t xml:space="preserve"> but no significant change in mean AUC value, with 80% relative bioavailability, based on AUC compared with the fasted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83820</wp:posOffset>
            </wp:positionV>
            <wp:extent cx="2983865" cy="1172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83865" cy="117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1 Safety Data in Healthy Volunteers</w:t>
      </w:r>
    </w:p>
    <w:p>
      <w:pPr>
        <w:spacing w:after="0" w:line="44" w:lineRule="exact"/>
        <w:rPr>
          <w:sz w:val="20"/>
          <w:szCs w:val="20"/>
          <w:color w:val="auto"/>
        </w:rPr>
      </w:pPr>
    </w:p>
    <w:p>
      <w:pPr>
        <w:ind w:left="1560" w:right="1739"/>
        <w:spacing w:after="0" w:line="308" w:lineRule="auto"/>
        <w:rPr>
          <w:sz w:val="20"/>
          <w:szCs w:val="20"/>
          <w:color w:val="auto"/>
        </w:rPr>
      </w:pPr>
      <w:r>
        <w:rPr>
          <w:rFonts w:ascii="Arial" w:cs="Arial" w:eastAsia="Arial" w:hAnsi="Arial"/>
          <w:sz w:val="12"/>
          <w:szCs w:val="12"/>
          <w:color w:val="auto"/>
        </w:rPr>
        <w:t>GSBR-1290 was shown to be generally well tolerated at all dose levels administrated in this Phase 1 SAD study.</w:t>
      </w:r>
    </w:p>
    <w:p>
      <w:pPr>
        <w:spacing w:after="0" w:line="52" w:lineRule="exact"/>
        <w:rPr>
          <w:sz w:val="20"/>
          <w:szCs w:val="20"/>
          <w:color w:val="auto"/>
        </w:rPr>
      </w:pPr>
    </w:p>
    <w:p>
      <w:pPr>
        <w:jc w:val="both"/>
        <w:ind w:left="1560" w:right="1799"/>
        <w:spacing w:after="0" w:line="288" w:lineRule="auto"/>
        <w:rPr>
          <w:sz w:val="20"/>
          <w:szCs w:val="20"/>
          <w:color w:val="auto"/>
        </w:rPr>
      </w:pPr>
      <w:r>
        <w:rPr>
          <w:rFonts w:ascii="Arial" w:cs="Arial" w:eastAsia="Arial" w:hAnsi="Arial"/>
          <w:sz w:val="12"/>
          <w:szCs w:val="12"/>
          <w:color w:val="auto"/>
        </w:rPr>
        <w:t>No SAEs and no adverse changes in laboratory tests (including hematology, chemistry and coagulation) were observed. No trial stopping criteria were met. AEs did not result in any early terminations or subject discontinuations from participation in this study.</w:t>
      </w:r>
    </w:p>
    <w:p>
      <w:pPr>
        <w:spacing w:after="0" w:line="74"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Treatment-emergent AEs, or TEAEs, were reported for 32 of 36 participants (89%) following fasted administration of GSBR-1290 and for 7 of 12 participants (58%) following administration of placebo, with a total of 109 TEAEs.</w:t>
      </w:r>
    </w:p>
    <w:p>
      <w:pPr>
        <w:spacing w:after="0" w:line="74" w:lineRule="exact"/>
        <w:rPr>
          <w:sz w:val="20"/>
          <w:szCs w:val="20"/>
          <w:color w:val="auto"/>
        </w:rPr>
      </w:pPr>
    </w:p>
    <w:p>
      <w:pPr>
        <w:jc w:val="both"/>
        <w:ind w:left="1560" w:right="1679"/>
        <w:spacing w:after="0" w:line="288" w:lineRule="auto"/>
        <w:rPr>
          <w:sz w:val="20"/>
          <w:szCs w:val="20"/>
          <w:color w:val="auto"/>
        </w:rPr>
      </w:pPr>
      <w:r>
        <w:rPr>
          <w:rFonts w:ascii="Arial" w:cs="Arial" w:eastAsia="Arial" w:hAnsi="Arial"/>
          <w:sz w:val="12"/>
          <w:szCs w:val="12"/>
          <w:color w:val="auto"/>
        </w:rPr>
        <w:t>Following administration of GSBR-1290 in the fasted state, most TEAEs were classified as mild (69 of 109, or 63% of all TEAEs) in severity, with 34 TEAEs (31% of all TEAEs) classified as moderate in severity. Six TEAEs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8" w:name="page139"/>
    <w:bookmarkEnd w:id="13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(6%) were classified as severe, including four events of vomiting, one event of nausea and one event of catheter site infection. There was an apparent dose-related trend in the severity of TEAEs following single doses of GSBR-1290, with severe TEAEs reported following the 60 mg and 90 mg doses of GSBR-1290, but not following low doses (1 mg, 10 mg, 15 mg). Occurrences in TEAEs of moderate intensity were also higher following higher dose range of GSBR-1290.</w:t>
      </w:r>
    </w:p>
    <w:p>
      <w:pPr>
        <w:spacing w:after="0" w:line="81"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following table shows an overall summary of TEAEs that were reported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107315</wp:posOffset>
            </wp:positionV>
            <wp:extent cx="3733165" cy="13754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33165" cy="137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60" w:right="1679"/>
        <w:spacing w:after="0" w:line="308" w:lineRule="auto"/>
        <w:rPr>
          <w:sz w:val="20"/>
          <w:szCs w:val="20"/>
          <w:color w:val="auto"/>
        </w:rPr>
      </w:pPr>
      <w:r>
        <w:rPr>
          <w:rFonts w:ascii="Arial" w:cs="Arial" w:eastAsia="Arial" w:hAnsi="Arial"/>
          <w:sz w:val="12"/>
          <w:szCs w:val="12"/>
          <w:color w:val="auto"/>
        </w:rPr>
        <w:t>Low dose GSBR-1290 includes 1 mg, 10 mg and 15 mg fasted and high dose GSBR-1290 includes 30 mg, 60 mg and 90 mg fasted.</w:t>
      </w:r>
    </w:p>
    <w:p>
      <w:pPr>
        <w:spacing w:after="0" w:line="62" w:lineRule="exact"/>
        <w:rPr>
          <w:sz w:val="20"/>
          <w:szCs w:val="20"/>
          <w:color w:val="auto"/>
        </w:rPr>
      </w:pPr>
    </w:p>
    <w:p>
      <w:pPr>
        <w:ind w:left="1560" w:right="2139"/>
        <w:spacing w:after="0" w:line="308" w:lineRule="auto"/>
        <w:rPr>
          <w:sz w:val="20"/>
          <w:szCs w:val="20"/>
          <w:color w:val="auto"/>
        </w:rPr>
      </w:pPr>
      <w:r>
        <w:rPr>
          <w:rFonts w:ascii="Arial" w:cs="Arial" w:eastAsia="Arial" w:hAnsi="Arial"/>
          <w:sz w:val="12"/>
          <w:szCs w:val="12"/>
          <w:color w:val="auto"/>
        </w:rPr>
        <w:t>If a participant had multiple occurrences of a TEAE, the participant was presented only once in the Participant count for a given Preferred Term. Occurrences were counted each time.</w:t>
      </w:r>
    </w:p>
    <w:p>
      <w:pPr>
        <w:spacing w:after="0" w:line="62" w:lineRule="exact"/>
        <w:rPr>
          <w:sz w:val="20"/>
          <w:szCs w:val="20"/>
          <w:color w:val="auto"/>
        </w:rPr>
      </w:pPr>
    </w:p>
    <w:p>
      <w:pPr>
        <w:ind w:left="1560" w:right="1759"/>
        <w:spacing w:after="0" w:line="282" w:lineRule="auto"/>
        <w:rPr>
          <w:sz w:val="20"/>
          <w:szCs w:val="20"/>
          <w:color w:val="auto"/>
        </w:rPr>
      </w:pPr>
      <w:r>
        <w:rPr>
          <w:rFonts w:ascii="Arial" w:cs="Arial" w:eastAsia="Arial" w:hAnsi="Arial"/>
          <w:sz w:val="12"/>
          <w:szCs w:val="12"/>
          <w:color w:val="auto"/>
        </w:rPr>
        <w:t>There was no notable difference in the overall incidence or severity of treatment-related AEs under fasted and fed administration of GSBR-1290 at a dose level of 15 mg. There was a higher incidence of related TEAEs of vomiting and headache following fasted administration (three of six participants, or 50%) compared to fed administration (one of six participants, or 17%).</w:t>
      </w:r>
    </w:p>
    <w:p>
      <w:pPr>
        <w:spacing w:after="0" w:line="67" w:lineRule="exact"/>
        <w:rPr>
          <w:sz w:val="20"/>
          <w:szCs w:val="20"/>
          <w:color w:val="auto"/>
        </w:rPr>
      </w:pPr>
    </w:p>
    <w:p>
      <w:pPr>
        <w:ind w:left="1560" w:right="1579"/>
        <w:spacing w:after="0" w:line="308" w:lineRule="auto"/>
        <w:rPr>
          <w:sz w:val="20"/>
          <w:szCs w:val="20"/>
          <w:color w:val="auto"/>
        </w:rPr>
      </w:pPr>
      <w:r>
        <w:rPr>
          <w:rFonts w:ascii="Arial" w:cs="Arial" w:eastAsia="Arial" w:hAnsi="Arial"/>
          <w:sz w:val="12"/>
          <w:szCs w:val="12"/>
          <w:color w:val="auto"/>
        </w:rPr>
        <w:t>The most common TEAEs reported in at least four of 36 participants (&gt;10%) who received GSBR-1290 were nausea, headache, vomiting, dehydration, decreased appetite, dizziness, and diarrhea.</w:t>
      </w:r>
    </w:p>
    <w:p>
      <w:pPr>
        <w:spacing w:after="0" w:line="62"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Across the various dose levels, there were apparent dose-related trends in the overall incidence of common TEAEs. The incidence of the TEAEs described above was notably higher following fasted administration of the high dose GSBR-1290 treatments (30 mg, 60 mg, 90 mg) than the low dose GSBR-1290 treatments (1 mg, 10 mg, 15 mg) and placebo, with a similar observation in treatment-related AEs of nausea, vomiting, dehydration, and headache of at least moderate severity.</w:t>
      </w:r>
    </w:p>
    <w:p>
      <w:pPr>
        <w:spacing w:after="0" w:line="81" w:lineRule="exact"/>
        <w:rPr>
          <w:sz w:val="20"/>
          <w:szCs w:val="20"/>
          <w:color w:val="auto"/>
        </w:rPr>
      </w:pPr>
    </w:p>
    <w:p>
      <w:pPr>
        <w:ind w:left="1560" w:right="1679"/>
        <w:spacing w:after="0" w:line="276" w:lineRule="auto"/>
        <w:rPr>
          <w:sz w:val="20"/>
          <w:szCs w:val="20"/>
          <w:color w:val="auto"/>
        </w:rPr>
      </w:pPr>
      <w:r>
        <w:rPr>
          <w:rFonts w:ascii="Arial" w:cs="Arial" w:eastAsia="Arial" w:hAnsi="Arial"/>
          <w:sz w:val="12"/>
          <w:szCs w:val="12"/>
          <w:color w:val="auto"/>
        </w:rPr>
        <w:t>We believe all TEAEs observed during the study are in line with the proposed treatment mechanism and typically derive from impacts on appetite, nausea, and vomiting. There was an apparent increasing trend in heart rate over time in both low (1 mg, 10 mg, 15 mg) and high dose (30 mg, 60 mg, 90 mg) GSBR-1290 groups. This increase appeared to peak at 12 hours post-dose and was notably larger in the high dose GSBR-1290 groups. Increases in heart rate over time were observed in the pooled placebo group but to a much lesser extent.</w:t>
      </w:r>
    </w:p>
    <w:p>
      <w:pPr>
        <w:spacing w:after="0" w:line="73" w:lineRule="exact"/>
        <w:rPr>
          <w:sz w:val="20"/>
          <w:szCs w:val="20"/>
          <w:color w:val="auto"/>
        </w:rPr>
      </w:pPr>
    </w:p>
    <w:p>
      <w:pPr>
        <w:ind w:left="1560" w:right="1579"/>
        <w:spacing w:after="0" w:line="281" w:lineRule="auto"/>
        <w:rPr>
          <w:sz w:val="20"/>
          <w:szCs w:val="20"/>
          <w:color w:val="auto"/>
        </w:rPr>
      </w:pPr>
      <w:r>
        <w:rPr>
          <w:rFonts w:ascii="Arial" w:cs="Arial" w:eastAsia="Arial" w:hAnsi="Arial"/>
          <w:sz w:val="12"/>
          <w:szCs w:val="12"/>
          <w:color w:val="auto"/>
        </w:rPr>
        <w:t>In summary, GSBR-1290 was shown to be generally well tolerated when administered as a single dose of up to 90 mg. However, there were dose-related trends in the incidence, severity and causality of TEAEs, particularly GI related TEAEs, consistent with what has been previously reported in clinical trials involving the GLP-1RA class of drugs. There were no treatment-related AEs reported in patients who received placebo.</w:t>
      </w:r>
    </w:p>
    <w:p>
      <w:pPr>
        <w:spacing w:after="0" w:line="234" w:lineRule="exact"/>
        <w:rPr>
          <w:sz w:val="20"/>
          <w:szCs w:val="20"/>
          <w:color w:val="auto"/>
        </w:rPr>
      </w:pPr>
    </w:p>
    <w:p>
      <w:pPr>
        <w:ind w:left="1560" w:right="1679"/>
        <w:spacing w:after="0" w:line="308" w:lineRule="auto"/>
        <w:rPr>
          <w:sz w:val="20"/>
          <w:szCs w:val="20"/>
          <w:color w:val="auto"/>
        </w:rPr>
      </w:pPr>
      <w:r>
        <w:rPr>
          <w:rFonts w:ascii="Arial" w:cs="Arial" w:eastAsia="Arial" w:hAnsi="Arial"/>
          <w:sz w:val="12"/>
          <w:szCs w:val="12"/>
          <w:color w:val="auto"/>
        </w:rPr>
        <w:t>PK parameters of systemic exposure increased with dose of GSBR-1290 across the dose range from 1 mg to 90 mg GSBR-1290.</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39" w:name="page140"/>
    <w:bookmarkEnd w:id="13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Non-clinical Safety Pharmacology and Toxicology Studies</w:t>
      </w:r>
    </w:p>
    <w:p>
      <w:pPr>
        <w:spacing w:after="0" w:line="92" w:lineRule="exact"/>
        <w:rPr>
          <w:sz w:val="20"/>
          <w:szCs w:val="20"/>
          <w:color w:val="auto"/>
        </w:rPr>
      </w:pPr>
    </w:p>
    <w:p>
      <w:pPr>
        <w:ind w:left="1560" w:right="1699"/>
        <w:spacing w:after="0" w:line="288" w:lineRule="auto"/>
        <w:rPr>
          <w:sz w:val="20"/>
          <w:szCs w:val="20"/>
          <w:color w:val="auto"/>
        </w:rPr>
      </w:pPr>
      <w:r>
        <w:rPr>
          <w:rFonts w:ascii="Arial" w:cs="Arial" w:eastAsia="Arial" w:hAnsi="Arial"/>
          <w:sz w:val="12"/>
          <w:szCs w:val="12"/>
          <w:color w:val="auto"/>
        </w:rPr>
        <w:t>A standard battery of nonclinical safety pharmacology studies (central nervous system, cardiovascular and respiratory) has been completed with GSBR-1290 with no findings anticipated to be of clinical relevance. Genotoxicity assessments demonstrated an absence of genotoxicity potential.</w:t>
      </w:r>
    </w:p>
    <w:p>
      <w:pPr>
        <w:spacing w:after="0" w:line="74" w:lineRule="exact"/>
        <w:rPr>
          <w:sz w:val="20"/>
          <w:szCs w:val="20"/>
          <w:color w:val="auto"/>
        </w:rPr>
      </w:pPr>
    </w:p>
    <w:p>
      <w:pPr>
        <w:ind w:left="1560" w:right="1639"/>
        <w:spacing w:after="0" w:line="274" w:lineRule="auto"/>
        <w:rPr>
          <w:sz w:val="20"/>
          <w:szCs w:val="20"/>
          <w:color w:val="auto"/>
        </w:rPr>
      </w:pPr>
      <w:r>
        <w:rPr>
          <w:rFonts w:ascii="Arial" w:cs="Arial" w:eastAsia="Arial" w:hAnsi="Arial"/>
          <w:sz w:val="12"/>
          <w:szCs w:val="12"/>
          <w:color w:val="auto"/>
        </w:rPr>
        <w:t>In the 4-week and 13-week GLP toxicology study in rats, the NOAEL dose was considered to be 1000 mg/kg/​day, the highest dose tested. In the 4-week and 13-week GLP toxicology study in NHPs, GSBR-1290 showed pharmacologically related events such as inappetence and bodyweight loss, which were reversible with sufficient recovery periods. There were no GSBR-1290-related deaths during the course of study and no GSBR-1290-related changes in organ weights, gross and histopathology examinations at the end of the dosing and recovery periods. In the 13-week study, NHPs of both sexes in all dose groups, including in the control group, had minimal to moderate multifocal necrosis/infiltration in the liver. The root cause of these liver abnormalities was not determined, but these findings were considered unrelated to GSBR-1290.</w:t>
      </w:r>
    </w:p>
    <w:p>
      <w:pPr>
        <w:spacing w:after="0" w:line="84" w:lineRule="exact"/>
        <w:rPr>
          <w:sz w:val="20"/>
          <w:szCs w:val="20"/>
          <w:color w:val="auto"/>
        </w:rPr>
      </w:pPr>
    </w:p>
    <w:p>
      <w:pPr>
        <w:ind w:left="1560" w:right="1699"/>
        <w:spacing w:after="0" w:line="308" w:lineRule="auto"/>
        <w:rPr>
          <w:sz w:val="20"/>
          <w:szCs w:val="20"/>
          <w:color w:val="auto"/>
        </w:rPr>
      </w:pPr>
      <w:r>
        <w:rPr>
          <w:rFonts w:ascii="Arial" w:cs="Arial" w:eastAsia="Arial" w:hAnsi="Arial"/>
          <w:sz w:val="12"/>
          <w:szCs w:val="12"/>
          <w:color w:val="auto"/>
        </w:rPr>
        <w:t>In nonclinical animal models, GSBR-1290 demonstrated statistically significant decreases in blood glucose concentration and increases of insulin secretion.</w:t>
      </w:r>
    </w:p>
    <w:p>
      <w:pPr>
        <w:spacing w:after="0" w:line="52"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color w:val="auto"/>
        </w:rPr>
        <w:t>We have initiated the 26-week chronic toxicology studies in rats and 39-week studies in NHP and embryo-fetal development studies that we believe will be required by regulatory agencies to continue dosing beyond 13 weeks in Phase 2b.</w:t>
      </w:r>
    </w:p>
    <w:p>
      <w:pPr>
        <w:spacing w:after="0" w:line="18"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1b MAD study</w:t>
      </w:r>
    </w:p>
    <w:p>
      <w:pPr>
        <w:spacing w:after="0" w:line="92"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We submitted an IND to the FDA to support initiation of a GSBR-1290 Phase 1b MAD study and received FDA allowance in September 2022. In January 2023, we initiated the study which will enroll 24 healthy overweight or obese subjects between the ages of 18 and 55. The primary objective is to assess drug safety and tolerability. The secondary objectives are to evaluate PK and PD and determine the starting dose for titration and help define the titration scheme including the dose level and duration of steps. The study will enroll three cohorts of eight participants assigned to receive multiple ascending doses of GSBR-1290 or placebo in a 6:2 ratio. Cohort 1 doses start at 5 mg daily and escalate up to 60 mg weekly over four weeks. Cohort 2 doses start at 10 mg and escalate up to 90 mg daily over four weeks. Cohort 3 doses start at 10 mg for two weeks and escalate to 30 mg for an additional two weeks. A schema of our Phase 1b MAD study is presented below:</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Schema of our GSBR-1290 Phase 1b MAD study in healthy overweight/obese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1030605</wp:posOffset>
            </wp:positionH>
            <wp:positionV relativeFrom="paragraph">
              <wp:posOffset>183515</wp:posOffset>
            </wp:positionV>
            <wp:extent cx="3665220" cy="890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65220" cy="89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2a proof-of-concept study</w:t>
      </w:r>
    </w:p>
    <w:p>
      <w:pPr>
        <w:spacing w:after="0" w:line="92"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Upon completion of dosing for the Phase 1b MAD study, we plan to submit a protocol amendment to initiate a Phase 2a proof-of-concept portion of the study in T2DM and healthy overweight or obese subjects and expect to report initial data in the second half of 2023. The primary objective is to assess safety and tolerability of GSBR-1290 in healthy obese subjects and T2DM subjects. Secondary objectives include assessing changes in body weight, HbA1c and other PD measures in T2DM subjects as well as changes in body weight in healthy obese subjects. The exploratory objectives are to assess metabolite formation.</w:t>
      </w:r>
    </w:p>
    <w:p>
      <w:pPr>
        <w:spacing w:after="0" w:line="82" w:lineRule="exact"/>
        <w:rPr>
          <w:sz w:val="20"/>
          <w:szCs w:val="20"/>
          <w:color w:val="auto"/>
        </w:rPr>
      </w:pPr>
    </w:p>
    <w:p>
      <w:pPr>
        <w:ind w:left="1560" w:right="1619"/>
        <w:spacing w:after="0" w:line="288" w:lineRule="auto"/>
        <w:rPr>
          <w:sz w:val="20"/>
          <w:szCs w:val="20"/>
          <w:color w:val="auto"/>
        </w:rPr>
      </w:pPr>
      <w:r>
        <w:rPr>
          <w:rFonts w:ascii="Arial" w:cs="Arial" w:eastAsia="Arial" w:hAnsi="Arial"/>
          <w:sz w:val="12"/>
          <w:szCs w:val="12"/>
          <w:color w:val="auto"/>
        </w:rPr>
        <w:t>The Phase 2a part of the study will enroll approximately 69 subjects. Approximately, 54 T2DM subjects will be randomized in three groups to receive GSBR-1290 45 mg or 90 mg or placebo. There will be a four week titration period followed by eight weeks of daily treatment at the target dose.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0" w:name="page141"/>
    <w:bookmarkEnd w:id="14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79"/>
        <w:spacing w:after="0" w:line="271" w:lineRule="auto"/>
        <w:rPr>
          <w:sz w:val="20"/>
          <w:szCs w:val="20"/>
          <w:color w:val="auto"/>
        </w:rPr>
      </w:pPr>
      <w:r>
        <w:rPr>
          <w:rFonts w:ascii="Arial" w:cs="Arial" w:eastAsia="Arial" w:hAnsi="Arial"/>
          <w:sz w:val="12"/>
          <w:szCs w:val="12"/>
          <w:color w:val="auto"/>
        </w:rPr>
        <w:t>In addition, approximately 15 healthy overweight or obese subjects will receive GSBR-1290, placebo or, after a four week titration period, GSBR-1290 90 mg daily for four weeks followed by 120 mg daily for four weeks. We also anticipate initiating a Phase 2b study in the first half of 2024, subject to favorable results in the Phase 2a study. A schema of our Phase 2a proof-of-concept study is presented below:</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Schema of our GSBR-1290 Phase 2a proof-of-concept study in T2DM and healthy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overweight/obese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3733165" cy="10623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733165" cy="106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Next Generation GLP-1R Program</w:t>
      </w:r>
    </w:p>
    <w:p>
      <w:pPr>
        <w:spacing w:after="0" w:line="92" w:lineRule="exact"/>
        <w:rPr>
          <w:sz w:val="20"/>
          <w:szCs w:val="20"/>
          <w:color w:val="auto"/>
        </w:rPr>
      </w:pPr>
    </w:p>
    <w:p>
      <w:pPr>
        <w:jc w:val="both"/>
        <w:ind w:left="1560" w:right="1919"/>
        <w:spacing w:after="0" w:line="288" w:lineRule="auto"/>
        <w:rPr>
          <w:sz w:val="20"/>
          <w:szCs w:val="20"/>
          <w:color w:val="auto"/>
        </w:rPr>
      </w:pPr>
      <w:r>
        <w:rPr>
          <w:rFonts w:ascii="Arial" w:cs="Arial" w:eastAsia="Arial" w:hAnsi="Arial"/>
          <w:sz w:val="12"/>
          <w:szCs w:val="12"/>
          <w:color w:val="auto"/>
        </w:rPr>
        <w:t>In our next generation GLP-1R program, we have identified hits for small molecule dual GLP-1R/GIPR modulation and we are planning to select a development candidate in 2024. We believe GLP-1R/GIPR modulation has the potential to provide a differentiated treatment in diabetes and obesity.</w:t>
      </w:r>
    </w:p>
    <w:p>
      <w:pPr>
        <w:spacing w:after="0" w:line="74"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Recent third-party clinical data showed tirzepatide, a GLP-1R/GIPR modulator, was superior to semaglutide with respect to glycemic control. The glycated hemoglobin level target of less than 5.7% (normoglycemia) was met in 27 to 46% of the T2DM patients who received tirzepatide compared to 19% of those who received semaglutide. The body weight reduction and gastrointestinal related side effects were similar to the GLP-1R agonists. In addition, many patients who received tirzepatide were noted to have improved biomarkers of insulin sensitivity.</w:t>
      </w:r>
    </w:p>
    <w:p>
      <w:pPr>
        <w:spacing w:after="0" w:line="82" w:lineRule="exact"/>
        <w:rPr>
          <w:sz w:val="20"/>
          <w:szCs w:val="20"/>
          <w:color w:val="auto"/>
        </w:rPr>
      </w:pPr>
    </w:p>
    <w:p>
      <w:pPr>
        <w:ind w:left="1560" w:right="1739"/>
        <w:spacing w:after="0" w:line="308" w:lineRule="auto"/>
        <w:rPr>
          <w:sz w:val="20"/>
          <w:szCs w:val="20"/>
          <w:color w:val="auto"/>
        </w:rPr>
      </w:pPr>
      <w:r>
        <w:rPr>
          <w:rFonts w:ascii="Arial" w:cs="Arial" w:eastAsia="Arial" w:hAnsi="Arial"/>
          <w:sz w:val="12"/>
          <w:szCs w:val="12"/>
          <w:color w:val="auto"/>
        </w:rPr>
        <w:t>We have obtained both GIP and tirzepatide bound GIPR structures along with GLP-1R structures to guide our small molecular design.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Multiple Structures of ligand bound GLP-1R, GIPR, GCGR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183515</wp:posOffset>
            </wp:positionV>
            <wp:extent cx="3733165" cy="12585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733165" cy="125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As shown above, representative three-dimensional structures of the incretin GPCRs (</w:t>
      </w:r>
      <w:r>
        <w:rPr>
          <w:rFonts w:ascii="Arial" w:cs="Arial" w:eastAsia="Arial" w:hAnsi="Arial"/>
          <w:sz w:val="12"/>
          <w:szCs w:val="12"/>
          <w:i w:val="1"/>
          <w:iCs w:val="1"/>
          <w:color w:val="auto"/>
        </w:rPr>
        <w:t>e.g.</w:t>
      </w:r>
      <w:r>
        <w:rPr>
          <w:rFonts w:ascii="Arial" w:cs="Arial" w:eastAsia="Arial" w:hAnsi="Arial"/>
          <w:sz w:val="12"/>
          <w:szCs w:val="12"/>
          <w:color w:val="auto"/>
        </w:rPr>
        <w:t>, GIPR, GLP-1R, Glucagon receptor) are available for structure-based drug discovery. This structural data enables the ability to design dual and tri modulators of this important class of metabolic GPCRs. The GIPR model shown below suggests that one of our dual GLP-1/GIPR agonists may extend to fill the pocket (highlighted in color) occupied by our GLP-1/GIPR agonist hits. Multiple approaches were applied for hit identification, including a screen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1" w:name="page142"/>
    <w:bookmarkEnd w:id="14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779"/>
        <w:spacing w:after="0" w:line="293" w:lineRule="auto"/>
        <w:rPr>
          <w:sz w:val="20"/>
          <w:szCs w:val="20"/>
          <w:color w:val="auto"/>
        </w:rPr>
      </w:pPr>
      <w:r>
        <w:rPr>
          <w:rFonts w:ascii="Arial" w:cs="Arial" w:eastAsia="Arial" w:hAnsi="Arial"/>
          <w:sz w:val="12"/>
          <w:szCs w:val="12"/>
          <w:color w:val="auto"/>
        </w:rPr>
        <w:t>of our proprietary incretin compound library. Weak antagonists and agonists were identified. After several rounds of structure activity relationship evolution, a full potential GLP-1R/GIPR antagonist and initial dual GLP-1R/GIPR agonist hit leading to the discovery of an optimized dual GLP-1R/GIPR agonist hit. While displaying different GIPR activity, both compounds still maintained certain levels of GLP-1R activities.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Next generation dual incretin GLP-1R/GIPR agonist hits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183515</wp:posOffset>
            </wp:positionV>
            <wp:extent cx="3733165" cy="1676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33165" cy="167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Our LPA1R and APJR Program for the Treatment of IPF</w:t>
      </w:r>
    </w:p>
    <w:p>
      <w:pPr>
        <w:spacing w:after="0" w:line="44" w:lineRule="exact"/>
        <w:rPr>
          <w:sz w:val="20"/>
          <w:szCs w:val="20"/>
          <w:color w:val="auto"/>
        </w:rPr>
      </w:pPr>
    </w:p>
    <w:p>
      <w:pPr>
        <w:ind w:left="1560" w:right="1579"/>
        <w:spacing w:after="0" w:line="284" w:lineRule="auto"/>
        <w:rPr>
          <w:sz w:val="20"/>
          <w:szCs w:val="20"/>
          <w:color w:val="auto"/>
        </w:rPr>
      </w:pPr>
      <w:r>
        <w:rPr>
          <w:rFonts w:ascii="Arial" w:cs="Arial" w:eastAsia="Arial" w:hAnsi="Arial"/>
          <w:sz w:val="12"/>
          <w:szCs w:val="12"/>
          <w:color w:val="auto"/>
        </w:rPr>
        <w:t>We are developing LTSE-2578, an investigational oral small molecule LPA1R antagonist for the treatment of IPF. We believe LTSE-2578 is a differentiated molecule because it demonstrated potent in vitro and in vivo activity in preclinical IPF models and dose dependent inhibition of histamine release as the pharmacodynamic marker. In addition, we are developing ANPA-0073, an investigational oral small molecule APJR agonist, for the treatment of IPF. When compared to a non-biased APJR agonist (Apelin-12) in a preclinical study, ANPA-0073 avoided hypotension. In September 2022, we completed a Phase 1 SAD and MAD study evaluating ANPA-0073, in which it was generally well tolerated in healthy human volunteers. We expect to conduct additional preclinical studies to be followed by a Phase 1 formulation bridging PK study in Australia. We also plan to initiate a Phase 2 study in 2024 in the United States.</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IPF Disease Background</w:t>
      </w:r>
    </w:p>
    <w:p>
      <w:pPr>
        <w:spacing w:after="0" w:line="92" w:lineRule="exact"/>
        <w:rPr>
          <w:sz w:val="20"/>
          <w:szCs w:val="20"/>
          <w:color w:val="auto"/>
        </w:rPr>
      </w:pPr>
    </w:p>
    <w:p>
      <w:pPr>
        <w:ind w:left="1560" w:right="1679"/>
        <w:spacing w:after="0" w:line="290" w:lineRule="auto"/>
        <w:rPr>
          <w:sz w:val="20"/>
          <w:szCs w:val="20"/>
          <w:color w:val="auto"/>
        </w:rPr>
      </w:pPr>
      <w:r>
        <w:rPr>
          <w:rFonts w:ascii="Arial" w:cs="Arial" w:eastAsia="Arial" w:hAnsi="Arial"/>
          <w:sz w:val="12"/>
          <w:szCs w:val="12"/>
          <w:color w:val="auto"/>
        </w:rPr>
        <w:t>IPF is a life-threatening chronic interstitial lung disease characterized by progressive fibrosis of lung tissue leading to impaired blood oxygenation, progressive deterioration in lung function, and ultimately respiratory failure. IPF occurs primarily among patients between the ages of 50 and 70 years and is associated with high mortality, with median survival time between three- and five-years following diagnosis. Estimated prevalence of IPF is 13 to 20 per 100,000 people worldwide. In the United States, approximately 100,000 people are affected, and 30,000 to 40,000 new cases are diagnosed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2" w:name="page143"/>
    <w:bookmarkEnd w:id="14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Normal lungs (A) and lungs with IPF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183515</wp:posOffset>
            </wp:positionV>
            <wp:extent cx="2983865" cy="10744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83865" cy="107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60" w:right="1599"/>
        <w:spacing w:after="0" w:line="291" w:lineRule="auto"/>
        <w:rPr>
          <w:sz w:val="20"/>
          <w:szCs w:val="20"/>
          <w:color w:val="auto"/>
        </w:rPr>
      </w:pPr>
      <w:r>
        <w:rPr>
          <w:rFonts w:ascii="Arial" w:cs="Arial" w:eastAsia="Arial" w:hAnsi="Arial"/>
          <w:sz w:val="12"/>
          <w:szCs w:val="12"/>
          <w:color w:val="auto"/>
        </w:rPr>
        <w:t>The etiology of IPF remains unknown. IPF is a progressive disease, beginning with inflammation followed by fibrotic buildup as damaged epithelial cells surrounding the alveoli are replaced by fibroblasts, as shown above. Buildup of fibroblasts cause the lungs to thicken over time, becoming stiff and unable to properly function. In addition to complications from the disease itself, IPF can lead to other severe co-morbidities, including lung cancer, pulmonary embolisms, pneumonia or PH.</w:t>
      </w:r>
    </w:p>
    <w:p>
      <w:pPr>
        <w:spacing w:after="0" w:line="72" w:lineRule="exact"/>
        <w:rPr>
          <w:sz w:val="20"/>
          <w:szCs w:val="20"/>
          <w:color w:val="auto"/>
        </w:rPr>
      </w:pPr>
    </w:p>
    <w:p>
      <w:pPr>
        <w:jc w:val="both"/>
        <w:ind w:left="1560" w:right="1839"/>
        <w:spacing w:after="0" w:line="297" w:lineRule="auto"/>
        <w:rPr>
          <w:sz w:val="20"/>
          <w:szCs w:val="20"/>
          <w:color w:val="auto"/>
        </w:rPr>
      </w:pPr>
      <w:r>
        <w:rPr>
          <w:rFonts w:ascii="Arial" w:cs="Arial" w:eastAsia="Arial" w:hAnsi="Arial"/>
          <w:sz w:val="12"/>
          <w:szCs w:val="12"/>
          <w:color w:val="auto"/>
        </w:rPr>
        <w:t>The most common symptoms of IPF are shortness of breath, persistent cough, fatigue, and weight loss, severely impacting quality of life. Given the non-specific nature of these symptoms, IPF is challenging to diagnose, particularly in the early stages of disease.</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Current Treatments for IPF and Unmet Medical Need</w:t>
      </w:r>
    </w:p>
    <w:p>
      <w:pPr>
        <w:spacing w:after="0" w:line="92" w:lineRule="exact"/>
        <w:rPr>
          <w:sz w:val="20"/>
          <w:szCs w:val="20"/>
          <w:color w:val="auto"/>
        </w:rPr>
      </w:pPr>
    </w:p>
    <w:p>
      <w:pPr>
        <w:ind w:left="1560" w:right="2039"/>
        <w:spacing w:after="0" w:line="325" w:lineRule="auto"/>
        <w:rPr>
          <w:sz w:val="20"/>
          <w:szCs w:val="20"/>
          <w:color w:val="auto"/>
        </w:rPr>
      </w:pPr>
      <w:r>
        <w:rPr>
          <w:rFonts w:ascii="Arial" w:cs="Arial" w:eastAsia="Arial" w:hAnsi="Arial"/>
          <w:sz w:val="12"/>
          <w:szCs w:val="12"/>
          <w:color w:val="auto"/>
        </w:rPr>
        <w:t>Currently, there are two FDA-approved drugs for the treatment of IPF, Esbriet (pirfenidone) and Ofev (nintedanib).</w:t>
      </w:r>
    </w:p>
    <w:p>
      <w:pPr>
        <w:spacing w:after="0" w:line="52" w:lineRule="exact"/>
        <w:rPr>
          <w:sz w:val="20"/>
          <w:szCs w:val="20"/>
          <w:color w:val="auto"/>
        </w:rPr>
      </w:pPr>
    </w:p>
    <w:p>
      <w:pPr>
        <w:ind w:left="1560" w:right="1579"/>
        <w:spacing w:after="0" w:line="290" w:lineRule="auto"/>
        <w:rPr>
          <w:sz w:val="20"/>
          <w:szCs w:val="20"/>
          <w:color w:val="auto"/>
        </w:rPr>
      </w:pPr>
      <w:r>
        <w:rPr>
          <w:rFonts w:ascii="Arial" w:cs="Arial" w:eastAsia="Arial" w:hAnsi="Arial"/>
          <w:sz w:val="12"/>
          <w:szCs w:val="12"/>
          <w:color w:val="auto"/>
        </w:rPr>
        <w:t>Pirfenidone exhibits anti-fibrotic, anti-inflammatory and antioxidant properties through down-regulation of key pro-fibrotic growth factors including TGF-β, inhibition of inflammatory cytokines production and release and reduction of lipid peroxidation and oxidative stress. In Phase 3 trials, pirfenidone slowed disease progression and functional decline in patients with IPF and showed a reduced risk of mortality. Common adverse effects of pirfenidone include gastrointestinal intolerance such as nausea, diarrhea and dyspepsia and skin reactions, including rash and photosensitivity.</w:t>
      </w:r>
    </w:p>
    <w:p>
      <w:pPr>
        <w:spacing w:after="0" w:line="73" w:lineRule="exact"/>
        <w:rPr>
          <w:sz w:val="20"/>
          <w:szCs w:val="20"/>
          <w:color w:val="auto"/>
        </w:rPr>
      </w:pPr>
    </w:p>
    <w:p>
      <w:pPr>
        <w:ind w:left="1560" w:right="1599"/>
        <w:spacing w:after="0" w:line="287" w:lineRule="auto"/>
        <w:rPr>
          <w:sz w:val="20"/>
          <w:szCs w:val="20"/>
          <w:color w:val="auto"/>
        </w:rPr>
      </w:pPr>
      <w:r>
        <w:rPr>
          <w:rFonts w:ascii="Arial" w:cs="Arial" w:eastAsia="Arial" w:hAnsi="Arial"/>
          <w:sz w:val="12"/>
          <w:szCs w:val="12"/>
          <w:color w:val="auto"/>
        </w:rPr>
        <w:t>Nintedanib is an intracellular inhibitor that targets multiple tyrosine kinase growth factor receptors (vascular endothelial growth factor receptors 1-3, fibroblast growth factor receptors 1-3, and platelet-derived growth factor receptors α and β). By inhibiting these receptors, nintedanib interferes with processes implicated in IPF pathogenesis, including proliferation and migration of lung fibroblasts, and differentiation of fibroblasts to myofibroblasts. Nintedanib may also have a mortality benefit. Its most frequent side effects are diarrhea and nausea.</w:t>
      </w:r>
    </w:p>
    <w:p>
      <w:pPr>
        <w:spacing w:after="0" w:line="83" w:lineRule="exact"/>
        <w:rPr>
          <w:sz w:val="20"/>
          <w:szCs w:val="20"/>
          <w:color w:val="auto"/>
        </w:rPr>
      </w:pPr>
    </w:p>
    <w:p>
      <w:pPr>
        <w:ind w:left="1560" w:right="1579"/>
        <w:spacing w:after="0" w:line="287" w:lineRule="auto"/>
        <w:rPr>
          <w:sz w:val="20"/>
          <w:szCs w:val="20"/>
          <w:color w:val="auto"/>
        </w:rPr>
      </w:pPr>
      <w:r>
        <w:rPr>
          <w:rFonts w:ascii="Arial" w:cs="Arial" w:eastAsia="Arial" w:hAnsi="Arial"/>
          <w:sz w:val="12"/>
          <w:szCs w:val="12"/>
          <w:color w:val="auto"/>
        </w:rPr>
        <w:t>Both drugs are recommended by the most recent treatment guidelines from 2015. These therapeutics slow disease progression, but do not offer a cure. The two-year mortality rate is 36% and 39% after treatment of nintedanib and pirfenidone respectively. Safety and tolerability concerns, which resulted in a 20% to 30% discontinuation rate due to side effects, limit therapeutic usage and there remains an unmet medical need for IPF patients. Despite these limitations, these two drugs have generated total sales of  $3.6 billion in 2020.</w:t>
      </w:r>
    </w:p>
    <w:p>
      <w:pPr>
        <w:spacing w:after="0" w:line="1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Overview of LPA1R Pathway and Target Biology</w:t>
      </w:r>
    </w:p>
    <w:p>
      <w:pPr>
        <w:spacing w:after="0" w:line="44" w:lineRule="exact"/>
        <w:rPr>
          <w:sz w:val="20"/>
          <w:szCs w:val="20"/>
          <w:color w:val="auto"/>
        </w:rPr>
      </w:pPr>
    </w:p>
    <w:p>
      <w:pPr>
        <w:ind w:left="1560" w:right="1599"/>
        <w:spacing w:after="0" w:line="305" w:lineRule="auto"/>
        <w:rPr>
          <w:sz w:val="20"/>
          <w:szCs w:val="20"/>
          <w:color w:val="auto"/>
        </w:rPr>
      </w:pPr>
      <w:r>
        <w:rPr>
          <w:rFonts w:ascii="Arial" w:cs="Arial" w:eastAsia="Arial" w:hAnsi="Arial"/>
          <w:sz w:val="12"/>
          <w:szCs w:val="12"/>
          <w:color w:val="auto"/>
        </w:rPr>
        <w:t>Lysophosphatidic acid, or LPA, is a bioactive lipid which exerts potent extracellular signaling through its interaction with several GPCRs, mediating important cellular responses, such as proliferation, migration, and cytoskeletal reorganization.</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3" w:name="page144"/>
    <w:bookmarkEnd w:id="14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LPA/LPA1R in IPF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85090</wp:posOffset>
            </wp:positionV>
            <wp:extent cx="2240915" cy="18357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40915"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60" w:right="1619"/>
        <w:spacing w:after="0" w:line="293" w:lineRule="auto"/>
        <w:rPr>
          <w:sz w:val="20"/>
          <w:szCs w:val="20"/>
          <w:color w:val="auto"/>
        </w:rPr>
      </w:pPr>
      <w:r>
        <w:rPr>
          <w:rFonts w:ascii="Arial" w:cs="Arial" w:eastAsia="Arial" w:hAnsi="Arial"/>
          <w:sz w:val="12"/>
          <w:szCs w:val="12"/>
          <w:color w:val="auto"/>
        </w:rPr>
        <w:t>As shown above, upon injury to certain cells in the lung, LPA levels increase and activate LPA1R. In published third-party preclinical studies, LPA1R activation promoted pro-fibrotic processes, including accumulation of fibroblasts; genetic or PD inhibition of LPA1R attenuated bleomycin induced lung fibrosis by mediating fibroblast recruitment and vascular leak.</w:t>
      </w:r>
    </w:p>
    <w:p>
      <w:pPr>
        <w:spacing w:after="0" w:line="71" w:lineRule="exact"/>
        <w:rPr>
          <w:sz w:val="20"/>
          <w:szCs w:val="20"/>
          <w:color w:val="auto"/>
        </w:rPr>
      </w:pPr>
    </w:p>
    <w:p>
      <w:pPr>
        <w:ind w:left="1560" w:right="1599"/>
        <w:spacing w:after="0" w:line="285" w:lineRule="auto"/>
        <w:rPr>
          <w:sz w:val="20"/>
          <w:szCs w:val="20"/>
          <w:color w:val="auto"/>
        </w:rPr>
      </w:pPr>
      <w:r>
        <w:rPr>
          <w:rFonts w:ascii="Arial" w:cs="Arial" w:eastAsia="Arial" w:hAnsi="Arial"/>
          <w:sz w:val="12"/>
          <w:szCs w:val="12"/>
          <w:color w:val="auto"/>
        </w:rPr>
        <w:t>We believe that LPA1R has been clinically validated as a potential target based on proof-of-concept data from a third-party, randomized, double blind, placebo-controlled Phase 2 trial of an LPA1R antagonist (BMS-986020) in patients with IPF. Patients in the 600mg BID cohort exhibited significantly slower rates of forced vital capacity decline from baseline to 26 weeks versus placebo. Although the compound was generally well tolerated, dose-related hepatobiliary toxicity in some patients led to early termination of the trial. After conducting additional toxicology investigations, BMS reported that hepatobiliary toxicity was likely caused by inhibition of bile acids efflux transporters such as Bile Salt Export Pump, or BSEP. Second generation LPA1R antagonists (BMS-986278) with minimal BSEP inhibition by BMS are currently in clinical development.</w:t>
      </w:r>
    </w:p>
    <w:p>
      <w:pPr>
        <w:spacing w:after="0" w:line="246" w:lineRule="exact"/>
        <w:rPr>
          <w:sz w:val="20"/>
          <w:szCs w:val="20"/>
          <w:color w:val="auto"/>
        </w:rPr>
      </w:pPr>
    </w:p>
    <w:p>
      <w:pPr>
        <w:ind w:left="1560" w:right="1679"/>
        <w:spacing w:after="0" w:line="293" w:lineRule="auto"/>
        <w:rPr>
          <w:sz w:val="20"/>
          <w:szCs w:val="20"/>
          <w:color w:val="auto"/>
        </w:rPr>
      </w:pPr>
      <w:r>
        <w:rPr>
          <w:rFonts w:ascii="Arial" w:cs="Arial" w:eastAsia="Arial" w:hAnsi="Arial"/>
          <w:sz w:val="12"/>
          <w:szCs w:val="12"/>
          <w:color w:val="auto"/>
        </w:rPr>
        <w:t>As illustrated below, we utilized the available protein structural information to collaborate with Schrödinger. After validation and customization with an initial set of compounds for retrospective analysis, Schrödinger’s FEP was utilized and suggested potency in the prospective analysis. This customized model greatly expedited the iterative lead optimization process and helped us to achieve candidate selection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4" w:name="page145"/>
    <w:bookmarkEnd w:id="14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Iterative LPA1R Structure-Based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66675</wp:posOffset>
            </wp:positionV>
            <wp:extent cx="2437765" cy="16452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37765"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Preclinical Data</w:t>
      </w:r>
    </w:p>
    <w:p>
      <w:pPr>
        <w:spacing w:after="0" w:line="82" w:lineRule="exact"/>
        <w:rPr>
          <w:sz w:val="20"/>
          <w:szCs w:val="20"/>
          <w:color w:val="auto"/>
        </w:rPr>
      </w:pPr>
    </w:p>
    <w:p>
      <w:pPr>
        <w:ind w:left="1560" w:right="1599"/>
        <w:spacing w:after="0" w:line="253" w:lineRule="auto"/>
        <w:rPr>
          <w:sz w:val="20"/>
          <w:szCs w:val="20"/>
          <w:color w:val="auto"/>
        </w:rPr>
      </w:pPr>
      <w:r>
        <w:rPr>
          <w:rFonts w:ascii="Arial" w:cs="Arial" w:eastAsia="Arial" w:hAnsi="Arial"/>
          <w:sz w:val="12"/>
          <w:szCs w:val="12"/>
          <w:color w:val="auto"/>
        </w:rPr>
        <w:t xml:space="preserve">In an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PK and PD study, mice were orally dosed with LTSE-2578 and challenged by LPA at one hour and at 12 hours after dosing. Plasma was collected at two minutes post-LPA challenge and histamine level was measured as a pharmacodynamics biomarker. As shown below, LTSE-2578 demonstrated reductions in histamine release at doses ≥ 0.06 mg/kg, as compared to approximately 45 ng/mL and approximately</w:t>
      </w:r>
    </w:p>
    <w:p>
      <w:pPr>
        <w:spacing w:after="0" w:line="1" w:lineRule="exact"/>
        <w:rPr>
          <w:sz w:val="20"/>
          <w:szCs w:val="20"/>
          <w:color w:val="auto"/>
        </w:rPr>
      </w:pPr>
    </w:p>
    <w:p>
      <w:pPr>
        <w:ind w:left="1560" w:right="2119"/>
        <w:spacing w:after="0" w:line="271" w:lineRule="auto"/>
        <w:rPr>
          <w:sz w:val="20"/>
          <w:szCs w:val="20"/>
          <w:color w:val="auto"/>
        </w:rPr>
      </w:pPr>
      <w:r>
        <w:rPr>
          <w:rFonts w:ascii="Arial" w:cs="Arial" w:eastAsia="Arial" w:hAnsi="Arial"/>
          <w:sz w:val="12"/>
          <w:szCs w:val="12"/>
          <w:color w:val="auto"/>
        </w:rPr>
        <w:t>201 ng/mL for BMS’s first generation (BMS-986020) and second generation (BMS-986278) LPA1R antagonists, respectively.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LTSE-2578 demonstrated dose dependent inhibition of histamine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73025</wp:posOffset>
            </wp:positionV>
            <wp:extent cx="2615565" cy="1939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15565" cy="193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LTSE-2578 showed limited inhibition (IC50 &gt; 50 μ M) of efflux transporters including BSEP, MRP3 and MRP4, potentially reducing the likelihood of hepatobiliary toxicity caused by efflux transporter inhibition. IND-enabling studies of LTSE-2578 are ongoing with data expected in the second half of 2023.</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Overview of APJR Pathway and Target Biology</w:t>
      </w:r>
    </w:p>
    <w:p>
      <w:pPr>
        <w:spacing w:after="0" w:line="34"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The apelinergic system plays a key role in the maintenance of vascular health and function through regulation of fibrosis, cell proliferation and inflammation. APJR is highly expressed in the pulmonary vascular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5" w:name="page146"/>
    <w:bookmarkEnd w:id="14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99"/>
        <w:spacing w:after="0" w:line="271" w:lineRule="auto"/>
        <w:rPr>
          <w:sz w:val="20"/>
          <w:szCs w:val="20"/>
          <w:color w:val="auto"/>
        </w:rPr>
      </w:pPr>
      <w:r>
        <w:rPr>
          <w:rFonts w:ascii="Arial" w:cs="Arial" w:eastAsia="Arial" w:hAnsi="Arial"/>
          <w:sz w:val="12"/>
          <w:szCs w:val="12"/>
          <w:color w:val="auto"/>
        </w:rPr>
        <w:t>endothelium and is upregulated on endothelial cells in IPF patients. Further, activation of the apelinergic system through APJR has been shown to protect endothelial cell survival, and is critical for regeneration of the small capillary blood vessels. These findings support the possibility that an APJR agonist may play a beneficial role in interstitial lung disease.</w:t>
      </w:r>
    </w:p>
    <w:p>
      <w:pPr>
        <w:spacing w:after="0" w:line="73"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Apelin binding to APJR activates G-protein second messenger signaling and leads to reduced production of cyclic adenosine monophosphate, or cAMP. Apelin binding to APJR also initiates a feedback loop that eventually downregulates apelin-APJR signaling by recruitment of β-arrestin and subsequent internalization of APJR. In addition, recruitment of β-arrestin triggers downstream pathways that induce vasorelaxation and cardiomyocyte hypertrophy. Therefore, the degree of activation by designed ligands of G-protein and β-arrestin signaling pathway may lead to both therapeutic benefit and undesirable effects.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Importance of endothelial cells on pulmonary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85090</wp:posOffset>
            </wp:positionV>
            <wp:extent cx="2615565" cy="20999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1556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As shown above, while epithelial cell damage and the inflammatory response are known contributors to fibrosis, recent studies have highlighted the importance of endothelial cells on pulmonary fibrosis. Microvascular injuries are observed in patients with pulmonary fibrosis. Persistent vascular leak may support a pro-inflammatory and pro-fibrotic environment. Endothelial senescence is found in the lung of IPF patients. Senescent endothelial cells could secrete factors that directly stimulate fibroblast activation. Targeting apelin pathway may promote capillary regeneration, ameliorate the inflammatory environment, and reduce endothelial senescence, in this way reducing lung fibrosis. Since an APJR agonist mainly targets endothelial cells, we believe it could be easily combined with the current standard of care, pirfenidone and ninetedanib, which do not target the anti-fibrosis pathway from endothelial cells.</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ANPA-0073</w:t>
      </w:r>
    </w:p>
    <w:p>
      <w:pPr>
        <w:spacing w:after="0" w:line="82"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 xml:space="preserve">We are developing ANPA-0073, an investigational, oral, small molecule APJR agonist, for the treatment of IPF. ANPA-0073 is designed to suppress cAMP production through activation of a G-protein-mediated signaling without significant activation of the β-arrestin pathway in order to avoid APJ internalization, and thereby potentially avoid any desensitization effects of an unbiased APJR agonist. We conducted preclinical </w:t>
      </w:r>
      <w:r>
        <w:rPr>
          <w:rFonts w:ascii="Arial" w:cs="Arial" w:eastAsia="Arial" w:hAnsi="Arial"/>
          <w:sz w:val="12"/>
          <w:szCs w:val="12"/>
          <w:i w:val="1"/>
          <w:iCs w:val="1"/>
          <w:color w:val="auto"/>
        </w:rPr>
        <w:t xml:space="preserve">in vitro </w:t>
      </w:r>
      <w:r>
        <w:rPr>
          <w:rFonts w:ascii="Arial" w:cs="Arial" w:eastAsia="Arial" w:hAnsi="Arial"/>
          <w:sz w:val="12"/>
          <w:szCs w:val="12"/>
          <w:color w:val="auto"/>
        </w:rPr>
        <w:t>studies on our compounds and third-party compounds to assess arrestin signaling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internalization. As shown below, apelin peptide and clinically tested competitor compounds including AMG-986 and BMS-986224 are all non-biased APJR agonists in these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studies, with low β-arrestin/cAMP and internalization/cAMP ratios. Our molecules, such as ANPA-0073 and ANPA-137, are designed to be biased with much higher β-arrestin/cAMP and internalization/cAMP ratios than apelin peptide and the competitor compounds shown below.</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6" w:name="page147"/>
    <w:bookmarkEnd w:id="14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APJR biased agonism is a potential differentiator for ANPA-0073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183515</wp:posOffset>
            </wp:positionV>
            <wp:extent cx="373316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560" w:type="dxa"/>
        <w:tblCellMar>
          <w:top w:w="0" w:type="dxa"/>
          <w:left w:w="0" w:type="dxa"/>
          <w:bottom w:w="0" w:type="dxa"/>
          <w:right w:w="0" w:type="dxa"/>
        </w:tblCellMar>
      </w:tblPr>
      <w:tr>
        <w:trPr>
          <w:trHeight w:val="142"/>
        </w:trPr>
        <w:tc>
          <w:tcPr>
            <w:tcW w:w="3300" w:type="dxa"/>
            <w:vAlign w:val="bottom"/>
          </w:tcPr>
          <w:p>
            <w:pPr>
              <w:spacing w:after="0"/>
              <w:rPr>
                <w:sz w:val="20"/>
                <w:szCs w:val="20"/>
                <w:color w:val="auto"/>
              </w:rPr>
            </w:pPr>
            <w:r>
              <w:rPr>
                <w:rFonts w:ascii="Arial" w:cs="Arial" w:eastAsia="Arial" w:hAnsi="Arial"/>
                <w:sz w:val="10"/>
                <w:szCs w:val="10"/>
                <w:b w:val="1"/>
                <w:bCs w:val="1"/>
                <w:color w:val="auto"/>
              </w:rPr>
              <w:t>​</w:t>
            </w:r>
          </w:p>
        </w:tc>
        <w:tc>
          <w:tcPr>
            <w:tcW w:w="200" w:type="dxa"/>
            <w:vAlign w:val="bottom"/>
            <w:gridSpan w:val="2"/>
          </w:tcPr>
          <w:p>
            <w:pPr>
              <w:spacing w:after="0"/>
              <w:rPr>
                <w:sz w:val="20"/>
                <w:szCs w:val="20"/>
                <w:color w:val="auto"/>
              </w:rPr>
            </w:pPr>
            <w:r>
              <w:rPr>
                <w:rFonts w:ascii="Arial" w:cs="Arial" w:eastAsia="Arial" w:hAnsi="Arial"/>
                <w:sz w:val="10"/>
                <w:szCs w:val="10"/>
                <w:b w:val="1"/>
                <w:bCs w:val="1"/>
                <w:color w:val="auto"/>
              </w:rPr>
              <w:t>​ ​</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9"/>
          </w:tcPr>
          <w:p>
            <w:pPr>
              <w:ind w:left="300"/>
              <w:spacing w:after="0"/>
              <w:rPr>
                <w:sz w:val="20"/>
                <w:szCs w:val="20"/>
                <w:color w:val="auto"/>
              </w:rPr>
            </w:pPr>
            <w:r>
              <w:rPr>
                <w:rFonts w:ascii="Arial" w:cs="Arial" w:eastAsia="Arial" w:hAnsi="Arial"/>
                <w:sz w:val="10"/>
                <w:szCs w:val="10"/>
                <w:b w:val="1"/>
                <w:bCs w:val="1"/>
                <w:color w:val="auto"/>
              </w:rPr>
              <w:t>BIASED SELECTIVITY</w:t>
            </w:r>
          </w:p>
        </w:tc>
        <w:tc>
          <w:tcPr>
            <w:tcW w:w="2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r>
      <w:tr>
        <w:trPr>
          <w:trHeight w:val="128"/>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β-ARRESTIN</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3300" w:type="dxa"/>
            <w:vAlign w:val="bottom"/>
          </w:tcPr>
          <w:p>
            <w:pPr>
              <w:spacing w:after="0"/>
              <w:rPr>
                <w:sz w:val="20"/>
                <w:szCs w:val="20"/>
                <w:color w:val="auto"/>
              </w:rPr>
            </w:pPr>
            <w:r>
              <w:rPr>
                <w:rFonts w:ascii="Arial" w:cs="Arial" w:eastAsia="Arial" w:hAnsi="Arial"/>
                <w:sz w:val="10"/>
                <w:szCs w:val="10"/>
                <w:b w:val="1"/>
                <w:bCs w:val="1"/>
                <w:color w:val="auto"/>
              </w:rPr>
              <w:t>COMPOUND ID</w:t>
            </w:r>
          </w:p>
        </w:tc>
        <w:tc>
          <w:tcPr>
            <w:tcW w:w="2620" w:type="dxa"/>
            <w:vAlign w:val="bottom"/>
            <w:gridSpan w:val="15"/>
          </w:tcPr>
          <w:p>
            <w:pPr>
              <w:ind w:left="40"/>
              <w:spacing w:after="0"/>
              <w:rPr>
                <w:sz w:val="20"/>
                <w:szCs w:val="20"/>
                <w:color w:val="auto"/>
              </w:rPr>
            </w:pPr>
            <w:r>
              <w:rPr>
                <w:rFonts w:ascii="Arial" w:cs="Arial" w:eastAsia="Arial" w:hAnsi="Arial"/>
                <w:sz w:val="10"/>
                <w:szCs w:val="10"/>
                <w:b w:val="1"/>
                <w:bCs w:val="1"/>
                <w:color w:val="auto"/>
              </w:rPr>
              <w:t>​ ​SIGNALING/cAMP ​ ​INTERNALIZATION/cAMP​</w:t>
            </w:r>
          </w:p>
        </w:tc>
      </w:tr>
      <w:tr>
        <w:trPr>
          <w:trHeight w:val="135"/>
        </w:trPr>
        <w:tc>
          <w:tcPr>
            <w:tcW w:w="33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Apelin Peptide</w:t>
            </w:r>
          </w:p>
        </w:tc>
        <w:tc>
          <w:tcPr>
            <w:tcW w:w="140" w:type="dxa"/>
            <w:vAlign w:val="bottom"/>
            <w:tcBorders>
              <w:top w:val="single" w:sz="8" w:color="CCEEFF"/>
            </w:tcBorders>
            <w:shd w:val="clear" w:color="auto" w:fill="CCEEFF"/>
          </w:tcPr>
          <w:p>
            <w:pPr>
              <w:ind w:left="40"/>
              <w:spacing w:after="0" w:line="135" w:lineRule="exact"/>
              <w:rPr>
                <w:sz w:val="20"/>
                <w:szCs w:val="20"/>
                <w:color w:val="auto"/>
              </w:rPr>
            </w:pPr>
            <w:r>
              <w:rPr>
                <w:rFonts w:ascii="Arial" w:cs="Arial" w:eastAsia="Arial" w:hAnsi="Arial"/>
                <w:sz w:val="12"/>
                <w:szCs w:val="12"/>
                <w:color w:val="auto"/>
              </w:rPr>
              <w:t>​ ​</w:t>
            </w: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1.33</w:t>
            </w:r>
          </w:p>
        </w:tc>
        <w:tc>
          <w:tcPr>
            <w:tcW w:w="100" w:type="dxa"/>
            <w:vAlign w:val="bottom"/>
            <w:tcBorders>
              <w:top w:val="single" w:sz="8" w:color="auto"/>
            </w:tcBorders>
            <w:shd w:val="clear" w:color="auto" w:fill="CCEEFF"/>
          </w:tcPr>
          <w:p>
            <w:pPr>
              <w:ind w:left="60"/>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 ​</w:t>
            </w: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 ​</w:t>
            </w:r>
          </w:p>
        </w:tc>
        <w:tc>
          <w:tcPr>
            <w:tcW w:w="520" w:type="dxa"/>
            <w:vAlign w:val="bottom"/>
            <w:tcBorders>
              <w:top w:val="single" w:sz="8" w:color="auto"/>
            </w:tcBorders>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1.47</w:t>
            </w:r>
          </w:p>
        </w:tc>
        <w:tc>
          <w:tcPr>
            <w:tcW w:w="280" w:type="dxa"/>
            <w:vAlign w:val="bottom"/>
            <w:tcBorders>
              <w:top w:val="single" w:sz="8" w:color="auto"/>
            </w:tcBorders>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r>
      <w:tr>
        <w:trPr>
          <w:trHeight w:val="145"/>
        </w:trPr>
        <w:tc>
          <w:tcPr>
            <w:tcW w:w="3300" w:type="dxa"/>
            <w:vAlign w:val="bottom"/>
          </w:tcPr>
          <w:p>
            <w:pPr>
              <w:spacing w:after="0"/>
              <w:rPr>
                <w:sz w:val="20"/>
                <w:szCs w:val="20"/>
                <w:color w:val="auto"/>
              </w:rPr>
            </w:pPr>
            <w:r>
              <w:rPr>
                <w:rFonts w:ascii="Arial" w:cs="Arial" w:eastAsia="Arial" w:hAnsi="Arial"/>
                <w:sz w:val="12"/>
                <w:szCs w:val="12"/>
                <w:color w:val="auto"/>
              </w:rPr>
              <w:t>AMG-986</w:t>
            </w:r>
          </w:p>
        </w:tc>
        <w:tc>
          <w:tcPr>
            <w:tcW w:w="20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28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0.86</w:t>
            </w: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 ​ ​</w:t>
            </w:r>
          </w:p>
        </w:tc>
        <w:tc>
          <w:tcPr>
            <w:tcW w:w="320" w:type="dxa"/>
            <w:vAlign w:val="bottom"/>
            <w:gridSpan w:val="2"/>
          </w:tcPr>
          <w:p>
            <w:pPr>
              <w:ind w:left="200"/>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280" w:type="dxa"/>
            <w:vAlign w:val="bottom"/>
          </w:tcPr>
          <w:p>
            <w:pPr>
              <w:ind w:lef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4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BMS-986224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4.48</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 ​ ​</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 ​</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w:t>
            </w:r>
          </w:p>
        </w:tc>
        <w:tc>
          <w:tcPr>
            <w:tcW w:w="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45"/>
        </w:trPr>
        <w:tc>
          <w:tcPr>
            <w:tcW w:w="3300" w:type="dxa"/>
            <w:vAlign w:val="bottom"/>
          </w:tcPr>
          <w:p>
            <w:pPr>
              <w:spacing w:after="0"/>
              <w:rPr>
                <w:sz w:val="20"/>
                <w:szCs w:val="20"/>
                <w:color w:val="auto"/>
              </w:rPr>
            </w:pPr>
            <w:r>
              <w:rPr>
                <w:rFonts w:ascii="Arial" w:cs="Arial" w:eastAsia="Arial" w:hAnsi="Arial"/>
                <w:sz w:val="12"/>
                <w:szCs w:val="12"/>
                <w:color w:val="auto"/>
              </w:rPr>
              <w:t>ANPA-0073</w:t>
            </w:r>
          </w:p>
        </w:tc>
        <w:tc>
          <w:tcPr>
            <w:tcW w:w="20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28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18.02</w:t>
            </w: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 ​ ​</w:t>
            </w:r>
          </w:p>
        </w:tc>
        <w:tc>
          <w:tcPr>
            <w:tcW w:w="320" w:type="dxa"/>
            <w:vAlign w:val="bottom"/>
            <w:gridSpan w:val="2"/>
          </w:tcPr>
          <w:p>
            <w:pPr>
              <w:ind w:left="200"/>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3074</w:t>
            </w:r>
          </w:p>
        </w:tc>
        <w:tc>
          <w:tcPr>
            <w:tcW w:w="280" w:type="dxa"/>
            <w:vAlign w:val="bottom"/>
          </w:tcPr>
          <w:p>
            <w:pPr>
              <w:ind w:lef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5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ANPA-137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28.20</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 ​ ​</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 ​</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1411</w:t>
            </w:r>
          </w:p>
        </w:tc>
        <w:tc>
          <w:tcPr>
            <w:tcW w:w="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77"/>
        </w:trPr>
        <w:tc>
          <w:tcPr>
            <w:tcW w:w="3300" w:type="dxa"/>
            <w:vAlign w:val="bottom"/>
            <w:tcBorders>
              <w:top w:val="single" w:sz="8" w:color="CCEEFF"/>
              <w:bottom w:val="single" w:sz="8" w:color="auto"/>
            </w:tcBorders>
          </w:tcPr>
          <w:p>
            <w:pPr>
              <w:spacing w:after="0"/>
              <w:rPr>
                <w:sz w:val="6"/>
                <w:szCs w:val="6"/>
                <w:color w:val="auto"/>
              </w:rPr>
            </w:pPr>
          </w:p>
        </w:tc>
        <w:tc>
          <w:tcPr>
            <w:tcW w:w="14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20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140" w:type="dxa"/>
            <w:vAlign w:val="bottom"/>
            <w:tcBorders>
              <w:top w:val="single" w:sz="8" w:color="CCEEFF"/>
              <w:bottom w:val="single" w:sz="8" w:color="auto"/>
            </w:tcBorders>
          </w:tcPr>
          <w:p>
            <w:pPr>
              <w:spacing w:after="0"/>
              <w:rPr>
                <w:sz w:val="6"/>
                <w:szCs w:val="6"/>
                <w:color w:val="auto"/>
              </w:rPr>
            </w:pPr>
          </w:p>
        </w:tc>
        <w:tc>
          <w:tcPr>
            <w:tcW w:w="220" w:type="dxa"/>
            <w:vAlign w:val="bottom"/>
            <w:tcBorders>
              <w:top w:val="single" w:sz="8" w:color="CCEEFF"/>
              <w:bottom w:val="single" w:sz="8" w:color="auto"/>
            </w:tcBorders>
          </w:tcPr>
          <w:p>
            <w:pPr>
              <w:spacing w:after="0"/>
              <w:rPr>
                <w:sz w:val="6"/>
                <w:szCs w:val="6"/>
                <w:color w:val="auto"/>
              </w:rPr>
            </w:pPr>
          </w:p>
        </w:tc>
        <w:tc>
          <w:tcPr>
            <w:tcW w:w="26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CCEEFF"/>
              <w:bottom w:val="single" w:sz="8" w:color="auto"/>
            </w:tcBorders>
          </w:tcPr>
          <w:p>
            <w:pPr>
              <w:spacing w:after="0"/>
              <w:rPr>
                <w:sz w:val="6"/>
                <w:szCs w:val="6"/>
                <w:color w:val="auto"/>
              </w:rPr>
            </w:pPr>
          </w:p>
        </w:tc>
        <w:tc>
          <w:tcPr>
            <w:tcW w:w="280" w:type="dxa"/>
            <w:vAlign w:val="bottom"/>
            <w:tcBorders>
              <w:top w:val="single" w:sz="8" w:color="CCEEFF"/>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-539750</wp:posOffset>
            </wp:positionV>
            <wp:extent cx="8572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-539750</wp:posOffset>
            </wp:positionV>
            <wp:extent cx="8572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6350"/>
                    </a:xfrm>
                    <a:prstGeom prst="rect">
                      <a:avLst/>
                    </a:prstGeom>
                    <a:noFill/>
                  </pic:spPr>
                </pic:pic>
              </a:graphicData>
            </a:graphic>
          </wp:anchor>
        </w:drawing>
      </w:r>
    </w:p>
    <w:p>
      <w:pPr>
        <w:spacing w:after="0" w:line="13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Preclinical Data</w:t>
      </w:r>
    </w:p>
    <w:p>
      <w:pPr>
        <w:spacing w:after="0" w:line="92" w:lineRule="exact"/>
        <w:rPr>
          <w:sz w:val="20"/>
          <w:szCs w:val="20"/>
          <w:color w:val="auto"/>
        </w:rPr>
      </w:pPr>
    </w:p>
    <w:p>
      <w:pPr>
        <w:ind w:left="1560" w:right="1639"/>
        <w:spacing w:after="0" w:line="291" w:lineRule="auto"/>
        <w:rPr>
          <w:sz w:val="20"/>
          <w:szCs w:val="20"/>
          <w:color w:val="auto"/>
        </w:rPr>
      </w:pPr>
      <w:r>
        <w:rPr>
          <w:rFonts w:ascii="Arial" w:cs="Arial" w:eastAsia="Arial" w:hAnsi="Arial"/>
          <w:sz w:val="12"/>
          <w:szCs w:val="12"/>
          <w:color w:val="auto"/>
        </w:rPr>
        <w:t xml:space="preserve">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study, ANPA-0073 demonstrated high potency in suppressing cAMP production through the G-protein-mediated signaling pathway with a half maximal excitatory concentration (EC50) value of less than 10 nM (n=15), but less potency in triggering the β-arrestin pathway and APJR internalization respectively. These data suggest ANPA-0073 is highly biased. The G-protein agonist potency of ANPA-0073 was similar across different species (rat, dog and monkey).</w:t>
      </w:r>
    </w:p>
    <w:p>
      <w:pPr>
        <w:spacing w:after="0" w:line="72" w:lineRule="exact"/>
        <w:rPr>
          <w:sz w:val="20"/>
          <w:szCs w:val="20"/>
          <w:color w:val="auto"/>
        </w:rPr>
      </w:pPr>
    </w:p>
    <w:p>
      <w:pPr>
        <w:ind w:left="1560" w:right="1579"/>
        <w:spacing w:after="0" w:line="293" w:lineRule="auto"/>
        <w:rPr>
          <w:sz w:val="20"/>
          <w:szCs w:val="20"/>
          <w:color w:val="auto"/>
        </w:rPr>
      </w:pPr>
      <w:r>
        <w:rPr>
          <w:rFonts w:ascii="Arial" w:cs="Arial" w:eastAsia="Arial" w:hAnsi="Arial"/>
          <w:sz w:val="12"/>
          <w:szCs w:val="12"/>
          <w:color w:val="auto"/>
        </w:rPr>
        <w:t>Anti-fibrosis effect of an APJ agonist ANPA-0137 was evaluated in bleomycin induced lung fibrosis model. Seven days after bleomycin challenges, mice received oral ANPA-137 for two weeks. ANPA-137 significantly reduced lung fibrosis Ashcroft scores and inflammatory cells infiltration into lung as quantified by inflammatory score as shown below.</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APJR agonist demonstrated anti-fibrosis efficacy in therapeutic IPF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85090</wp:posOffset>
            </wp:positionV>
            <wp:extent cx="3358515" cy="1706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5851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560" w:right="1599"/>
        <w:spacing w:after="0" w:line="293" w:lineRule="auto"/>
        <w:rPr>
          <w:sz w:val="20"/>
          <w:szCs w:val="20"/>
          <w:color w:val="auto"/>
        </w:rPr>
      </w:pPr>
      <w:r>
        <w:rPr>
          <w:rFonts w:ascii="Arial" w:cs="Arial" w:eastAsia="Arial" w:hAnsi="Arial"/>
          <w:sz w:val="12"/>
          <w:szCs w:val="12"/>
          <w:color w:val="auto"/>
        </w:rPr>
        <w:t>Furthermore, ANPA-137 also demonstrated anti-fibrotic activity in an in vivo bleomycin-induced rat lung fibrosis model. Similar to mouse bleomycin study design, seven days after bleomycin challenges, rats received 15 mpk of oral ANPA-137 for two weeks. ANPA-137 significantly reduced lung fibrosis as quantified by Ashcroft score as shown below.</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7" w:name="page148"/>
    <w:bookmarkEnd w:id="14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APJR agonist demonstrated anti-fibrosis efficacy in therapeutic IPF rat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85090</wp:posOffset>
            </wp:positionV>
            <wp:extent cx="3549015" cy="1805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49015" cy="180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1 Healthy Volunteer Trial Design</w:t>
      </w:r>
    </w:p>
    <w:p>
      <w:pPr>
        <w:spacing w:after="0" w:line="102"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In September 2022, we completed a two-part, 96 subject, first-in-human Phase 1 SAD and MAD study for ANPA-0073 in 48 healthy adult volunteers between the ages of 18 and 55. The objective was to assess drug safety and PK. The first part of this study was a SAD study, involving eight cohorts of eight participants assigned to receive a single dose of ANPA-0073 or placebo in a 3:1 ratio. Doses from 2 mg to 600 mg across the eight cohorts were evaluated. The second part of the trial was a MAD study, including four cohorts of eight subjects receiving sequential ascending doses of ANPA-0073 daily for seven days, increasing from 75 mg to 500 mg once daily. A schema of our Phase 1 study is presented below:</w:t>
      </w:r>
    </w:p>
    <w:p>
      <w:pPr>
        <w:spacing w:after="0" w:line="73" w:lineRule="exact"/>
        <w:rPr>
          <w:sz w:val="20"/>
          <w:szCs w:val="20"/>
          <w:color w:val="auto"/>
        </w:rPr>
      </w:pPr>
    </w:p>
    <w:p>
      <w:pPr>
        <w:ind w:left="1560" w:right="2519" w:firstLine="934"/>
        <w:spacing w:after="0" w:line="493" w:lineRule="auto"/>
        <w:rPr>
          <w:sz w:val="20"/>
          <w:szCs w:val="20"/>
          <w:color w:val="auto"/>
        </w:rPr>
      </w:pPr>
      <w:r>
        <w:rPr>
          <w:rFonts w:ascii="Arial" w:cs="Arial" w:eastAsia="Arial" w:hAnsi="Arial"/>
          <w:sz w:val="12"/>
          <w:szCs w:val="12"/>
          <w:b w:val="1"/>
          <w:bCs w:val="1"/>
          <w:color w:val="auto"/>
        </w:rPr>
        <w:t xml:space="preserve">Schema of our ANPA-0073 Phase 1 study in healthy volunteers </w:t>
      </w:r>
      <w:r>
        <w:rPr>
          <w:rFonts w:ascii="Arial" w:cs="Arial" w:eastAsia="Arial" w:hAnsi="Arial"/>
          <w:sz w:val="12"/>
          <w:szCs w:val="12"/>
          <w:color w:val="auto"/>
        </w:rPr>
        <w:t>ANPA-0073-01 Part A SAD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2983865" cy="10864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83865" cy="108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8" w:name="page149"/>
    <w:bookmarkEnd w:id="14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ANPA-0073-01 Part B MAD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113030</wp:posOffset>
            </wp:positionV>
            <wp:extent cx="2934970" cy="1062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34970" cy="106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Phase 1 Safety Data in Healthy Volunteers</w:t>
      </w:r>
    </w:p>
    <w:p>
      <w:pPr>
        <w:spacing w:after="0" w:line="92" w:lineRule="exact"/>
        <w:rPr>
          <w:sz w:val="20"/>
          <w:szCs w:val="20"/>
          <w:color w:val="auto"/>
        </w:rPr>
      </w:pPr>
    </w:p>
    <w:p>
      <w:pPr>
        <w:ind w:left="1560" w:right="1739"/>
        <w:spacing w:after="0" w:line="317" w:lineRule="auto"/>
        <w:rPr>
          <w:sz w:val="20"/>
          <w:szCs w:val="20"/>
          <w:color w:val="auto"/>
        </w:rPr>
      </w:pPr>
      <w:r>
        <w:rPr>
          <w:rFonts w:ascii="Arial" w:cs="Arial" w:eastAsia="Arial" w:hAnsi="Arial"/>
          <w:sz w:val="12"/>
          <w:szCs w:val="12"/>
          <w:color w:val="auto"/>
        </w:rPr>
        <w:t>ANPA-0073 was generally well tolerated at all dose levels administrated in the SAD and MAD parts of this Phase 1 study.</w:t>
      </w:r>
    </w:p>
    <w:p>
      <w:pPr>
        <w:spacing w:after="0" w:line="1" w:lineRule="exact"/>
        <w:rPr>
          <w:sz w:val="20"/>
          <w:szCs w:val="20"/>
          <w:color w:val="auto"/>
        </w:rPr>
      </w:pPr>
    </w:p>
    <w:p>
      <w:pPr>
        <w:ind w:left="1560" w:right="1879"/>
        <w:spacing w:after="0" w:line="327" w:lineRule="auto"/>
        <w:rPr>
          <w:sz w:val="20"/>
          <w:szCs w:val="20"/>
          <w:color w:val="auto"/>
        </w:rPr>
      </w:pPr>
      <w:r>
        <w:rPr>
          <w:rFonts w:ascii="Arial" w:cs="Arial" w:eastAsia="Arial" w:hAnsi="Arial"/>
          <w:sz w:val="12"/>
          <w:szCs w:val="12"/>
          <w:color w:val="auto"/>
        </w:rPr>
        <w:t>In the study, PK parameters of systemic exposure, C</w:t>
      </w:r>
      <w:r>
        <w:rPr>
          <w:rFonts w:ascii="Arial" w:cs="Arial" w:eastAsia="Arial" w:hAnsi="Arial"/>
          <w:sz w:val="18"/>
          <w:szCs w:val="18"/>
          <w:color w:val="auto"/>
          <w:vertAlign w:val="subscript"/>
        </w:rPr>
        <w:t>max</w:t>
      </w:r>
      <w:r>
        <w:rPr>
          <w:rFonts w:ascii="Arial" w:cs="Arial" w:eastAsia="Arial" w:hAnsi="Arial"/>
          <w:sz w:val="12"/>
          <w:szCs w:val="12"/>
          <w:color w:val="auto"/>
        </w:rPr>
        <w:t xml:space="preserve"> and AUC, increased with doses of ANPA-0073 across the dose range from 75 mg to 500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50800</wp:posOffset>
            </wp:positionV>
            <wp:extent cx="3733165" cy="1405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73316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60" w:right="1599"/>
        <w:spacing w:after="0" w:line="290" w:lineRule="auto"/>
        <w:rPr>
          <w:sz w:val="20"/>
          <w:szCs w:val="20"/>
          <w:color w:val="auto"/>
        </w:rPr>
      </w:pPr>
      <w:r>
        <w:rPr>
          <w:rFonts w:ascii="Arial" w:cs="Arial" w:eastAsia="Arial" w:hAnsi="Arial"/>
          <w:sz w:val="12"/>
          <w:szCs w:val="12"/>
          <w:color w:val="auto"/>
        </w:rPr>
        <w:t>In the SAD cohorts, no SAEs and no adverse changes in laboratory tests were observed. Among the AEs reported, five were considered moderate treatment emergent adverse events and the remaining were mild in severity. AEs did not result in any early terminations or subject discontinuations from participation in this study. No trial stopping criteria were met and no significant changes or trends in hematology, blood chemistries, vital signs or electrocardiogram, or ECG, measurements were noted. The following table shows all TEAEs that were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49" w:name="page150"/>
    <w:bookmarkEnd w:id="14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ANPA-0073 Phase 1 SAD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66675</wp:posOffset>
            </wp:positionV>
            <wp:extent cx="3512185" cy="13322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12185"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In the MAD portion of the Phase 1 study, no SAEs and no adverse changes in laboratory tests were observed. Among the AEs reported, twelve were considered moderate TEAEs and the remaining were mild in severity. AEs did not result in any early terminations or subject discontinuations from participation in this study. No trial stopping criteria were met and no significant changes or trends in hematology, blood chemistries, vital signs, or ECG measurements were noted. The following table shows all TEAEs that were reported: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ANPA-0073 Phase 1 MAD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54610</wp:posOffset>
            </wp:positionV>
            <wp:extent cx="3432175" cy="13201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3217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560" w:right="1679" w:firstLine="5"/>
        <w:spacing w:after="0" w:line="284" w:lineRule="auto"/>
        <w:tabs>
          <w:tab w:leader="none" w:pos="1695" w:val="left"/>
        </w:tabs>
        <w:numPr>
          <w:ilvl w:val="0"/>
          <w:numId w:val="7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Phase I, Open-label Study to Evaluate the Relative Bioavailability of ANPA-0073 Capsule versus Tablet</w:t>
      </w:r>
    </w:p>
    <w:p>
      <w:pPr>
        <w:ind w:left="1560" w:right="1599"/>
        <w:spacing w:after="0" w:line="274" w:lineRule="auto"/>
        <w:rPr>
          <w:sz w:val="20"/>
          <w:szCs w:val="20"/>
          <w:color w:val="auto"/>
        </w:rPr>
      </w:pPr>
      <w:r>
        <w:rPr>
          <w:rFonts w:ascii="Arial" w:cs="Arial" w:eastAsia="Arial" w:hAnsi="Arial"/>
          <w:sz w:val="12"/>
          <w:szCs w:val="12"/>
          <w:color w:val="auto"/>
        </w:rPr>
        <w:t>We are planning to conduct a Phase 1 study to evaluate the relative oral bioavailability of two formulations of ANPA-0073 (tablet and capsule) using a 2-period, 2-sequence, 2-way crossover design. We expect this study to be an open-label study in 16 healthy male and female volunteers, aged 18 to 55 in Australia. After screening, we plan for subjects to be confined in the clinical unit from Day-1 to Day 10, and that each study subject will be enrolled and randomized into one of two treatment arms (n=8 per arm). Capsule and tablet formulations of ANPA-0073 will be administered as a single 200 mg (2 x 100 mg) dose in a fasted manner in two separate treatment periods: Day 1 (Period 1) and Day 7 (Period 2). We expect the sequence of administration (capsule → tablet vs. tablet → capsule) will differ between each treatment arm and that each treatment period will be separated by a 6-day washout interval.</w:t>
      </w:r>
    </w:p>
    <w:p>
      <w:pPr>
        <w:spacing w:after="0" w:line="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Our APJR Program for the Treatment of PAH</w:t>
      </w:r>
    </w:p>
    <w:p>
      <w:pPr>
        <w:spacing w:after="0" w:line="44"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We are evaluating ANPA-0073 for the treatment of PAH. Despite existing treatment options for PAH, five-year mortality remains high. In a third-party clinical proof-of- concept study an acute infusion of an apelin agonist intravenously was shown to improve cardiac output. In our preclinical rat models, ANPA-0073 has shown increased cardiac output and mitigated the vascular remodeling that is characteristic of PAH. We believe that oral ANPA-0073 has the potential to provide therapeutic benefit through its novel mechanism of action, infrequent dosing, and lack of stringent administration requirements.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0" w:name="page151"/>
    <w:bookmarkEnd w:id="15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PAH Overview</w:t>
      </w:r>
    </w:p>
    <w:p>
      <w:pPr>
        <w:spacing w:after="0" w:line="133"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PAH Background</w:t>
      </w:r>
    </w:p>
    <w:p>
      <w:pPr>
        <w:spacing w:after="0" w:line="34" w:lineRule="exact"/>
        <w:rPr>
          <w:sz w:val="20"/>
          <w:szCs w:val="20"/>
          <w:color w:val="auto"/>
        </w:rPr>
      </w:pPr>
    </w:p>
    <w:p>
      <w:pPr>
        <w:jc w:val="both"/>
        <w:ind w:left="1560" w:right="1959"/>
        <w:spacing w:after="0" w:line="271" w:lineRule="auto"/>
        <w:rPr>
          <w:sz w:val="20"/>
          <w:szCs w:val="20"/>
          <w:color w:val="auto"/>
        </w:rPr>
      </w:pPr>
      <w:r>
        <w:rPr>
          <w:rFonts w:ascii="Arial" w:cs="Arial" w:eastAsia="Arial" w:hAnsi="Arial"/>
          <w:sz w:val="12"/>
          <w:szCs w:val="12"/>
          <w:color w:val="auto"/>
        </w:rPr>
        <w:t>Pulmonary hypertension, or PH, is a group of diseases characterized by remodeling of the pulmonary vasculature that leads to a progressive elevation of blood pressure in the pulmonary circulation from a variety of causes. The World Health Organization, or WHO, has divided PH into five groups based on similarities in pathophysiology, clinical presentation, and therapeutic options as shown below.</w:t>
      </w:r>
    </w:p>
    <w:p>
      <w:pPr>
        <w:spacing w:after="0" w:line="83" w:lineRule="exact"/>
        <w:rPr>
          <w:sz w:val="20"/>
          <w:szCs w:val="20"/>
          <w:color w:val="auto"/>
        </w:rPr>
      </w:pPr>
    </w:p>
    <w:p>
      <w:pPr>
        <w:ind w:left="1820"/>
        <w:spacing w:after="0"/>
        <w:rPr>
          <w:sz w:val="20"/>
          <w:szCs w:val="20"/>
          <w:color w:val="auto"/>
        </w:rPr>
      </w:pPr>
      <w:r>
        <w:rPr>
          <w:rFonts w:ascii="Arial" w:cs="Arial" w:eastAsia="Arial" w:hAnsi="Arial"/>
          <w:sz w:val="12"/>
          <w:szCs w:val="12"/>
          <w:b w:val="1"/>
          <w:bCs w:val="1"/>
          <w:color w:val="auto"/>
        </w:rPr>
        <w:t>WHO classification of pulmonary hypertension</w:t>
      </w:r>
    </w:p>
    <w:p>
      <w:pPr>
        <w:sectPr>
          <w:pgSz w:w="11900" w:h="16838" w:orient="portrait"/>
          <w:cols w:equalWidth="0" w:num="1">
            <w:col w:w="9019"/>
          </w:cols>
          <w:pgMar w:left="1440" w:top="109" w:right="1440" w:bottom="1440" w:gutter="0" w:footer="0" w:header="0"/>
        </w:sectPr>
      </w:pPr>
    </w:p>
    <w:p>
      <w:pPr>
        <w:spacing w:after="0" w:line="1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0"/>
          <w:szCs w:val="10"/>
          <w:b w:val="1"/>
          <w:bCs w:val="1"/>
          <w:color w:val="auto"/>
        </w:rPr>
        <w:t>1</w:t>
      </w:r>
    </w:p>
    <w:p>
      <w:pPr>
        <w:spacing w:after="0" w:line="11"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2</w:t>
      </w:r>
    </w:p>
    <w:p>
      <w:pPr>
        <w:spacing w:after="0" w:line="30"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3</w:t>
      </w:r>
    </w:p>
    <w:p>
      <w:pPr>
        <w:spacing w:after="0" w:line="30"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4</w:t>
      </w:r>
    </w:p>
    <w:p>
      <w:pPr>
        <w:spacing w:after="0" w:line="30"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-76835</wp:posOffset>
            </wp:positionV>
            <wp:extent cx="324167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41675" cy="63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Pulmonary arterial hypertension</w:t>
      </w:r>
    </w:p>
    <w:p>
      <w:pPr>
        <w:ind w:left="80" w:hanging="79"/>
        <w:spacing w:after="0"/>
        <w:tabs>
          <w:tab w:leader="none" w:pos="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 Pulmonary hypertension secondary to left heart disease</w:t>
      </w:r>
    </w:p>
    <w:p>
      <w:pPr>
        <w:spacing w:after="0" w:line="26" w:lineRule="exact"/>
        <w:rPr>
          <w:rFonts w:ascii="Arial" w:cs="Arial" w:eastAsia="Arial" w:hAnsi="Arial"/>
          <w:sz w:val="12"/>
          <w:szCs w:val="12"/>
          <w:color w:val="auto"/>
        </w:rPr>
      </w:pPr>
    </w:p>
    <w:p>
      <w:pPr>
        <w:ind w:left="80" w:hanging="79"/>
        <w:spacing w:after="0"/>
        <w:tabs>
          <w:tab w:leader="none" w:pos="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 Pulmonary hypertension from chronic lung diseases and/or hypoxia</w:t>
      </w:r>
    </w:p>
    <w:p>
      <w:pPr>
        <w:spacing w:after="0" w:line="7" w:lineRule="exact"/>
        <w:rPr>
          <w:rFonts w:ascii="Arial" w:cs="Arial" w:eastAsia="Arial" w:hAnsi="Arial"/>
          <w:sz w:val="12"/>
          <w:szCs w:val="12"/>
          <w:color w:val="auto"/>
        </w:rPr>
      </w:pPr>
    </w:p>
    <w:p>
      <w:pPr>
        <w:ind w:left="80" w:hanging="79"/>
        <w:spacing w:after="0"/>
        <w:tabs>
          <w:tab w:leader="none" w:pos="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 Pulmonary hypertension due to pulmonary artery obstruction</w:t>
      </w:r>
    </w:p>
    <w:p>
      <w:pPr>
        <w:spacing w:after="0" w:line="7" w:lineRule="exact"/>
        <w:rPr>
          <w:rFonts w:ascii="Arial" w:cs="Arial" w:eastAsia="Arial" w:hAnsi="Arial"/>
          <w:sz w:val="12"/>
          <w:szCs w:val="12"/>
          <w:color w:val="auto"/>
        </w:rPr>
      </w:pPr>
    </w:p>
    <w:p>
      <w:pPr>
        <w:ind w:left="80" w:hanging="79"/>
        <w:spacing w:after="0"/>
        <w:tabs>
          <w:tab w:leader="none" w:pos="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 Pulmonary hypertension from unexplained or multifactorial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99060</wp:posOffset>
            </wp:positionV>
            <wp:extent cx="324167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416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19" w:lineRule="exact"/>
        <w:rPr>
          <w:sz w:val="20"/>
          <w:szCs w:val="20"/>
          <w:color w:val="auto"/>
        </w:rPr>
      </w:pPr>
    </w:p>
    <w:p>
      <w:pPr>
        <w:sectPr>
          <w:pgSz w:w="11900" w:h="16838" w:orient="portrait"/>
          <w:cols w:equalWidth="0" w:num="3">
            <w:col w:w="2020" w:space="240"/>
            <w:col w:w="4080" w:space="720"/>
            <w:col w:w="1959"/>
          </w:cols>
          <w:pgMar w:left="1440" w:top="109" w:right="1440" w:bottom="1440" w:gutter="0" w:footer="0" w:header="0"/>
          <w:type w:val="continuous"/>
        </w:sectPr>
      </w:pPr>
    </w:p>
    <w:p>
      <w:pPr>
        <w:spacing w:after="0" w:line="46"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PAH is a rare, progressive life-threatening disease characterized by elevated pressures in the pulmonary arteries, the blood vessels responsible for carrying deoxygenated blood from the heart to the lungs. This increase in pressure results from disordered proliferation of endothelial cells lining the lumen of pulmonary arteries, which causes a narrowing in blood vessel diameter and a consequent slowing of blood flow to the lungs. Over time, recruitment of inflammatory cells and cytokines stimulates fibrosis and further blood vessel remodeling, ultimately causing severe restrictions in blood flow. To overcome increased pulmonary arterial pressures, the right side of the heart must work harder in order to circulate blood through the lungs, causing excessive strain on the right ventricle. Left untreated, this leads to right ventricular hypertrophy and ultimately right heart failure, which can present with symptoms such as breathlessness, fatigue, chest pain, and abdominal distension.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Right ventricular hypertrophy and pulmonary arterial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183515</wp:posOffset>
            </wp:positionV>
            <wp:extent cx="2799715" cy="1467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99715" cy="146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60" w:right="1659"/>
        <w:spacing w:after="0" w:line="282" w:lineRule="auto"/>
        <w:rPr>
          <w:sz w:val="20"/>
          <w:szCs w:val="20"/>
          <w:color w:val="auto"/>
        </w:rPr>
      </w:pPr>
      <w:r>
        <w:rPr>
          <w:rFonts w:ascii="Arial" w:cs="Arial" w:eastAsia="Arial" w:hAnsi="Arial"/>
          <w:sz w:val="12"/>
          <w:szCs w:val="12"/>
          <w:color w:val="auto"/>
        </w:rPr>
        <w:t>As shown in the schematic of PAH pathology above, increased pulmonary vascular resistance is caused by cell proliferation in the pulmonary vessels that obstructs blood flow. Ultimately, this disease leads to right heart failure, resulting eventually in death. Therefore, treatments that can increase right heart contractility may have benefit.</w:t>
      </w:r>
    </w:p>
    <w:p>
      <w:pPr>
        <w:spacing w:after="0" w:line="67" w:lineRule="exact"/>
        <w:rPr>
          <w:sz w:val="20"/>
          <w:szCs w:val="20"/>
          <w:color w:val="auto"/>
        </w:rPr>
      </w:pPr>
    </w:p>
    <w:p>
      <w:pPr>
        <w:ind w:left="1560" w:right="1879"/>
        <w:spacing w:after="0" w:line="276" w:lineRule="auto"/>
        <w:rPr>
          <w:sz w:val="20"/>
          <w:szCs w:val="20"/>
          <w:color w:val="auto"/>
        </w:rPr>
      </w:pPr>
      <w:r>
        <w:rPr>
          <w:rFonts w:ascii="Arial" w:cs="Arial" w:eastAsia="Arial" w:hAnsi="Arial"/>
          <w:sz w:val="12"/>
          <w:szCs w:val="12"/>
          <w:color w:val="auto"/>
        </w:rPr>
        <w:t>In addition to the above classification based on physiologic mechanisms of PH, the WHO has also developed a functional classification of PH patients, including those with PAH, as shown below. Four functional classes categorize patient symptom severity and ability to carry out physical activity. Higher numbered functional classes indicate worsening symptoms and are associated with higher mortality. As patients in Class I are asymptomatic and generally not diagnosed and also cannot show clinical improvement, patients in Classes II–IV are generally studied in clinical trials of new therapeutic agents.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151" w:name="page152"/>
    <w:bookmarkEnd w:id="15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WHO functional classification of pulmonary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35560</wp:posOffset>
            </wp:positionV>
            <wp:extent cx="373316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75" w:lineRule="exact"/>
        <w:rPr>
          <w:sz w:val="20"/>
          <w:szCs w:val="20"/>
          <w:color w:val="auto"/>
        </w:rPr>
      </w:pPr>
    </w:p>
    <w:tbl>
      <w:tblPr>
        <w:tblLayout w:type="fixed"/>
        <w:tblInd w:w="1560" w:type="dxa"/>
        <w:tblCellMar>
          <w:top w:w="0" w:type="dxa"/>
          <w:left w:w="0" w:type="dxa"/>
          <w:bottom w:w="0" w:type="dxa"/>
          <w:right w:w="0" w:type="dxa"/>
        </w:tblCellMar>
      </w:tblPr>
      <w:tr>
        <w:trPr>
          <w:trHeight w:val="132"/>
        </w:trPr>
        <w:tc>
          <w:tcPr>
            <w:tcW w:w="1080" w:type="dxa"/>
            <w:vAlign w:val="bottom"/>
          </w:tcPr>
          <w:p>
            <w:pPr>
              <w:spacing w:after="0"/>
              <w:rPr>
                <w:sz w:val="20"/>
                <w:szCs w:val="20"/>
                <w:color w:val="auto"/>
              </w:rPr>
            </w:pPr>
            <w:r>
              <w:rPr>
                <w:rFonts w:ascii="Arial" w:cs="Arial" w:eastAsia="Arial" w:hAnsi="Arial"/>
                <w:sz w:val="10"/>
                <w:szCs w:val="10"/>
                <w:b w:val="1"/>
                <w:bCs w:val="1"/>
                <w:color w:val="auto"/>
              </w:rPr>
              <w:t>WHO CLASS</w:t>
            </w:r>
          </w:p>
        </w:tc>
        <w:tc>
          <w:tcPr>
            <w:tcW w:w="4800" w:type="dxa"/>
            <w:vAlign w:val="bottom"/>
            <w:gridSpan w:val="2"/>
          </w:tcPr>
          <w:p>
            <w:pPr>
              <w:spacing w:after="0"/>
              <w:rPr>
                <w:sz w:val="20"/>
                <w:szCs w:val="20"/>
                <w:color w:val="auto"/>
              </w:rPr>
            </w:pPr>
            <w:r>
              <w:rPr>
                <w:rFonts w:ascii="Arial" w:cs="Arial" w:eastAsia="Arial" w:hAnsi="Arial"/>
                <w:sz w:val="10"/>
                <w:szCs w:val="10"/>
                <w:b w:val="1"/>
                <w:bCs w:val="1"/>
                <w:color w:val="auto"/>
              </w:rPr>
              <w:t>​ ​ DESCRIPTION</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r>
      <w:tr>
        <w:trPr>
          <w:trHeight w:val="138"/>
        </w:trPr>
        <w:tc>
          <w:tcPr>
            <w:tcW w:w="10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Class I</w:t>
            </w:r>
          </w:p>
        </w:tc>
        <w:tc>
          <w:tcPr>
            <w:tcW w:w="160" w:type="dxa"/>
            <w:vAlign w:val="bottom"/>
          </w:tcPr>
          <w:p>
            <w:pPr>
              <w:spacing w:after="0"/>
              <w:rPr>
                <w:sz w:val="20"/>
                <w:szCs w:val="20"/>
                <w:color w:val="auto"/>
              </w:rPr>
            </w:pPr>
            <w:r>
              <w:rPr>
                <w:rFonts w:ascii="Arial" w:cs="Arial" w:eastAsia="Arial" w:hAnsi="Arial"/>
                <w:sz w:val="12"/>
                <w:szCs w:val="12"/>
                <w:color w:val="auto"/>
              </w:rPr>
              <w:t>​ ​</w:t>
            </w:r>
          </w:p>
        </w:tc>
        <w:tc>
          <w:tcPr>
            <w:tcW w:w="46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Patients with pulmonary hypertension but without resulting limitation of physical</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activity. Ordinary physical activity does not cause undue dyspnea or fatigue, chest</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pain or near syncope.</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20"/>
                <w:szCs w:val="20"/>
                <w:color w:val="auto"/>
              </w:rPr>
            </w:pPr>
            <w:r>
              <w:rPr>
                <w:rFonts w:ascii="Arial" w:cs="Arial" w:eastAsia="Arial" w:hAnsi="Arial"/>
                <w:sz w:val="12"/>
                <w:szCs w:val="12"/>
                <w:color w:val="auto"/>
              </w:rPr>
              <w:t>Class II</w:t>
            </w:r>
          </w:p>
        </w:tc>
        <w:tc>
          <w:tcPr>
            <w:tcW w:w="4800" w:type="dxa"/>
            <w:vAlign w:val="bottom"/>
            <w:gridSpan w:val="2"/>
          </w:tcPr>
          <w:p>
            <w:pPr>
              <w:spacing w:after="0"/>
              <w:rPr>
                <w:sz w:val="20"/>
                <w:szCs w:val="20"/>
                <w:color w:val="auto"/>
              </w:rPr>
            </w:pPr>
            <w:r>
              <w:rPr>
                <w:rFonts w:ascii="Arial" w:cs="Arial" w:eastAsia="Arial" w:hAnsi="Arial"/>
                <w:sz w:val="12"/>
                <w:szCs w:val="12"/>
                <w:color w:val="auto"/>
              </w:rPr>
              <w:t>​ ​ Patients with pulmonary hypertension resulting in a slight limitation of physical</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activity. They are comfortable at rest. Ordinary physical activity causes undue</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dyspnea or fatigue, chest pain or near syncope.</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20"/>
                <w:szCs w:val="20"/>
                <w:color w:val="auto"/>
              </w:rPr>
            </w:pPr>
            <w:r>
              <w:rPr>
                <w:rFonts w:ascii="Arial" w:cs="Arial" w:eastAsia="Arial" w:hAnsi="Arial"/>
                <w:sz w:val="12"/>
                <w:szCs w:val="12"/>
                <w:color w:val="auto"/>
              </w:rPr>
              <w:t>Class III</w:t>
            </w:r>
          </w:p>
        </w:tc>
        <w:tc>
          <w:tcPr>
            <w:tcW w:w="4800" w:type="dxa"/>
            <w:vAlign w:val="bottom"/>
            <w:gridSpan w:val="2"/>
          </w:tcPr>
          <w:p>
            <w:pPr>
              <w:spacing w:after="0"/>
              <w:rPr>
                <w:sz w:val="20"/>
                <w:szCs w:val="20"/>
                <w:color w:val="auto"/>
              </w:rPr>
            </w:pPr>
            <w:r>
              <w:rPr>
                <w:rFonts w:ascii="Arial" w:cs="Arial" w:eastAsia="Arial" w:hAnsi="Arial"/>
                <w:sz w:val="12"/>
                <w:szCs w:val="12"/>
                <w:color w:val="auto"/>
              </w:rPr>
              <w:t>​ ​ Patients with pulmonary hypertension but without resulting limitation of physical</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activity. Ordinary physical activity does not cause undue dyspnea or fatigue, chest</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pain or near syncope.</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20"/>
                <w:szCs w:val="20"/>
                <w:color w:val="auto"/>
              </w:rPr>
            </w:pPr>
            <w:r>
              <w:rPr>
                <w:rFonts w:ascii="Arial" w:cs="Arial" w:eastAsia="Arial" w:hAnsi="Arial"/>
                <w:sz w:val="12"/>
                <w:szCs w:val="12"/>
                <w:color w:val="auto"/>
              </w:rPr>
              <w:t>Class IV</w:t>
            </w:r>
          </w:p>
        </w:tc>
        <w:tc>
          <w:tcPr>
            <w:tcW w:w="4800" w:type="dxa"/>
            <w:vAlign w:val="bottom"/>
            <w:gridSpan w:val="2"/>
          </w:tcPr>
          <w:p>
            <w:pPr>
              <w:spacing w:after="0"/>
              <w:rPr>
                <w:sz w:val="20"/>
                <w:szCs w:val="20"/>
                <w:color w:val="auto"/>
              </w:rPr>
            </w:pPr>
            <w:r>
              <w:rPr>
                <w:rFonts w:ascii="Arial" w:cs="Arial" w:eastAsia="Arial" w:hAnsi="Arial"/>
                <w:sz w:val="12"/>
                <w:szCs w:val="12"/>
                <w:color w:val="auto"/>
              </w:rPr>
              <w:t>​ ​ Patients with pulmonary hypertension with inability to carry out any physical activity</w:t>
            </w:r>
          </w:p>
        </w:tc>
        <w:tc>
          <w:tcPr>
            <w:tcW w:w="40" w:type="dxa"/>
            <w:vAlign w:val="bottom"/>
          </w:tcPr>
          <w:p>
            <w:pPr>
              <w:spacing w:after="0"/>
              <w:rPr>
                <w:sz w:val="20"/>
                <w:szCs w:val="20"/>
                <w:color w:val="auto"/>
              </w:rPr>
            </w:pPr>
            <w:r>
              <w:rPr>
                <w:rFonts w:ascii="Arial" w:cs="Arial" w:eastAsia="Arial" w:hAnsi="Arial"/>
                <w:sz w:val="12"/>
                <w:szCs w:val="12"/>
                <w:color w:val="auto"/>
              </w:rPr>
              <w:t>​</w:t>
            </w: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without symptoms. These patients manifest signs of right heart failure. Dyspnea</w:t>
            </w:r>
          </w:p>
        </w:tc>
        <w:tc>
          <w:tcPr>
            <w:tcW w:w="4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and/or fatigue may even be present at rest. Discomfort is increased by any physical</w:t>
            </w:r>
          </w:p>
        </w:tc>
        <w:tc>
          <w:tcPr>
            <w:tcW w:w="40" w:type="dxa"/>
            <w:vAlign w:val="bottom"/>
          </w:tcPr>
          <w:p>
            <w:pPr>
              <w:spacing w:after="0"/>
              <w:rPr>
                <w:sz w:val="13"/>
                <w:szCs w:val="13"/>
                <w:color w:val="auto"/>
              </w:rPr>
            </w:pPr>
          </w:p>
        </w:tc>
      </w:tr>
      <w:tr>
        <w:trPr>
          <w:trHeight w:val="161"/>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activity.</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98425</wp:posOffset>
            </wp:positionV>
            <wp:extent cx="373316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9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Prevalence of PAH and Unmet Medical Need</w:t>
      </w:r>
    </w:p>
    <w:p>
      <w:pPr>
        <w:spacing w:after="0" w:line="92" w:lineRule="exact"/>
        <w:rPr>
          <w:sz w:val="20"/>
          <w:szCs w:val="20"/>
          <w:color w:val="auto"/>
        </w:rPr>
      </w:pPr>
    </w:p>
    <w:p>
      <w:pPr>
        <w:ind w:left="1560" w:right="1619"/>
        <w:spacing w:after="0" w:line="305" w:lineRule="auto"/>
        <w:rPr>
          <w:sz w:val="20"/>
          <w:szCs w:val="20"/>
          <w:color w:val="auto"/>
        </w:rPr>
      </w:pPr>
      <w:r>
        <w:rPr>
          <w:rFonts w:ascii="Arial" w:cs="Arial" w:eastAsia="Arial" w:hAnsi="Arial"/>
          <w:sz w:val="12"/>
          <w:szCs w:val="12"/>
          <w:color w:val="auto"/>
        </w:rPr>
        <w:t>It is estimated that between 40,000 and 100,000 patients suffer from PAH worldwide, though the actual number is likely higher given underdiagnosis in developing countries. In the United States, the prevalence of PAH is 12 to 30 per million, and incidence is approximately 2.3 per million diagnosed annually.</w:t>
      </w:r>
    </w:p>
    <w:p>
      <w:pPr>
        <w:spacing w:after="0" w:line="64" w:lineRule="exact"/>
        <w:rPr>
          <w:sz w:val="20"/>
          <w:szCs w:val="20"/>
          <w:color w:val="auto"/>
        </w:rPr>
      </w:pPr>
    </w:p>
    <w:p>
      <w:pPr>
        <w:ind w:left="1560" w:right="1619"/>
        <w:spacing w:after="0" w:line="287" w:lineRule="auto"/>
        <w:rPr>
          <w:sz w:val="20"/>
          <w:szCs w:val="20"/>
          <w:color w:val="auto"/>
        </w:rPr>
      </w:pPr>
      <w:r>
        <w:rPr>
          <w:rFonts w:ascii="Arial" w:cs="Arial" w:eastAsia="Arial" w:hAnsi="Arial"/>
          <w:sz w:val="12"/>
          <w:szCs w:val="12"/>
          <w:color w:val="auto"/>
        </w:rPr>
        <w:t>Combined global sales for approved drugs for the treatment of PAH totaled approximately $5.4 billion in 2020. While advances in the treatment of PAH have markedly improved median survival over the past two decades, patients still face significant disease burden and premature death. Patient survival of PAH remains poor at five years despite treatment advances and there is unmet medical need for new therapies beyond the standard of care.</w:t>
      </w:r>
    </w:p>
    <w:p>
      <w:pPr>
        <w:spacing w:after="0" w:line="84"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Our current and future pipeline candidates could have broad applicability in other PH groups as well as more broadly in heart failure, which is estimated to affect approximately 26–64 million people worldwide.</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Limitations of Current Treatments and Unmet Medical Need</w:t>
      </w:r>
    </w:p>
    <w:p>
      <w:pPr>
        <w:spacing w:after="0" w:line="44" w:lineRule="exact"/>
        <w:rPr>
          <w:sz w:val="20"/>
          <w:szCs w:val="20"/>
          <w:color w:val="auto"/>
        </w:rPr>
      </w:pPr>
    </w:p>
    <w:p>
      <w:pPr>
        <w:ind w:left="1560" w:right="1579"/>
        <w:spacing w:after="0" w:line="286" w:lineRule="auto"/>
        <w:rPr>
          <w:sz w:val="20"/>
          <w:szCs w:val="20"/>
          <w:color w:val="auto"/>
        </w:rPr>
      </w:pPr>
      <w:r>
        <w:rPr>
          <w:rFonts w:ascii="Arial" w:cs="Arial" w:eastAsia="Arial" w:hAnsi="Arial"/>
          <w:sz w:val="12"/>
          <w:szCs w:val="12"/>
          <w:color w:val="auto"/>
        </w:rPr>
        <w:t>The current standard of care for patients with PAH consist of three classes of vasodilators including phosphodiesterase 5, or PDE5, inhibitors, endothelin receptor antagonists, and prostanoids. PDE5 inhibitors are often used in combination with ERAs as an early treatment strategy. In patients who fail to respond to combination therapy of an ERA and a PDE5 inhibitor, it is common practice to add a prostanoid which is also commonly used to treat patients with evidence of right heart failure. While existing treatments have led to significant improvements in time to clinical worsening and other composite endpoints in PAH patients, none directly alter the underlying disease process. The effect of vasodilation, while improving blood flow through the lungs, may eventually be overtaken by the worsening cellular proliferation and arterial remodeling underlying the condition.</w:t>
      </w:r>
    </w:p>
    <w:p>
      <w:pPr>
        <w:spacing w:after="0" w:line="77" w:lineRule="exact"/>
        <w:rPr>
          <w:sz w:val="20"/>
          <w:szCs w:val="20"/>
          <w:color w:val="auto"/>
        </w:rPr>
      </w:pPr>
    </w:p>
    <w:p>
      <w:pPr>
        <w:ind w:left="1560" w:right="1719"/>
        <w:spacing w:after="0" w:line="321" w:lineRule="auto"/>
        <w:rPr>
          <w:sz w:val="20"/>
          <w:szCs w:val="20"/>
          <w:color w:val="auto"/>
        </w:rPr>
      </w:pPr>
      <w:r>
        <w:rPr>
          <w:rFonts w:ascii="Arial" w:cs="Arial" w:eastAsia="Arial" w:hAnsi="Arial"/>
          <w:sz w:val="12"/>
          <w:szCs w:val="12"/>
          <w:color w:val="auto"/>
        </w:rPr>
        <w:t>Accordingly, we believe there is unmet medical need for therapies that are disease modifying and address more fundamental aspects of the disease.</w:t>
      </w:r>
    </w:p>
    <w:p>
      <w:pPr>
        <w:ind w:left="1560"/>
        <w:spacing w:after="0"/>
        <w:rPr>
          <w:sz w:val="20"/>
          <w:szCs w:val="20"/>
          <w:color w:val="auto"/>
        </w:rPr>
      </w:pPr>
      <w:r>
        <w:rPr>
          <w:rFonts w:ascii="Arial" w:cs="Arial" w:eastAsia="Arial" w:hAnsi="Arial"/>
          <w:sz w:val="12"/>
          <w:szCs w:val="12"/>
          <w:b w:val="1"/>
          <w:bCs w:val="1"/>
          <w:i w:val="1"/>
          <w:iCs w:val="1"/>
          <w:color w:val="auto"/>
        </w:rPr>
        <w:t>Apelin Receptor is a Clinically Validated and Highly Druggable Target</w:t>
      </w:r>
    </w:p>
    <w:p>
      <w:pPr>
        <w:spacing w:after="0" w:line="4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APJR is a GPCR with wide distribution throughout the human body.</w:t>
      </w:r>
    </w:p>
    <w:p>
      <w:pPr>
        <w:spacing w:after="0" w:line="113" w:lineRule="exact"/>
        <w:rPr>
          <w:sz w:val="20"/>
          <w:szCs w:val="20"/>
          <w:color w:val="auto"/>
        </w:rPr>
      </w:pPr>
    </w:p>
    <w:p>
      <w:pPr>
        <w:ind w:left="1560" w:right="1639"/>
        <w:spacing w:after="0" w:line="305" w:lineRule="auto"/>
        <w:rPr>
          <w:sz w:val="20"/>
          <w:szCs w:val="20"/>
          <w:color w:val="auto"/>
        </w:rPr>
      </w:pPr>
      <w:r>
        <w:rPr>
          <w:rFonts w:ascii="Arial" w:cs="Arial" w:eastAsia="Arial" w:hAnsi="Arial"/>
          <w:sz w:val="12"/>
          <w:szCs w:val="12"/>
          <w:color w:val="auto"/>
        </w:rPr>
        <w:t>The expression patterns of apelin and APJR are consistent with their importance in cardiovascular and pulmonary diseases such as PAH. Apelin and APJR are expressed in several tissues, including those in the heart, lung, and blood vessels with expression observed in endothelial cells lining the blood vessels.</w:t>
      </w:r>
    </w:p>
    <w:p>
      <w:pPr>
        <w:spacing w:after="0" w:line="64" w:lineRule="exact"/>
        <w:rPr>
          <w:sz w:val="20"/>
          <w:szCs w:val="20"/>
          <w:color w:val="auto"/>
        </w:rPr>
      </w:pPr>
    </w:p>
    <w:p>
      <w:pPr>
        <w:ind w:left="1560" w:right="1839"/>
        <w:spacing w:after="0" w:line="287" w:lineRule="auto"/>
        <w:rPr>
          <w:sz w:val="20"/>
          <w:szCs w:val="20"/>
          <w:color w:val="auto"/>
        </w:rPr>
      </w:pPr>
      <w:r>
        <w:rPr>
          <w:rFonts w:ascii="Arial" w:cs="Arial" w:eastAsia="Arial" w:hAnsi="Arial"/>
          <w:sz w:val="12"/>
          <w:szCs w:val="12"/>
          <w:color w:val="auto"/>
        </w:rPr>
        <w:t>Activation of APJR pathways by its cognate peptide ligand, apelin, exerts pleiotropic effects in human biology, including inducing diverse physiological effects such as strengthening of cardiac contractility, vasodilation, angiogenesis, reducing vascular remodeling and regulation of energy metabolism and fluid homeostasis as shown below. We believe that the apelinergic signaling pathway will provide disease modifying effects in PAH through right ventricular protection and anti-pulmonary vessel remodeling.</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2" w:name="page153"/>
    <w:bookmarkEnd w:id="15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Apelin Biology in human makes APJR an attractive target for PAH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182880</wp:posOffset>
            </wp:positionV>
            <wp:extent cx="2983865" cy="1847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983865" cy="184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Apelin mRNA and protein levels in control and PAH lung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183515</wp:posOffset>
            </wp:positionV>
            <wp:extent cx="2983865" cy="1172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983865" cy="117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560" w:right="1719"/>
        <w:spacing w:after="0" w:line="297" w:lineRule="auto"/>
        <w:rPr>
          <w:sz w:val="20"/>
          <w:szCs w:val="20"/>
          <w:color w:val="auto"/>
        </w:rPr>
      </w:pPr>
      <w:r>
        <w:rPr>
          <w:rFonts w:ascii="Arial" w:cs="Arial" w:eastAsia="Arial" w:hAnsi="Arial"/>
          <w:sz w:val="12"/>
          <w:szCs w:val="12"/>
          <w:color w:val="auto"/>
        </w:rPr>
        <w:t>As shown above, the apelin expression level in the lung of PAH patients (IPAH) was dramatically reduced compared to the non-PAH (C) lung samples. Apelin signaling is implicated in PAH which can be induced in animal models by hypoxia, a condition which temporarily induces apelin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3" w:name="page154"/>
    <w:bookmarkEnd w:id="15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Apelin peptide reduced PVR and increased cardiac output without a change 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heart rate or mean arterial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28575</wp:posOffset>
            </wp:positionV>
            <wp:extent cx="2983865" cy="17621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98386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560" w:right="1759"/>
        <w:spacing w:after="0" w:line="278" w:lineRule="auto"/>
        <w:rPr>
          <w:sz w:val="20"/>
          <w:szCs w:val="20"/>
          <w:color w:val="auto"/>
        </w:rPr>
      </w:pPr>
      <w:r>
        <w:rPr>
          <w:rFonts w:ascii="Arial" w:cs="Arial" w:eastAsia="Arial" w:hAnsi="Arial"/>
          <w:sz w:val="12"/>
          <w:szCs w:val="12"/>
          <w:color w:val="auto"/>
        </w:rPr>
        <w:t>As shown above, apelin has a role in cardiac function. In a published third-party clinical proof-of-concept study, intravenous infusion of apelin peptide in PAH patients provided a significant reduction in pulmonary vascular resistance and an increase in cardiac output without a change in heart rate or systemic vascular resistance. It was also observed that the effect was most prominent in the subgroup of patients receiving concomitant PDE5 inhibition.</w:t>
      </w:r>
    </w:p>
    <w:p>
      <w:pPr>
        <w:spacing w:after="0" w:line="71" w:lineRule="exact"/>
        <w:rPr>
          <w:sz w:val="20"/>
          <w:szCs w:val="20"/>
          <w:color w:val="auto"/>
        </w:rPr>
      </w:pPr>
    </w:p>
    <w:p>
      <w:pPr>
        <w:ind w:left="1560" w:right="1659"/>
        <w:spacing w:after="0" w:line="282" w:lineRule="auto"/>
        <w:rPr>
          <w:sz w:val="20"/>
          <w:szCs w:val="20"/>
          <w:color w:val="auto"/>
        </w:rPr>
      </w:pPr>
      <w:r>
        <w:rPr>
          <w:rFonts w:ascii="Arial" w:cs="Arial" w:eastAsia="Arial" w:hAnsi="Arial"/>
          <w:sz w:val="12"/>
          <w:szCs w:val="12"/>
          <w:color w:val="auto"/>
        </w:rPr>
        <w:t>Both biased and non-biased apelin analogs could increase cardiac contraction, while biased apelin analogs have limited effects on vasorelaxation and systemic blood pressure reduction. These suggest that the inotropic efficacy mainly signals through G-protein pathway, while β-arrestin signaling pathway correlates with hypotensive effect as shown below.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APJR agonist activity on β-arrestin recruitment and its correlation with hypotensive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1816100</wp:posOffset>
            </wp:positionH>
            <wp:positionV relativeFrom="paragraph">
              <wp:posOffset>175895</wp:posOffset>
            </wp:positionV>
            <wp:extent cx="2087245" cy="16516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87245" cy="165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We believe that a biased APJR agonist as compared to a non-biased agonist has the potential to maintain long-term cardiac output and stroke volume improvement while avoiding β-arrestin related hypotensive effect and mechanical stress induced cardiac hypertrophy.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4" w:name="page155"/>
    <w:bookmarkEnd w:id="15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Our Solution: Small Molecule Biased APJR Agonist</w:t>
      </w:r>
    </w:p>
    <w:p>
      <w:pPr>
        <w:spacing w:after="0" w:line="73" w:lineRule="exact"/>
        <w:rPr>
          <w:sz w:val="20"/>
          <w:szCs w:val="20"/>
          <w:color w:val="auto"/>
        </w:rPr>
      </w:pPr>
    </w:p>
    <w:p>
      <w:pPr>
        <w:ind w:left="1560" w:right="1699"/>
        <w:spacing w:after="0" w:line="288" w:lineRule="auto"/>
        <w:rPr>
          <w:sz w:val="20"/>
          <w:szCs w:val="20"/>
          <w:color w:val="auto"/>
        </w:rPr>
      </w:pPr>
      <w:r>
        <w:rPr>
          <w:rFonts w:ascii="Arial" w:cs="Arial" w:eastAsia="Arial" w:hAnsi="Arial"/>
          <w:sz w:val="12"/>
          <w:szCs w:val="12"/>
          <w:color w:val="auto"/>
        </w:rPr>
        <w:t>As described above, we are developing ANPA-0073, a novel orally-available biased APJR agonist which is designed to suppress cAMP production through activation of a G-protein-mediated signaling without significant activation of the β-arrestin pathway in order to avoid APJR internalization.</w:t>
      </w:r>
    </w:p>
    <w:p>
      <w:pPr>
        <w:spacing w:after="0" w:line="16" w:lineRule="exact"/>
        <w:rPr>
          <w:sz w:val="20"/>
          <w:szCs w:val="20"/>
          <w:color w:val="auto"/>
        </w:rPr>
      </w:pPr>
    </w:p>
    <w:p>
      <w:pPr>
        <w:ind w:left="1560" w:right="1619"/>
        <w:spacing w:after="0" w:line="308" w:lineRule="auto"/>
        <w:rPr>
          <w:sz w:val="20"/>
          <w:szCs w:val="20"/>
          <w:color w:val="auto"/>
        </w:rPr>
      </w:pPr>
      <w:r>
        <w:rPr>
          <w:rFonts w:ascii="Arial" w:cs="Arial" w:eastAsia="Arial" w:hAnsi="Arial"/>
          <w:sz w:val="12"/>
          <w:szCs w:val="12"/>
          <w:color w:val="auto"/>
        </w:rPr>
        <w:t>We believe that ANPA-0073 has the potential to be a differentiated and disease-modifying therapeutic agent and it is designed to provide the following potential advantages:</w:t>
      </w:r>
    </w:p>
    <w:p>
      <w:pPr>
        <w:spacing w:after="0" w:line="13" w:lineRule="exact"/>
        <w:rPr>
          <w:sz w:val="20"/>
          <w:szCs w:val="20"/>
          <w:color w:val="auto"/>
        </w:rPr>
      </w:pPr>
    </w:p>
    <w:p>
      <w:pPr>
        <w:ind w:left="1980" w:right="1839" w:hanging="157"/>
        <w:spacing w:after="0" w:line="308" w:lineRule="auto"/>
        <w:tabs>
          <w:tab w:leader="none" w:pos="19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Orally-available with improved cardiac contractility, increased stroke volume and right ventricular cardiac output leading to increased survival;</w:t>
      </w:r>
    </w:p>
    <w:p>
      <w:pPr>
        <w:spacing w:after="0" w:line="22" w:lineRule="exact"/>
        <w:rPr>
          <w:rFonts w:ascii="Arial" w:cs="Arial" w:eastAsia="Arial" w:hAnsi="Arial"/>
          <w:sz w:val="12"/>
          <w:szCs w:val="12"/>
          <w:color w:val="auto"/>
        </w:rPr>
      </w:pPr>
    </w:p>
    <w:p>
      <w:pPr>
        <w:ind w:left="1980" w:hanging="157"/>
        <w:spacing w:after="0"/>
        <w:tabs>
          <w:tab w:leader="none" w:pos="19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Biased agonism that avoids down regulation due to APJR internalization;</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Disease-modifying effect through decreased vascular remodeling; and</w:t>
      </w:r>
    </w:p>
    <w:p>
      <w:pPr>
        <w:spacing w:after="0" w:line="84" w:lineRule="exact"/>
        <w:rPr>
          <w:rFonts w:ascii="Arial" w:cs="Arial" w:eastAsia="Arial" w:hAnsi="Arial"/>
          <w:sz w:val="12"/>
          <w:szCs w:val="12"/>
          <w:color w:val="auto"/>
        </w:rPr>
      </w:pPr>
    </w:p>
    <w:p>
      <w:pPr>
        <w:ind w:left="1980" w:hanging="157"/>
        <w:spacing w:after="0"/>
        <w:tabs>
          <w:tab w:leader="none" w:pos="19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Limited effect on systemic blood pressure, avoiding hypotension.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ANPA-0073 did not change mean arterial blood pressure in a rat telemetry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182880</wp:posOffset>
            </wp:positionV>
            <wp:extent cx="2983865" cy="14490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9838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One way ANOVA analysis; **** p&lt;0.0001 compared to vehicle</w:t>
      </w:r>
    </w:p>
    <w:p>
      <w:pPr>
        <w:spacing w:after="0" w:line="57" w:lineRule="exact"/>
        <w:rPr>
          <w:sz w:val="20"/>
          <w:szCs w:val="20"/>
          <w:color w:val="auto"/>
        </w:rPr>
      </w:pPr>
    </w:p>
    <w:p>
      <w:pPr>
        <w:ind w:left="1560" w:right="1679"/>
        <w:spacing w:after="0" w:line="308" w:lineRule="auto"/>
        <w:rPr>
          <w:sz w:val="20"/>
          <w:szCs w:val="20"/>
          <w:color w:val="auto"/>
        </w:rPr>
      </w:pPr>
      <w:r>
        <w:rPr>
          <w:rFonts w:ascii="Arial" w:cs="Arial" w:eastAsia="Arial" w:hAnsi="Arial"/>
          <w:sz w:val="12"/>
          <w:szCs w:val="12"/>
          <w:color w:val="auto"/>
        </w:rPr>
        <w:t>As shown above, in a rat telemetry model, a non-biased apelin peptide demonstrated an acute decrease in mean arterial pressure as expected, whereas the biased molecule, ANPA-0073, did not.</w:t>
      </w:r>
    </w:p>
    <w:p>
      <w:pPr>
        <w:spacing w:after="0" w:line="4"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ANPA-0073 has demonstrated promising activity in multiple animal models. In five different studies using monocrotaline, or MCT, induced rat models of PAH, daily oral doses of ANPA-0073 reduced right ventricular systolic pressure, right ventricular hypertrophy index, and percentage of pulmonary artery wall thickness, or PAWT, but increased right ventricular ejection fraction. As shown below, ANPA-0073 treatment resulted in reduced pulmonary artery pressure and increased cardiac function.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Treatment with sildenafil or an ANPA-0073 in an MCT rat model of PAH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183515</wp:posOffset>
            </wp:positionV>
            <wp:extent cx="2983865" cy="902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983865" cy="90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One way ANOVA analysis; *p&lt;0.05, **p&lt;0.01, **** p&lt;0.0001 compared to vehicle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5" w:name="page156"/>
    <w:bookmarkEnd w:id="15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In summary, in a published third-party clinical proof-of-concept study, an intravenous infusion of apelin has demonstrated increased cardiac output, especially in combination with the PAH standard of care therapy, sildenafil. In the MCT rat model of PAH, our biased apelin agonists showed increased cardiac stroke volume and cardiac output without impacting heart rate, and also mitigation of PAH-induced vascular remodeling. Together, these data suggest that an orally-available, biased apelin agonist, such as ANPA-0073, may have potential as a treatment for PAH, providing benefits differentiated from current standard of care therapies.</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Intellectual Property</w:t>
      </w:r>
    </w:p>
    <w:p>
      <w:pPr>
        <w:spacing w:after="0" w:line="36"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Our success depends in part on our ability to obtain and maintain proprietary protection for our product candidates and other discoveries, inventions, trade secrets and know-how that are critical to our business operations. Our success also depends in part on our ability to operate without infringing the proprietary rights of others, and in part on our ability to prevent others from infringing our proprietary rights. A comprehensive discussion on risks relating to intellectual property is provided under the section titled “Risk Factors—Risks Related to Our Intellectual Property.”</w:t>
      </w:r>
    </w:p>
    <w:p>
      <w:pPr>
        <w:spacing w:after="0" w:line="78"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For our GLP-1R program, as of December 31, 2022, our wholly-owned subsidiary Gasherbrum Bio, Inc., is the sole owner of one granted U.S. patent and five pending U.S. patent applications, 16 Patent Cooperation Treaty, or PCT, applications, and 42 pending foreign patent applications in Argentina, African Regional Intellectual Property Organization, or ARIPO), Australia, Brazil, Canada, Chile, the People’s Republic of China, Colombia, Costa Rica, Dominican Republic, Egypt, Eurasian Patent Office, or EAPO), European Patent Office, or EPO, Guatemala, Indonesia, Israel, India, Japan, South Korea, Mexico, Malaysia, New Zealand, Panama, Peru, Philippines, Saudi Arabia, Singapore, Thailand, Taiwan, Ukraine, Vietnam, and South Africa. These patent applications, to the extent they issue (or in the case of priority applications, if issued from future non-provisional applications that we file), are expected to expire between 2041 and 2043, without accounting for potentially available patent term adjustments or extensions. These patent applications relate to compositions of matter of heterocyclic GLP-1 agonists, including GSBR-1290 and its analogs, solid forms and methods of treating conditions associated with GLP-1R activity. We intend to strengthen the patent protection of our product candidates and other discoveries, inventions, trade secrets and know-how that are critical to our business operations through additional patent application filings.</w:t>
      </w:r>
    </w:p>
    <w:p>
      <w:pPr>
        <w:spacing w:after="0" w:line="83"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color w:val="auto"/>
        </w:rPr>
        <w:t>For our APJR program, as of December 31, 2022, our wholly-owned subsidiary Annapurna Bio, Inc. is the sole owner of one granted U.S. patent and two pending U.S. patent applications, one Patent Cooperation Treaty, or PCT, application, and 22 pending foreign patent applications in Argentina, Australia, Brazil, Canada, the People’s Republic of China, EAPO, EPO, Hong Kong, Israel, India, Japan, South Korea, Mexico, New Zealand, Singapore, Taiwan and South Africa relating to compounds and compositions of matter for treating conditions associated with Apelin receptor activity, including ANPA-0073 and its analogs, solid forms and methods of treating conditions associated with Apelin receptor activity. Any patents issuing from these patent applications (or in the case of priority applications, if issued from future non-provisional applications that we file) are expected to expire between 2039 and 2043, without accounting for potentially available patent term adjustments or extensions.</w:t>
      </w:r>
    </w:p>
    <w:p>
      <w:pPr>
        <w:spacing w:after="0" w:line="89"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For our LPA1R program, as of December 31, 2022, our wholly-owned subsidiary Lhotse Bio, Inc. is the sole owner of four Patent Cooperation Treaty, or PCT, applications and two pending foreign patent applications in Argentina and Taiwan relating to compounds and compositions of matter for treating conditions associated with LPA receptor activity, including LTSE-2578 and their analogs, and methods of treating conditions associated with LPA receptor activity. Any patents issuing from these patent applications (or in the case of priority applications, if issued from future non-provisional applications that we file) are expected to expire between 2041 and 2043, without accounting for potentially available patent term adjustments or extensions.</w:t>
      </w:r>
    </w:p>
    <w:p>
      <w:pPr>
        <w:spacing w:after="0" w:line="73" w:lineRule="exact"/>
        <w:rPr>
          <w:sz w:val="20"/>
          <w:szCs w:val="20"/>
          <w:color w:val="auto"/>
        </w:rPr>
      </w:pPr>
    </w:p>
    <w:p>
      <w:pPr>
        <w:ind w:left="1560" w:right="1679"/>
        <w:spacing w:after="0" w:line="274" w:lineRule="auto"/>
        <w:rPr>
          <w:sz w:val="20"/>
          <w:szCs w:val="20"/>
          <w:color w:val="auto"/>
        </w:rPr>
      </w:pPr>
      <w:r>
        <w:rPr>
          <w:rFonts w:ascii="Arial" w:cs="Arial" w:eastAsia="Arial" w:hAnsi="Arial"/>
          <w:sz w:val="12"/>
          <w:szCs w:val="12"/>
          <w:color w:val="auto"/>
        </w:rPr>
        <w:t>In addition to patent protection, we also rely on trade secrets, know-how, trademarks,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6" w:name="page157"/>
    <w:bookmarkEnd w:id="15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consultants, outside scientific collaborators, sponsored researchers and other advisors to execute confidentiality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 — Risks Related to Our Intellectual Property.”</w:t>
      </w:r>
    </w:p>
    <w:p>
      <w:pPr>
        <w:spacing w:after="0" w:line="13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Lhotse Collaboration Agreement with Schrödinger, LLC</w:t>
      </w:r>
    </w:p>
    <w:p>
      <w:pPr>
        <w:spacing w:after="0" w:line="36"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In October 2020, Lhotse, our wholly-owned subsidiary, entered into a collaboration agreement with Schrödinger, or the Lhotse-Schrödinger Agreement,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239"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2022, we have paid to Schrödinger an aggregate of  $0.8 million. If Lhotse develops and commercializes a product containing a compound, or Collaboration Compound, that is discovered or developed under the Lhotse-Schrödinger Agreement, or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in the low single digit range on aggregate worldwide net sales of all Collaboration Products, subject to specified reductions and offsets. Lhotse’s obligation to pay royalties to Schrödinger will expire on a Collaboration Product-by-Collaboration Product and country-by-country basis on the later of  (i) the expiration of the last-to-expire Lhotse owned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or Royalty Term.</w:t>
      </w:r>
    </w:p>
    <w:p>
      <w:pPr>
        <w:spacing w:after="0" w:line="80" w:lineRule="exact"/>
        <w:rPr>
          <w:sz w:val="20"/>
          <w:szCs w:val="20"/>
          <w:color w:val="auto"/>
        </w:rPr>
      </w:pPr>
    </w:p>
    <w:p>
      <w:pPr>
        <w:ind w:left="1560" w:right="1759"/>
        <w:spacing w:after="0" w:line="276" w:lineRule="auto"/>
        <w:rPr>
          <w:sz w:val="20"/>
          <w:szCs w:val="20"/>
          <w:color w:val="auto"/>
        </w:rPr>
      </w:pPr>
      <w:r>
        <w:rPr>
          <w:rFonts w:ascii="Arial" w:cs="Arial" w:eastAsia="Arial" w:hAnsi="Arial"/>
          <w:sz w:val="12"/>
          <w:szCs w:val="12"/>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Manufacturing</w:t>
      </w:r>
    </w:p>
    <w:p>
      <w:pPr>
        <w:spacing w:after="0" w:line="46"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We do not own or operate manufacturing facilities for the production of our product candidates and currently have no immediate plans to build our own clinical or commercial scale manufacturing capabilities. We currently engage with third-party contract manufacturing organizations, or CMOs, for the manufacture of our product candidates. We rely on and expect to continue to engage third-party manufacturers for the production of both drug substance and finished drug product.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Competition</w:t>
      </w:r>
    </w:p>
    <w:p>
      <w:pPr>
        <w:spacing w:after="0" w:line="46" w:lineRule="exact"/>
        <w:rPr>
          <w:sz w:val="20"/>
          <w:szCs w:val="20"/>
          <w:color w:val="auto"/>
        </w:rPr>
      </w:pPr>
    </w:p>
    <w:p>
      <w:pPr>
        <w:ind w:left="1560" w:right="1599"/>
        <w:spacing w:after="0" w:line="287" w:lineRule="auto"/>
        <w:rPr>
          <w:sz w:val="20"/>
          <w:szCs w:val="20"/>
          <w:color w:val="auto"/>
        </w:rPr>
      </w:pPr>
      <w:r>
        <w:rPr>
          <w:rFonts w:ascii="Arial" w:cs="Arial" w:eastAsia="Arial" w:hAnsi="Arial"/>
          <w:sz w:val="12"/>
          <w:szCs w:val="12"/>
          <w:color w:val="auto"/>
        </w:rPr>
        <w:t>The biotechnology and pharmaceutical industries are characterized by rapid evolution of technologies, fierce competition and strong defense of intellectual property. While we believe that our platform and our knowledge, experience and scientific resources provide us with competitive advantages, we face competition from major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7" w:name="page158"/>
    <w:bookmarkEnd w:id="15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91" w:lineRule="auto"/>
        <w:rPr>
          <w:sz w:val="20"/>
          <w:szCs w:val="20"/>
          <w:color w:val="auto"/>
        </w:rPr>
      </w:pPr>
      <w:r>
        <w:rPr>
          <w:rFonts w:ascii="Arial" w:cs="Arial" w:eastAsia="Arial" w:hAnsi="Arial"/>
          <w:sz w:val="12"/>
          <w:szCs w:val="12"/>
          <w:color w:val="auto"/>
        </w:rPr>
        <w:t>pharmaceutical and biotechnology companies, academic institutions, governmental agencies and public and private research institutions, among others.</w:t>
      </w:r>
    </w:p>
    <w:p>
      <w:pPr>
        <w:spacing w:after="0" w:line="62"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If any of our product candidates are approved for the indications for which we expect to conduct clinical trials, they will compete with the foregoing therapies and currently marketed drugs, as well as any drugs potentially in development. It is also possible that we will face competition from other pharmaceutical approaches as well as other types of therapies. The key competitive factors affecting the success of all our programs, if approved, are likely to be their efficacy, safety, convenience, price, level of generic competition, and availability of reimbursement.</w:t>
      </w:r>
    </w:p>
    <w:p>
      <w:pPr>
        <w:spacing w:after="0" w:line="78" w:lineRule="exact"/>
        <w:rPr>
          <w:sz w:val="20"/>
          <w:szCs w:val="20"/>
          <w:color w:val="auto"/>
        </w:rPr>
      </w:pPr>
    </w:p>
    <w:p>
      <w:pPr>
        <w:ind w:left="1560" w:right="1639"/>
        <w:spacing w:after="0" w:line="263" w:lineRule="auto"/>
        <w:rPr>
          <w:sz w:val="20"/>
          <w:szCs w:val="20"/>
          <w:color w:val="auto"/>
        </w:rPr>
      </w:pPr>
      <w:r>
        <w:rPr>
          <w:rFonts w:ascii="Arial" w:cs="Arial" w:eastAsia="Arial" w:hAnsi="Arial"/>
          <w:sz w:val="12"/>
          <w:szCs w:val="12"/>
          <w:color w:val="auto"/>
        </w:rPr>
        <w:t>Despite significant biopharmaceutical industry investment, no oral small molecule therapy targeting GLP-1R has been approved for the treatment of diabetes or obesity. We are aware of GLP-1R small molecules in development by Pfizer, Eli Lilly, and Qilu Regor Therapeutics Inc. There are currently approved GLP-1R peptides for the treatment of diabetes and obesity marketed by Novo Nordisk, Eli Lilly, AstraZeneca, and Sanofi. We are aware of other GLP-1R plus dual/tri incretin targeting peptides in development by Eli Lilly, Jiangsu Hansoh Pharmaceutical Group Co., Ltd., Boehringer Ingelheim, Altimmune, Inc., Carmot Therapeutics, Inc., and Sciwind Biosciences Co., Ltd. In addition, there are a number of companies developing product candidates for diabetes and obesity utilizing approaches with different mechanisms of action, including but not limited to sodium-glucose cotransporter-2 inhibitors.</w:t>
      </w:r>
    </w:p>
    <w:p>
      <w:pPr>
        <w:spacing w:after="0" w:line="80"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We are aware of APJR targeted product candidates in development for COVID-19 acute respiratory distress syndrome by CohBar, Inc.; IPF, systemic sclerosis interstitial lung disease, and kidney nephrotic syndrome by Apie Therapeutics; and muscle atrophy by BioAge Labs, Inc. Both Amgen and Bristol Myers Squibb, or BMS, have APJR targeted product candidates for heart failure. In addition, there are a number of companies developing product candidates for PAH utilizing approaches with different mechanisms of action, including but not limited to FibroGen, Inc., Galapagos NV, Galecto, Inc., Pliant Therapeutics, Inc., Gilead Sciences, Inc., Roche Holding AG and Boehringer Ingelheim.</w:t>
      </w:r>
    </w:p>
    <w:p>
      <w:pPr>
        <w:spacing w:after="0" w:line="69"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We are aware of LPA1R targeted product candidates in development for IPF by BMS, Horizon Therapeutics plc, and DJS Antibodies Ltd; and myelin restoration and neuroinflammation by Pipeline Therapeutics. In addition, there are a number of companies developing product candidates for IPF utilizing approaches with different mechanisms of action, including Roche Holding AG and Boehringer Ingelheim.</w:t>
      </w:r>
    </w:p>
    <w:p>
      <w:pPr>
        <w:spacing w:after="0" w:line="73" w:lineRule="exact"/>
        <w:rPr>
          <w:sz w:val="20"/>
          <w:szCs w:val="20"/>
          <w:color w:val="auto"/>
        </w:rPr>
      </w:pPr>
    </w:p>
    <w:p>
      <w:pPr>
        <w:ind w:left="1560" w:right="1699"/>
        <w:spacing w:after="0" w:line="262" w:lineRule="auto"/>
        <w:rPr>
          <w:sz w:val="20"/>
          <w:szCs w:val="20"/>
          <w:color w:val="auto"/>
        </w:rPr>
      </w:pPr>
      <w:r>
        <w:rPr>
          <w:rFonts w:ascii="Arial" w:cs="Arial" w:eastAsia="Arial" w:hAnsi="Arial"/>
          <w:sz w:val="12"/>
          <w:szCs w:val="12"/>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79"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3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Data Privacy and Security Laws</w:t>
      </w:r>
    </w:p>
    <w:p>
      <w:pPr>
        <w:spacing w:after="0" w:line="36" w:lineRule="exact"/>
        <w:rPr>
          <w:sz w:val="20"/>
          <w:szCs w:val="20"/>
          <w:color w:val="auto"/>
        </w:rPr>
      </w:pPr>
    </w:p>
    <w:p>
      <w:pPr>
        <w:jc w:val="both"/>
        <w:ind w:left="1560" w:right="1699"/>
        <w:spacing w:after="0" w:line="271" w:lineRule="auto"/>
        <w:rPr>
          <w:sz w:val="20"/>
          <w:szCs w:val="20"/>
          <w:color w:val="auto"/>
        </w:rPr>
      </w:pPr>
      <w:r>
        <w:rPr>
          <w:rFonts w:ascii="Arial" w:cs="Arial" w:eastAsia="Arial" w:hAnsi="Arial"/>
          <w:sz w:val="12"/>
          <w:szCs w:val="12"/>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8" w:name="page159"/>
    <w:bookmarkEnd w:id="15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European Union General Data Protection Regulation, or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GDPR, or UK GDPR, which, together with the amended UK Data Protection Act 2018, retains the GDPR in UK national law. The UK GDPR mirrors the fines under the GDPR relating to fines up to the greater of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2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Regulation</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Government Regulation of Pharmaceutical Product Development and Approval</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U.S. Regulation of Pharmaceutical Product Development and Approval</w:t>
      </w:r>
    </w:p>
    <w:p>
      <w:pPr>
        <w:spacing w:after="0" w:line="44" w:lineRule="exact"/>
        <w:rPr>
          <w:sz w:val="20"/>
          <w:szCs w:val="20"/>
          <w:color w:val="auto"/>
        </w:rPr>
      </w:pPr>
    </w:p>
    <w:p>
      <w:pPr>
        <w:ind w:left="1560" w:right="1639"/>
        <w:spacing w:after="0" w:line="275" w:lineRule="auto"/>
        <w:rPr>
          <w:sz w:val="20"/>
          <w:szCs w:val="20"/>
          <w:color w:val="auto"/>
        </w:rPr>
      </w:pPr>
      <w:r>
        <w:rPr>
          <w:rFonts w:ascii="Arial" w:cs="Arial" w:eastAsia="Arial" w:hAnsi="Arial"/>
          <w:sz w:val="12"/>
          <w:szCs w:val="12"/>
          <w:color w:val="auto"/>
        </w:rPr>
        <w:t>In the United States, the FDA regulates drugs under the Federal Food, Drug, and Cosmetic Act, or FDCA, and its implementing regulations. Drugs are also subject to other federal, state and local statutes and regulations. The process of obtaining marketing approvals and the subsequent compliance with appropriate federal, state and local rules and regulations requires the expenditure of substantial time and financial resources. Our drug candidates must be approved by the FDA through the New Drug Application, or NDA, process before they may be legally marketed in the United States. The process required by the FDA before a drug may be marketed in the United States generally involves the following:</w:t>
      </w:r>
    </w:p>
    <w:p>
      <w:pPr>
        <w:spacing w:after="0" w:line="24" w:lineRule="exact"/>
        <w:rPr>
          <w:sz w:val="20"/>
          <w:szCs w:val="20"/>
          <w:color w:val="auto"/>
        </w:rPr>
      </w:pPr>
    </w:p>
    <w:p>
      <w:pPr>
        <w:ind w:left="1980" w:right="1579" w:hanging="157"/>
        <w:spacing w:after="0" w:line="308"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completion of extensive preclinical laboratory tests, preclinical animal studies and formulation studies all performed in compliance with applicable regulations, including the FDA’s GLP regulations;</w:t>
      </w:r>
    </w:p>
    <w:p>
      <w:pPr>
        <w:spacing w:after="0" w:line="3" w:lineRule="exact"/>
        <w:rPr>
          <w:rFonts w:ascii="Arial" w:cs="Arial" w:eastAsia="Arial" w:hAnsi="Arial"/>
          <w:sz w:val="12"/>
          <w:szCs w:val="12"/>
          <w:color w:val="auto"/>
        </w:rPr>
      </w:pPr>
    </w:p>
    <w:p>
      <w:pPr>
        <w:ind w:left="1980" w:right="1919" w:hanging="157"/>
        <w:spacing w:after="0" w:line="308"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submission to the FDA of an Investigational New Drug application, or IND, which must become effective before human clinical trials may begin;</w:t>
      </w:r>
    </w:p>
    <w:p>
      <w:pPr>
        <w:spacing w:after="0" w:line="13"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approval by an institutional review board, or IRB, or ethics committee representing each clinical site before each clinical trial may be initiated;</w:t>
      </w:r>
    </w:p>
    <w:p>
      <w:pPr>
        <w:spacing w:after="0" w:line="3" w:lineRule="exact"/>
        <w:rPr>
          <w:rFonts w:ascii="Arial" w:cs="Arial" w:eastAsia="Arial" w:hAnsi="Arial"/>
          <w:sz w:val="12"/>
          <w:szCs w:val="12"/>
          <w:color w:val="auto"/>
        </w:rPr>
      </w:pPr>
    </w:p>
    <w:p>
      <w:pPr>
        <w:ind w:left="1980" w:right="1579" w:hanging="157"/>
        <w:spacing w:after="0" w:line="288"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in accordance with applicable good clinical practices, or GCPs and other clinical trial-related regulations, to establish the safety and efficacy of the proposed drug product for its proposed indication;</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preparation and submission to the FDA of an NDA together with payment of user fees;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 determination by the FDA within 60 days of its receipt of an NDA to file the NDA for review;</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review by an FDA advisory committee, where appropriate or if applicable;</w:t>
      </w:r>
    </w:p>
    <w:p>
      <w:pPr>
        <w:spacing w:after="0" w:line="65" w:lineRule="exact"/>
        <w:rPr>
          <w:rFonts w:ascii="Arial" w:cs="Arial" w:eastAsia="Arial" w:hAnsi="Arial"/>
          <w:sz w:val="12"/>
          <w:szCs w:val="12"/>
          <w:color w:val="auto"/>
        </w:rPr>
      </w:pPr>
    </w:p>
    <w:p>
      <w:pPr>
        <w:jc w:val="both"/>
        <w:ind w:left="1980" w:right="1599" w:hanging="157"/>
        <w:spacing w:after="0" w:line="288"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satisfactory completion of an FDA pre-approval inspection of the manufacturing facility or facilities at which the active pharmaceutical ingredient, or API and finished drug product are produced to assess compliance with the FDA’s current Good Manufacturing Practices, or cGMP;</w:t>
      </w:r>
    </w:p>
    <w:p>
      <w:pPr>
        <w:spacing w:after="0" w:line="25" w:lineRule="exact"/>
        <w:rPr>
          <w:rFonts w:ascii="Arial" w:cs="Arial" w:eastAsia="Arial" w:hAnsi="Arial"/>
          <w:sz w:val="12"/>
          <w:szCs w:val="12"/>
          <w:color w:val="auto"/>
        </w:rPr>
      </w:pPr>
    </w:p>
    <w:p>
      <w:pPr>
        <w:ind w:left="1980" w:right="1779" w:hanging="157"/>
        <w:spacing w:after="0" w:line="308"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potential FDA audit of the preclinical and/or clinical trial sites that generated the data in support of the NDA; and</w:t>
      </w:r>
    </w:p>
    <w:p>
      <w:pPr>
        <w:spacing w:after="0" w:line="3" w:lineRule="exact"/>
        <w:rPr>
          <w:rFonts w:ascii="Arial" w:cs="Arial" w:eastAsia="Arial" w:hAnsi="Arial"/>
          <w:sz w:val="12"/>
          <w:szCs w:val="12"/>
          <w:color w:val="auto"/>
        </w:rPr>
      </w:pPr>
    </w:p>
    <w:p>
      <w:pPr>
        <w:ind w:left="1980" w:right="1799" w:hanging="157"/>
        <w:spacing w:after="0" w:line="304"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FDA review and approval of the NDA prior to any commercial marketing or sale of the drug in the United States.</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Preclinical Studies and Clinical Trials</w:t>
      </w:r>
    </w:p>
    <w:p>
      <w:pPr>
        <w:spacing w:after="0" w:line="44" w:lineRule="exact"/>
        <w:rPr>
          <w:sz w:val="20"/>
          <w:szCs w:val="20"/>
          <w:color w:val="auto"/>
        </w:rPr>
      </w:pPr>
    </w:p>
    <w:p>
      <w:pPr>
        <w:ind w:left="1560" w:right="1659"/>
        <w:spacing w:after="0" w:line="278" w:lineRule="auto"/>
        <w:rPr>
          <w:sz w:val="20"/>
          <w:szCs w:val="20"/>
          <w:color w:val="auto"/>
        </w:rPr>
      </w:pPr>
      <w:r>
        <w:rPr>
          <w:rFonts w:ascii="Arial" w:cs="Arial" w:eastAsia="Arial" w:hAnsi="Arial"/>
          <w:sz w:val="12"/>
          <w:szCs w:val="12"/>
          <w:color w:val="auto"/>
        </w:rPr>
        <w:t>The preclinical development stage generally involves synthesizing the active component, developing the formulation and determining the manufacturing process, evaluating purity and stability,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59" w:name="page160"/>
    <w:bookmarkEnd w:id="15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39"/>
        <w:spacing w:after="0" w:line="272" w:lineRule="auto"/>
        <w:rPr>
          <w:sz w:val="20"/>
          <w:szCs w:val="20"/>
          <w:color w:val="auto"/>
        </w:rPr>
      </w:pPr>
      <w:r>
        <w:rPr>
          <w:rFonts w:ascii="Arial" w:cs="Arial" w:eastAsia="Arial" w:hAnsi="Arial"/>
          <w:sz w:val="12"/>
          <w:szCs w:val="12"/>
          <w:color w:val="auto"/>
        </w:rPr>
        <w:t>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Some long-term preclinical testing, such as animal tests of reproductive adverse events and carcinogenicity, may continue after the IND is submitted. The FDA may also impose clinical holds on a drug candidate at any time before or during clinical trials due to safety concerns or non-compliance. Accordingly, submission of an IND does not guarantee the FDA will allow clinical trials to begin, or that, once begun, issues will not arise that could cause the trial to be suspended or terminated.</w:t>
      </w:r>
    </w:p>
    <w:p>
      <w:pPr>
        <w:spacing w:after="0" w:line="86"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The clinical stage of development involves the administration of the drug product to human subjects or patients under the supervision of qualified investigators, generally physicians not employed by or under the trial sponsor’s control, in accordance with GCPs, which establish standards for conducting, recording data from, and reporting the results of clinical trials, and are intended to assure that the rights, safety, and well-being of study participants are protected. GCPs also include the requirement that all research subjects provide their informed consent in writing for their participation in any clinical trial. Clinical trials are conducted under written study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A separate submission to the existing IND must be made for each successive clinical trial conducted during product development and for any subsequent protocol amendments.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77"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Further, each clinical trial must be reviewed and approved by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w:t>
      </w:r>
    </w:p>
    <w:p>
      <w:pPr>
        <w:spacing w:after="0" w:line="77"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The IRB also reviews and approves the informed consent form that must be provided to each clinical trial subject or his or her legal representative and must monitor the clinical trial until completed.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There are also requirements governing the reporting of ongoing clinical trials and completed clinical trial results to public registries.</w:t>
      </w:r>
    </w:p>
    <w:p>
      <w:pPr>
        <w:spacing w:after="0" w:line="241" w:lineRule="exact"/>
        <w:rPr>
          <w:sz w:val="20"/>
          <w:szCs w:val="20"/>
          <w:color w:val="auto"/>
        </w:rPr>
      </w:pPr>
    </w:p>
    <w:p>
      <w:pPr>
        <w:ind w:left="1560" w:right="1719"/>
        <w:spacing w:after="0" w:line="308" w:lineRule="auto"/>
        <w:rPr>
          <w:sz w:val="20"/>
          <w:szCs w:val="20"/>
          <w:color w:val="auto"/>
        </w:rPr>
      </w:pPr>
      <w:r>
        <w:rPr>
          <w:rFonts w:ascii="Arial" w:cs="Arial" w:eastAsia="Arial" w:hAnsi="Arial"/>
          <w:sz w:val="12"/>
          <w:szCs w:val="12"/>
          <w:color w:val="auto"/>
        </w:rPr>
        <w:t>Clinical trials are generally conducted in three sequential phases that may overlap or be combined, known as Phase I, Phase II and Phase III clinical trials.</w:t>
      </w:r>
    </w:p>
    <w:p>
      <w:pPr>
        <w:spacing w:after="0" w:line="4" w:lineRule="exact"/>
        <w:rPr>
          <w:sz w:val="20"/>
          <w:szCs w:val="20"/>
          <w:color w:val="auto"/>
        </w:rPr>
      </w:pPr>
    </w:p>
    <w:p>
      <w:pPr>
        <w:ind w:left="1980" w:right="1679" w:hanging="157"/>
        <w:spacing w:after="0" w:line="278" w:lineRule="auto"/>
        <w:tabs>
          <w:tab w:leader="none" w:pos="1980" w:val="left"/>
        </w:tabs>
        <w:numPr>
          <w:ilvl w:val="0"/>
          <w:numId w:val="7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Phase I: </w:t>
      </w:r>
      <w:r>
        <w:rPr>
          <w:rFonts w:ascii="Arial" w:cs="Arial" w:eastAsia="Arial" w:hAnsi="Arial"/>
          <w:sz w:val="12"/>
          <w:szCs w:val="12"/>
          <w:color w:val="auto"/>
        </w:rPr>
        <w:t>The drug is initially introduced into a small number of healthy volunteers or patients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target disease or condition who are initially exposed to a single dose and then multiple doses of the drug candidate. These studies are designed to assess the metabolism, pharmacologic action, dosage tolerance, side effects associated with increasing doses, and safety of the drug, and if possible, to gain early evidence on effectiveness.</w:t>
      </w:r>
    </w:p>
    <w:p>
      <w:pPr>
        <w:spacing w:after="0" w:line="22"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7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Phase II: </w:t>
      </w:r>
      <w:r>
        <w:rPr>
          <w:rFonts w:ascii="Arial" w:cs="Arial" w:eastAsia="Arial" w:hAnsi="Arial"/>
          <w:sz w:val="12"/>
          <w:szCs w:val="12"/>
          <w:color w:val="auto"/>
        </w:rPr>
        <w:t>The drug is administered to a limited patient population with a specified disease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condition to evaluate optimal dosage and dosing schedule. At the same time, safety and further PK</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0" w:name="page161"/>
    <w:bookmarkEnd w:id="16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79"/>
        <w:spacing w:after="0" w:line="308" w:lineRule="auto"/>
        <w:rPr>
          <w:sz w:val="20"/>
          <w:szCs w:val="20"/>
          <w:color w:val="auto"/>
        </w:rPr>
      </w:pPr>
      <w:r>
        <w:rPr>
          <w:rFonts w:ascii="Arial" w:cs="Arial" w:eastAsia="Arial" w:hAnsi="Arial"/>
          <w:sz w:val="12"/>
          <w:szCs w:val="12"/>
          <w:color w:val="auto"/>
        </w:rPr>
        <w:t>and PD information is collected, as well as identification of possible adverse effects and safety risks and preliminary evaluation of efficacy.</w:t>
      </w:r>
    </w:p>
    <w:p>
      <w:pPr>
        <w:spacing w:after="0" w:line="13" w:lineRule="exact"/>
        <w:rPr>
          <w:sz w:val="20"/>
          <w:szCs w:val="20"/>
          <w:color w:val="auto"/>
        </w:rPr>
      </w:pPr>
    </w:p>
    <w:p>
      <w:pPr>
        <w:ind w:left="1980" w:right="1579" w:hanging="157"/>
        <w:spacing w:after="0" w:line="281" w:lineRule="auto"/>
        <w:tabs>
          <w:tab w:leader="none" w:pos="1980" w:val="left"/>
        </w:tabs>
        <w:numPr>
          <w:ilvl w:val="0"/>
          <w:numId w:val="7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Phase III: </w:t>
      </w:r>
      <w:r>
        <w:rPr>
          <w:rFonts w:ascii="Arial" w:cs="Arial" w:eastAsia="Arial" w:hAnsi="Arial"/>
          <w:sz w:val="12"/>
          <w:szCs w:val="12"/>
          <w:color w:val="auto"/>
        </w:rPr>
        <w:t>The drug is administered to an expanded number of patients, generally at multiple sites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that are geographically dispersed, in well-controlled clinical trials to generate enough data to demonstrate the efficacy of the drug for its intended use, its safety profile, and to establish the overall benefit/risk profile of the drug and provide an adequate basis for drug approval and labeling of the drug product.</w:t>
      </w:r>
    </w:p>
    <w:p>
      <w:pPr>
        <w:spacing w:after="0" w:line="224"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Post-approval trials, sometimes referred to as Phase IV clinical trials, may be conducted after initial marketing approval. These trials are used to gain additional experience from the treatment of patients in the intended therapeutic indication. In certain instances, the FDA may mandate the performance of Phase IV clinical trials as a condition of NDA approval.</w:t>
      </w:r>
    </w:p>
    <w:p>
      <w:pPr>
        <w:spacing w:after="0" w:line="77"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NDA Submission and FDA Review Process</w:t>
      </w:r>
    </w:p>
    <w:p>
      <w:pPr>
        <w:spacing w:after="0" w:line="4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Assuming successful completion of all required testing in accordance with all applicable regulatory requirements, 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Data can come from company-sponsored clinical studies intended to test the safety and effectiveness of a use of the product, or from a number of alternative sources, including studies initiated by independent investigators. Under the Prescription Drug User Fee Act, as amended, or PDUFA, each NDA must be accompanied by an application user fee. The FDA adjusts the PDUFA user fees on an annual basis. PDUFA also imposes an annual prescription drug program fee for human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86" w:lineRule="exact"/>
        <w:rPr>
          <w:sz w:val="20"/>
          <w:szCs w:val="20"/>
          <w:color w:val="auto"/>
        </w:rPr>
      </w:pPr>
    </w:p>
    <w:p>
      <w:pPr>
        <w:ind w:left="1560" w:right="1659"/>
        <w:spacing w:after="0" w:line="273" w:lineRule="auto"/>
        <w:rPr>
          <w:sz w:val="20"/>
          <w:szCs w:val="20"/>
          <w:color w:val="auto"/>
        </w:rPr>
      </w:pPr>
      <w:r>
        <w:rPr>
          <w:rFonts w:ascii="Arial" w:cs="Arial" w:eastAsia="Arial" w:hAnsi="Arial"/>
          <w:sz w:val="12"/>
          <w:szCs w:val="12"/>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 The FDA reviews the NDA to determine, among other things, whether the proposed drug is safe and effective for its intended use, and whether the drug is being manufactured in accordance with cGMP to assure and preserve the drug’s identity, strength, quality and purity.</w:t>
      </w:r>
    </w:p>
    <w:p>
      <w:pPr>
        <w:spacing w:after="0" w:line="81" w:lineRule="exact"/>
        <w:rPr>
          <w:sz w:val="20"/>
          <w:szCs w:val="20"/>
          <w:color w:val="auto"/>
        </w:rPr>
      </w:pPr>
    </w:p>
    <w:p>
      <w:pPr>
        <w:ind w:left="1560" w:right="1699"/>
        <w:spacing w:after="0" w:line="278" w:lineRule="auto"/>
        <w:rPr>
          <w:sz w:val="20"/>
          <w:szCs w:val="20"/>
          <w:color w:val="auto"/>
        </w:rPr>
      </w:pPr>
      <w:r>
        <w:rPr>
          <w:rFonts w:ascii="Arial" w:cs="Arial" w:eastAsia="Arial" w:hAnsi="Arial"/>
          <w:sz w:val="12"/>
          <w:szCs w:val="12"/>
          <w:color w:val="auto"/>
        </w:rPr>
        <w:t>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1" w:name="page162"/>
    <w:bookmarkEnd w:id="16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79"/>
        <w:spacing w:after="0" w:line="276" w:lineRule="auto"/>
        <w:rPr>
          <w:sz w:val="20"/>
          <w:szCs w:val="20"/>
          <w:color w:val="auto"/>
        </w:rPr>
      </w:pPr>
      <w:r>
        <w:rPr>
          <w:rFonts w:ascii="Arial" w:cs="Arial" w:eastAsia="Arial" w:hAnsi="Arial"/>
          <w:sz w:val="12"/>
          <w:szCs w:val="12"/>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re-analyze clinical trial data and may also audit data from clinical trials to ensure compliance with GCP requirements.</w:t>
      </w:r>
    </w:p>
    <w:p>
      <w:pPr>
        <w:spacing w:after="0" w:line="82"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After the FDA evaluates the application, manufacturing process and manufacturing facilities where the drug product and/or its API will be produced, it may issue an approval letter or a Complete Response Letter, or CRL. An approval letter authorizes commercial marketing of the drug with specific prescribing information for specific indications. A CRL indicates that the review cycle of the application is complete and the application is not ready for approval. A CRL usually describes all of the specific deficiencies in the NDA identified by the FDA. The CRL may require additional clinical data and/or an additional pivotal clinical trial(s), and/or other significant, expensive and time-consuming requirements related to clinical trials, preclinical studies or manufacturing. If a CRL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74"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If a drug receives marketing approval, such approval will be granted for particular indications and may be significantly limited to specific diseases, dosages, or patient populations.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so-called Phase IV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ensure that the benefits of a drug or biological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87"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Pediatric Trials</w:t>
      </w:r>
    </w:p>
    <w:p>
      <w:pPr>
        <w:spacing w:after="0" w:line="4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Under the Pediatric Research Equity Act,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A sponsor who is planning to submit a marketing application for a drug that includes a new active ingredient, new indication, new dosage form, new dosing regimen or new route of administration must also submit an initial Pediatric Study Plan, or PSP, within sixty days of an end-of-Phase II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Orphan Drug Designation and Exclusivity</w:t>
      </w:r>
    </w:p>
    <w:p>
      <w:pPr>
        <w:spacing w:after="0" w:line="44"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2" w:name="page163"/>
    <w:bookmarkEnd w:id="16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739"/>
        <w:spacing w:after="0" w:line="288" w:lineRule="auto"/>
        <w:rPr>
          <w:sz w:val="20"/>
          <w:szCs w:val="20"/>
          <w:color w:val="auto"/>
        </w:rPr>
      </w:pPr>
      <w:r>
        <w:rPr>
          <w:rFonts w:ascii="Arial" w:cs="Arial" w:eastAsia="Arial" w:hAnsi="Arial"/>
          <w:sz w:val="12"/>
          <w:szCs w:val="12"/>
          <w:color w:val="auto"/>
        </w:rPr>
        <w:t>request is granted, the FDA will publicly disclose the identity of the therapeutic agent and its potential use. Orphan product designation does not convey any advantage in or shorten the duration of the regulatory review and approval process.</w:t>
      </w:r>
    </w:p>
    <w:p>
      <w:pPr>
        <w:spacing w:after="0" w:line="74"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If a product that has orphan drug designation subsequently receives the first FDA approval for a particular active ingredient for the disease for which it has such designation, the product is entitled to orphan product exclusivity, meaning that the FDA may not approve any other applications for the same product for the same indication for seven years, including a full NDA, except in certain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74" w:lineRule="exact"/>
        <w:rPr>
          <w:sz w:val="20"/>
          <w:szCs w:val="20"/>
          <w:color w:val="auto"/>
        </w:rPr>
      </w:pPr>
    </w:p>
    <w:p>
      <w:pPr>
        <w:ind w:left="1560" w:right="1679"/>
        <w:spacing w:after="0" w:line="275" w:lineRule="auto"/>
        <w:rPr>
          <w:sz w:val="20"/>
          <w:szCs w:val="20"/>
          <w:color w:val="auto"/>
        </w:rPr>
      </w:pPr>
      <w:r>
        <w:rPr>
          <w:rFonts w:ascii="Arial" w:cs="Arial" w:eastAsia="Arial" w:hAnsi="Arial"/>
          <w:sz w:val="12"/>
          <w:szCs w:val="12"/>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Post-Marketing Requirements</w:t>
      </w:r>
    </w:p>
    <w:p>
      <w:pPr>
        <w:spacing w:after="0" w:line="44" w:lineRule="exact"/>
        <w:rPr>
          <w:sz w:val="20"/>
          <w:szCs w:val="20"/>
          <w:color w:val="auto"/>
        </w:rPr>
      </w:pPr>
    </w:p>
    <w:p>
      <w:pPr>
        <w:ind w:left="1560" w:right="1719"/>
        <w:spacing w:after="0" w:line="275" w:lineRule="auto"/>
        <w:rPr>
          <w:sz w:val="20"/>
          <w:szCs w:val="20"/>
          <w:color w:val="auto"/>
        </w:rPr>
      </w:pPr>
      <w:r>
        <w:rPr>
          <w:rFonts w:ascii="Arial" w:cs="Arial" w:eastAsia="Arial" w:hAnsi="Arial"/>
          <w:sz w:val="12"/>
          <w:szCs w:val="12"/>
          <w:color w:val="auto"/>
        </w:rPr>
        <w:t>Following approval of a new drug, the NDA sponsor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applicable promotion and advertising requirements. Modifications or enhancements to the drug or its labeling or changes of the site of manufacture are often subject to the approval of the FDA and other regulators, which may or may not be received or may result in a lengthy review process.</w:t>
      </w:r>
    </w:p>
    <w:p>
      <w:pPr>
        <w:spacing w:after="0" w:line="73"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FDA regulations also require that approved drug products be manufactured in specific facilities identified in the approved application for marketing and in accordance with cGMP.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81"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4" w:lineRule="exact"/>
        <w:rPr>
          <w:sz w:val="20"/>
          <w:szCs w:val="20"/>
          <w:color w:val="auto"/>
        </w:rPr>
      </w:pPr>
    </w:p>
    <w:p>
      <w:pPr>
        <w:ind w:left="1980" w:right="1819" w:hanging="157"/>
        <w:spacing w:after="0" w:line="308" w:lineRule="auto"/>
        <w:tabs>
          <w:tab w:leader="none" w:pos="19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fines, warning letters, or untitled letters;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clinical holds on clinical trials;</w:t>
      </w:r>
    </w:p>
    <w:p>
      <w:pPr>
        <w:spacing w:after="0" w:line="65" w:lineRule="exact"/>
        <w:rPr>
          <w:rFonts w:ascii="Arial" w:cs="Arial" w:eastAsia="Arial" w:hAnsi="Arial"/>
          <w:sz w:val="12"/>
          <w:szCs w:val="12"/>
          <w:color w:val="auto"/>
        </w:rPr>
      </w:pPr>
    </w:p>
    <w:p>
      <w:pPr>
        <w:ind w:left="1980" w:right="1879" w:hanging="157"/>
        <w:spacing w:after="0" w:line="308" w:lineRule="auto"/>
        <w:tabs>
          <w:tab w:leader="none" w:pos="19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refusal of the FDA to approve pending applications or supplements to approved applications, or suspension or revocation of product approvals;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3" w:name="page164"/>
    <w:bookmarkEnd w:id="16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hanging="157"/>
        <w:spacing w:after="0"/>
        <w:tabs>
          <w:tab w:leader="none" w:pos="19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w:t>
      </w:r>
    </w:p>
    <w:p>
      <w:pPr>
        <w:spacing w:after="0" w:line="65" w:lineRule="exact"/>
        <w:rPr>
          <w:rFonts w:ascii="Arial" w:cs="Arial" w:eastAsia="Arial" w:hAnsi="Arial"/>
          <w:sz w:val="12"/>
          <w:szCs w:val="12"/>
          <w:color w:val="auto"/>
        </w:rPr>
      </w:pPr>
    </w:p>
    <w:p>
      <w:pPr>
        <w:ind w:left="1980" w:right="1779" w:hanging="157"/>
        <w:spacing w:after="0" w:line="308" w:lineRule="auto"/>
        <w:tabs>
          <w:tab w:leader="none" w:pos="19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consent decrees, corporate integrity agreements, debarment or exclusion from federal healthcare programs;</w:t>
      </w:r>
    </w:p>
    <w:p>
      <w:pPr>
        <w:spacing w:after="0" w:line="3" w:lineRule="exact"/>
        <w:rPr>
          <w:rFonts w:ascii="Arial" w:cs="Arial" w:eastAsia="Arial" w:hAnsi="Arial"/>
          <w:sz w:val="12"/>
          <w:szCs w:val="12"/>
          <w:color w:val="auto"/>
        </w:rPr>
      </w:pPr>
    </w:p>
    <w:p>
      <w:pPr>
        <w:ind w:left="1980" w:right="2119" w:hanging="157"/>
        <w:spacing w:after="0" w:line="308" w:lineRule="auto"/>
        <w:tabs>
          <w:tab w:leader="none" w:pos="19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mandated modification of promotional materials and labeling and the issuance of corrective information;</w:t>
      </w:r>
    </w:p>
    <w:p>
      <w:pPr>
        <w:spacing w:after="0" w:line="13" w:lineRule="exact"/>
        <w:rPr>
          <w:rFonts w:ascii="Arial" w:cs="Arial" w:eastAsia="Arial" w:hAnsi="Arial"/>
          <w:sz w:val="12"/>
          <w:szCs w:val="12"/>
          <w:color w:val="auto"/>
        </w:rPr>
      </w:pPr>
    </w:p>
    <w:p>
      <w:pPr>
        <w:ind w:left="1980" w:right="2299" w:hanging="157"/>
        <w:spacing w:after="0" w:line="308" w:lineRule="auto"/>
        <w:tabs>
          <w:tab w:leader="none" w:pos="19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issuance of safety alerts, Dear Healthcare Provider letters, press releases and other communications containing warnings or other safety information about the product; or</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13"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3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Marketing Exclusivity</w:t>
      </w:r>
    </w:p>
    <w:p>
      <w:pPr>
        <w:spacing w:after="0" w:line="44"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Market exclusivity provisions under the FDCA can delay the acceptance by the FDA for review,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an NDA submitted under Section 505(b)(2), or 505(b)(2) NDA, submitted by another company for another drug based on the same active moiety, regardless of whether the drug is intended for the same indication as the original reference drug or for another indication, where the applicant does not own or have a legal right of reference to all the data required for approval. However, an application may be accepted for review after four years if it contains a certification of patent invalidity or non-infringement to one of the patents listed with the FDA for the reference drug.</w:t>
      </w:r>
    </w:p>
    <w:p>
      <w:pPr>
        <w:spacing w:after="0" w:line="76"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w:t>
      </w:r>
    </w:p>
    <w:p>
      <w:pPr>
        <w:spacing w:after="0" w:line="82" w:lineRule="exact"/>
        <w:rPr>
          <w:sz w:val="20"/>
          <w:szCs w:val="20"/>
          <w:color w:val="auto"/>
        </w:rPr>
      </w:pPr>
    </w:p>
    <w:p>
      <w:pPr>
        <w:ind w:left="1560" w:right="1659"/>
        <w:spacing w:after="0" w:line="288" w:lineRule="auto"/>
        <w:rPr>
          <w:sz w:val="20"/>
          <w:szCs w:val="20"/>
          <w:color w:val="auto"/>
        </w:rPr>
      </w:pPr>
      <w:r>
        <w:rPr>
          <w:rFonts w:ascii="Arial" w:cs="Arial" w:eastAsia="Arial" w:hAnsi="Arial"/>
          <w:sz w:val="12"/>
          <w:szCs w:val="12"/>
          <w:color w:val="auto"/>
        </w:rPr>
        <w:t>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74"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6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Other U.S. Regulatory Matters</w:t>
      </w:r>
    </w:p>
    <w:p>
      <w:pPr>
        <w:spacing w:after="0" w:line="121"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Manufacturing, sales, promotion and other activities following drug approval are also subject to regulation by numerous regulatory authorities in addition to the FDA, including, in the United States, the Centers for</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4" w:name="page165"/>
    <w:bookmarkEnd w:id="16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Medicare &amp; Medicaid Services, other divisions of the Department of Health and Human Services, the Consumer Product Safety Commission, the Federal Trade Commission, the Occupational Safety &amp; Health Administration, the Environmental Protection Agency and state and local governments. In the United States, the activities of pharmaceutical manufacturers are subject to federal and state laws designed to prevent fraud and abuse in the healthcare industry. The laws generally limit financial interactions between manufacturers and health care providers or other participants in the healthcare industry and/or require disclosure to the government and public of such interactions. Many of these laws and regulations contain ambiguous requirements or require administrative guidance for implementation.</w:t>
      </w:r>
    </w:p>
    <w:p>
      <w:pPr>
        <w:spacing w:after="0" w:line="81"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Pharmaceutical manufacturers are also required to provide discounts or rebates under government healthcare programs or to certain government and private purchasers in order to obtain coverage under federal healthcare programs such as Medicaid. Participation in such programs may require tracking and reporting of certain drug prices. Manufacturers are subject to fines and other penalties if such prices are not reported accurately.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78"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68"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The failure to comply with regulatory requirements subjects manufacturers to possible legal or regulatory action. Depending on the circumstances, failure to meet applicable regulatory requirements can result in criminal prosecution, fines, civil monetary or other penalties, injunctions, recall or seizure of drugs, total or partial suspension of production, denial or withdrawal of product approvals, additional regulatory oversight and integrity monitoring, exclusion from participation in government healthcare programs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9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Chinese Regulation of Pharmaceutical Product Development and Approval</w:t>
      </w:r>
    </w:p>
    <w:p>
      <w:pPr>
        <w:spacing w:after="0" w:line="111" w:lineRule="exact"/>
        <w:rPr>
          <w:sz w:val="20"/>
          <w:szCs w:val="20"/>
          <w:color w:val="auto"/>
        </w:rPr>
      </w:pPr>
    </w:p>
    <w:p>
      <w:pPr>
        <w:ind w:left="1560" w:right="1739"/>
        <w:spacing w:after="0" w:line="280" w:lineRule="auto"/>
        <w:rPr>
          <w:sz w:val="20"/>
          <w:szCs w:val="20"/>
          <w:color w:val="auto"/>
        </w:rPr>
      </w:pPr>
      <w:r>
        <w:rPr>
          <w:rFonts w:ascii="Arial" w:cs="Arial" w:eastAsia="Arial" w:hAnsi="Arial"/>
          <w:sz w:val="12"/>
          <w:szCs w:val="12"/>
          <w:color w:val="auto"/>
        </w:rPr>
        <w:t>Since China’s entry into the World Trade Organization in 2001, the Chinese government has made significant efforts to standardize regulations, develop its pharmaceutical regulatory system and strengthen intellectual property protection.</w:t>
      </w:r>
    </w:p>
    <w:p>
      <w:pPr>
        <w:spacing w:after="0" w:line="68"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In October 2017, China’s drug regulatory system entered a new and significant period of reform. The General Office of the State Council and the General Office of the Communist Party of China Central Committee jointly issued the Opinion on Deepening the Reform of the Regulatory Approval System to Encourage Innovation in Drugs and Medical Devices, or the Innovation Opinion, which is a mandatory plan to further reform the review and approval system and to encourage the innovation of drugs and medical devices. Under the Innovation Opinion and other recent reforms, the expedited programs and other advantages encourage drug manufacturers to seek marketing approval in China first and to develop drugs in high priority disease areas, such as oncology or rare disease.</w:t>
      </w:r>
    </w:p>
    <w:p>
      <w:pPr>
        <w:spacing w:after="0" w:line="81"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To implement the regulatory reform introduced by the Innovation Opinion, the Standing Committee of the National People’s Congress of the PRC, or SCNPC, and the National Medical Products Administration, or NMPA, have recently revised the fundamental laws, regulations and rules governing pharmaceutical products and the pharmaceutical industry, including the amendment of the framework law known as the People’s Republic of China Drug Administration Law, or PRC Drug Administration Law, which became effective on December 1, 2019. The State Administration for Market Regulation, or SAMR, has promulgated two key implementing regulations for the PRC Drug Administration Law: (i) the amended Administrative Measures for Drug Registration and (ii) the amended Measures on the Supervision and Administration of the Manufacture of Drugs. Both regulations took effect on July 1, 2020.</w:t>
      </w:r>
    </w:p>
    <w:p>
      <w:pPr>
        <w:spacing w:after="0" w:line="2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Rest of the World Regulation of Pharmaceutical Product Development and Approval</w:t>
      </w:r>
    </w:p>
    <w:p>
      <w:pPr>
        <w:spacing w:after="0" w:line="34" w:lineRule="exact"/>
        <w:rPr>
          <w:sz w:val="20"/>
          <w:szCs w:val="20"/>
          <w:color w:val="auto"/>
        </w:rPr>
      </w:pPr>
    </w:p>
    <w:p>
      <w:pPr>
        <w:ind w:left="1560" w:right="1839"/>
        <w:spacing w:after="0" w:line="308" w:lineRule="auto"/>
        <w:rPr>
          <w:sz w:val="20"/>
          <w:szCs w:val="20"/>
          <w:color w:val="auto"/>
        </w:rPr>
      </w:pPr>
      <w:r>
        <w:rPr>
          <w:rFonts w:ascii="Arial" w:cs="Arial" w:eastAsia="Arial" w:hAnsi="Arial"/>
          <w:sz w:val="12"/>
          <w:szCs w:val="12"/>
          <w:color w:val="auto"/>
        </w:rPr>
        <w:t>For other countries outside of Asia and the United States, such as countries in Europe, Latin America or other parts of Asia, the requirements governing the conduct of clinical trials, drug licensing, pricing and</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5" w:name="page166"/>
    <w:bookmarkEnd w:id="16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reimbursement vary from country to country. In all cases the clinical trials must be conducted in accordance with applicable GCP requirements and the applicable regulatory requirements and ethical principles.</w:t>
      </w:r>
    </w:p>
    <w:p>
      <w:pPr>
        <w:spacing w:after="0" w:line="62" w:lineRule="exact"/>
        <w:rPr>
          <w:sz w:val="20"/>
          <w:szCs w:val="20"/>
          <w:color w:val="auto"/>
        </w:rPr>
      </w:pPr>
    </w:p>
    <w:p>
      <w:pPr>
        <w:ind w:left="1560" w:right="1899"/>
        <w:spacing w:after="0" w:line="280" w:lineRule="auto"/>
        <w:rPr>
          <w:sz w:val="20"/>
          <w:szCs w:val="20"/>
          <w:color w:val="auto"/>
        </w:rPr>
      </w:pPr>
      <w:r>
        <w:rPr>
          <w:rFonts w:ascii="Arial" w:cs="Arial" w:eastAsia="Arial" w:hAnsi="Arial"/>
          <w:sz w:val="12"/>
          <w:szCs w:val="12"/>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Other Healthcare Laws</w:t>
      </w:r>
    </w:p>
    <w:p>
      <w:pPr>
        <w:spacing w:after="0" w:line="10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Other U.S. Healthcare Laws</w:t>
      </w:r>
    </w:p>
    <w:p>
      <w:pPr>
        <w:spacing w:after="0" w:line="34" w:lineRule="exact"/>
        <w:rPr>
          <w:sz w:val="20"/>
          <w:szCs w:val="20"/>
          <w:color w:val="auto"/>
        </w:rPr>
      </w:pPr>
    </w:p>
    <w:p>
      <w:pPr>
        <w:jc w:val="both"/>
        <w:ind w:left="1560" w:right="1699"/>
        <w:spacing w:after="0" w:line="271" w:lineRule="auto"/>
        <w:rPr>
          <w:sz w:val="20"/>
          <w:szCs w:val="20"/>
          <w:color w:val="auto"/>
        </w:rPr>
      </w:pPr>
      <w:r>
        <w:rPr>
          <w:rFonts w:ascii="Arial" w:cs="Arial" w:eastAsia="Arial" w:hAnsi="Arial"/>
          <w:sz w:val="12"/>
          <w:szCs w:val="12"/>
          <w:color w:val="auto"/>
        </w:rPr>
        <w:t>We may also be subject to healthcare regulation and enforcement by the U.S. federal government and the states where we may market our drug candidates, if approved. These laws include, without limitation, state and federal anti-kickback, fraud and abuse, false claims, privacy and security and transparency laws, such as the following:</w:t>
      </w:r>
    </w:p>
    <w:p>
      <w:pPr>
        <w:spacing w:after="0" w:line="25" w:lineRule="exact"/>
        <w:rPr>
          <w:sz w:val="20"/>
          <w:szCs w:val="20"/>
          <w:color w:val="auto"/>
        </w:rPr>
      </w:pPr>
    </w:p>
    <w:p>
      <w:pPr>
        <w:ind w:left="1980" w:right="1639" w:hanging="157"/>
        <w:spacing w:after="0" w:line="276"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federal Anti-Kickback Statute,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34" w:lineRule="exact"/>
        <w:rPr>
          <w:rFonts w:ascii="Arial" w:cs="Arial" w:eastAsia="Arial" w:hAnsi="Arial"/>
          <w:sz w:val="12"/>
          <w:szCs w:val="12"/>
          <w:color w:val="auto"/>
        </w:rPr>
      </w:pPr>
    </w:p>
    <w:p>
      <w:pPr>
        <w:ind w:left="1980" w:right="1639" w:hanging="157"/>
        <w:spacing w:after="0" w:line="276"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federal false claims laws, including the False Claim Act and the Civil Monetary Penalties Law, which prohibit, among other things, individuals or entities from knowingly presenting, or causing to be presented, information or claims for payment from Medicare, Medicaid, or other third-party payers that are false or fraudulent. In addition, a claim including items or services resulting from a violation of the U.S. federal Anti-Kickback Statute constitutes a false or fraudulent claim for purposes of the federal civil False Claims Act;</w:t>
      </w:r>
    </w:p>
    <w:p>
      <w:pPr>
        <w:spacing w:after="0" w:line="24" w:lineRule="exact"/>
        <w:rPr>
          <w:rFonts w:ascii="Arial" w:cs="Arial" w:eastAsia="Arial" w:hAnsi="Arial"/>
          <w:sz w:val="12"/>
          <w:szCs w:val="12"/>
          <w:color w:val="auto"/>
        </w:rPr>
      </w:pPr>
    </w:p>
    <w:p>
      <w:pPr>
        <w:ind w:left="1980" w:right="1659" w:hanging="157"/>
        <w:spacing w:after="0" w:line="278"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which prohibits, among other things, executing or attempting to execute a scheme to defraud any healthcare benefit program (including private health plans)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2" w:lineRule="exact"/>
        <w:rPr>
          <w:rFonts w:ascii="Arial" w:cs="Arial" w:eastAsia="Arial" w:hAnsi="Arial"/>
          <w:sz w:val="12"/>
          <w:szCs w:val="12"/>
          <w:color w:val="auto"/>
        </w:rPr>
      </w:pPr>
    </w:p>
    <w:p>
      <w:pPr>
        <w:ind w:left="1980" w:right="1619" w:hanging="157"/>
        <w:spacing w:after="0" w:line="288"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Federal Food, Drug, and Cosmetic Act, which among other things, strictly regulates drug product and medical device marketing, prohibits manufacturers from marketing such products prior to approval or for off-label use and regulates the distribution of samples;</w:t>
      </w:r>
    </w:p>
    <w:p>
      <w:pPr>
        <w:spacing w:after="0" w:line="15" w:lineRule="exact"/>
        <w:rPr>
          <w:rFonts w:ascii="Arial" w:cs="Arial" w:eastAsia="Arial" w:hAnsi="Arial"/>
          <w:sz w:val="12"/>
          <w:szCs w:val="12"/>
          <w:color w:val="auto"/>
        </w:rPr>
      </w:pPr>
    </w:p>
    <w:p>
      <w:pPr>
        <w:jc w:val="both"/>
        <w:ind w:left="1980" w:right="1639" w:hanging="157"/>
        <w:spacing w:after="0" w:line="288"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5" w:lineRule="exact"/>
        <w:rPr>
          <w:rFonts w:ascii="Arial" w:cs="Arial" w:eastAsia="Arial" w:hAnsi="Arial"/>
          <w:sz w:val="12"/>
          <w:szCs w:val="12"/>
          <w:color w:val="auto"/>
        </w:rPr>
      </w:pPr>
    </w:p>
    <w:p>
      <w:pPr>
        <w:ind w:left="1980" w:right="1639" w:hanging="157"/>
        <w:spacing w:after="0" w:line="274"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25" w:lineRule="exact"/>
        <w:rPr>
          <w:rFonts w:ascii="Arial" w:cs="Arial" w:eastAsia="Arial" w:hAnsi="Arial"/>
          <w:sz w:val="12"/>
          <w:szCs w:val="12"/>
          <w:color w:val="auto"/>
        </w:rPr>
      </w:pPr>
    </w:p>
    <w:p>
      <w:pPr>
        <w:ind w:left="1980" w:right="1599" w:hanging="157"/>
        <w:spacing w:after="0" w:line="276"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and their implementing regulations, imposes obligations, including mandatory contractual terms, on “covered entities,” including certain healthcare providers, health plans, healthcare clearinghouses, and their respective “business associates,” and their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34" w:lineRule="exact"/>
        <w:rPr>
          <w:rFonts w:ascii="Arial" w:cs="Arial" w:eastAsia="Arial" w:hAnsi="Arial"/>
          <w:sz w:val="12"/>
          <w:szCs w:val="12"/>
          <w:color w:val="auto"/>
        </w:rPr>
      </w:pPr>
    </w:p>
    <w:p>
      <w:pPr>
        <w:ind w:left="1980" w:right="1679" w:hanging="157"/>
        <w:spacing w:after="0" w:line="278"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state law equivalents of the above federal laws, such as anti-kickback and false claims laws, which may apply to items or services reimbursed by any third-party payer, including private insurers, state transparency laws, state laws limiting interactions between pharmaceutical manufacturers and members of the healthcare industry, and state laws governing the privacy and security of health information in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6" w:name="page167"/>
    <w:bookmarkEnd w:id="16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980" w:right="1839"/>
        <w:spacing w:after="0" w:line="291" w:lineRule="auto"/>
        <w:rPr>
          <w:sz w:val="20"/>
          <w:szCs w:val="20"/>
          <w:color w:val="auto"/>
        </w:rPr>
      </w:pPr>
      <w:r>
        <w:rPr>
          <w:rFonts w:ascii="Arial" w:cs="Arial" w:eastAsia="Arial" w:hAnsi="Arial"/>
          <w:sz w:val="12"/>
          <w:szCs w:val="12"/>
          <w:color w:val="auto"/>
        </w:rPr>
        <w:t>certain circumstances, many of which differ from each other in significant ways and often are not preempted by federal laws, thus complicating compliance efforts.</w:t>
      </w:r>
    </w:p>
    <w:p>
      <w:pPr>
        <w:spacing w:after="0" w:line="62" w:lineRule="exact"/>
        <w:rPr>
          <w:sz w:val="20"/>
          <w:szCs w:val="20"/>
          <w:color w:val="auto"/>
        </w:rPr>
      </w:pPr>
    </w:p>
    <w:p>
      <w:pPr>
        <w:ind w:left="1560" w:right="1659"/>
        <w:spacing w:after="0" w:line="308" w:lineRule="auto"/>
        <w:rPr>
          <w:sz w:val="20"/>
          <w:szCs w:val="20"/>
          <w:color w:val="auto"/>
        </w:rPr>
      </w:pPr>
      <w:r>
        <w:rPr>
          <w:rFonts w:ascii="Arial" w:cs="Arial" w:eastAsia="Arial" w:hAnsi="Arial"/>
          <w:sz w:val="12"/>
          <w:szCs w:val="12"/>
          <w:color w:val="auto"/>
        </w:rPr>
        <w:t>We may also be subject to federal consumer protection and unfair competition laws, which broadly regulate marketplace activities and activities that potentially harm consumers.</w:t>
      </w:r>
    </w:p>
    <w:p>
      <w:pPr>
        <w:spacing w:after="0" w:line="52"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Efforts to ensure that our activities comply with applicable healthcare laws may involve substantial costs. Many of these laws and their implementing regulations contain ambiguous requirements or require administrative guidance for implementation. Given the lack of clarity in laws and their implementation, our activities could be subject to challenge. If our operations were found to be in violation of any of these laws or any other governmental regulations that may apply to us, we could be subject to significant civil, criminal and administrative penalties, including, without limitation, damages, fines, imprisonment, additional regulatory oversight and integrity monitoring, exclusion from participation in government healthcare programs, such as Medicare and Medicaid, and the curtailment or restructuring of our operations.</w:t>
      </w:r>
    </w:p>
    <w:p>
      <w:pPr>
        <w:spacing w:after="0" w:line="1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Coverage and Reimbursement</w:t>
      </w:r>
    </w:p>
    <w:p>
      <w:pPr>
        <w:spacing w:after="0" w:line="10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U.S. Coverage and Reimbursement</w:t>
      </w:r>
    </w:p>
    <w:p>
      <w:pPr>
        <w:spacing w:after="0" w:line="34"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Successful sales of our drug candidates in the U.S. market, if approved, will depend, in part, on the extent to which our drugs will be covered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w:t>
      </w:r>
    </w:p>
    <w:p>
      <w:pPr>
        <w:spacing w:after="0" w:line="231" w:lineRule="exact"/>
        <w:rPr>
          <w:sz w:val="20"/>
          <w:szCs w:val="20"/>
          <w:color w:val="auto"/>
        </w:rPr>
      </w:pPr>
    </w:p>
    <w:p>
      <w:pPr>
        <w:ind w:left="1560" w:right="1639"/>
        <w:spacing w:after="0" w:line="265" w:lineRule="auto"/>
        <w:rPr>
          <w:sz w:val="20"/>
          <w:szCs w:val="20"/>
          <w:color w:val="auto"/>
        </w:rPr>
      </w:pPr>
      <w:r>
        <w:rPr>
          <w:rFonts w:ascii="Arial" w:cs="Arial" w:eastAsia="Arial" w:hAnsi="Arial"/>
          <w:sz w:val="12"/>
          <w:szCs w:val="12"/>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77" w:lineRule="exact"/>
        <w:rPr>
          <w:sz w:val="20"/>
          <w:szCs w:val="20"/>
          <w:color w:val="auto"/>
        </w:rPr>
      </w:pPr>
    </w:p>
    <w:p>
      <w:pPr>
        <w:ind w:left="1560" w:right="1719"/>
        <w:spacing w:after="0" w:line="271" w:lineRule="auto"/>
        <w:rPr>
          <w:sz w:val="20"/>
          <w:szCs w:val="20"/>
          <w:color w:val="auto"/>
        </w:rPr>
      </w:pPr>
      <w:r>
        <w:rPr>
          <w:rFonts w:ascii="Arial" w:cs="Arial" w:eastAsia="Arial" w:hAnsi="Arial"/>
          <w:sz w:val="12"/>
          <w:szCs w:val="12"/>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U.S. Health Care Reform</w:t>
      </w:r>
    </w:p>
    <w:p>
      <w:pPr>
        <w:spacing w:after="0" w:line="4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or ACA, was passed which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judicial, Congressional and executive branch challenges to certain aspects of the ACA, including efforts to repeal or replace certain aspects of the ACA. For example, on June 17, 2021 the U.S. Supreme Court dismissed a challenge on procedural grounds that argued the ACA is unconstitutional in its entirety because the individual mandate was repealed by Congress. Prior to the U.S. Supreme Court ruling,</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7" w:name="page168"/>
    <w:bookmarkEnd w:id="16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w:t>
      </w:r>
    </w:p>
    <w:p>
      <w:pPr>
        <w:spacing w:after="0" w:line="230"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w:t>
      </w:r>
    </w:p>
    <w:p>
      <w:pPr>
        <w:spacing w:after="0" w:line="133" w:lineRule="exact"/>
        <w:rPr>
          <w:sz w:val="20"/>
          <w:szCs w:val="20"/>
          <w:color w:val="auto"/>
        </w:rPr>
      </w:pPr>
    </w:p>
    <w:p>
      <w:pPr>
        <w:ind w:left="1560" w:right="2319"/>
        <w:spacing w:after="0" w:line="369" w:lineRule="auto"/>
        <w:rPr>
          <w:sz w:val="20"/>
          <w:szCs w:val="20"/>
          <w:color w:val="auto"/>
        </w:rPr>
      </w:pPr>
      <w:r>
        <w:rPr>
          <w:rFonts w:ascii="Arial" w:cs="Arial" w:eastAsia="Arial" w:hAnsi="Arial"/>
          <w:sz w:val="12"/>
          <w:szCs w:val="12"/>
          <w:b w:val="1"/>
          <w:bCs w:val="1"/>
          <w:color w:val="auto"/>
        </w:rPr>
        <w:t xml:space="preserve">Other Significant Chinese Regulation Affecting Our Business Activities in China </w:t>
      </w:r>
      <w:r>
        <w:rPr>
          <w:rFonts w:ascii="Arial" w:cs="Arial" w:eastAsia="Arial" w:hAnsi="Arial"/>
          <w:sz w:val="12"/>
          <w:szCs w:val="12"/>
          <w:b w:val="1"/>
          <w:bCs w:val="1"/>
          <w:i w:val="1"/>
          <w:iCs w:val="1"/>
          <w:color w:val="auto"/>
        </w:rPr>
        <w:t>Chinese Regulation of Foreign Investment</w:t>
      </w:r>
    </w:p>
    <w:p>
      <w:pPr>
        <w:spacing w:after="0" w:line="1"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The establishment, operation and management of corporate entities in China are governed by the Company Law of the People’s Republic of China, or the PRC Company Law, which was adopted by the SCNPC in December 1993, implemented in July 1994, and subsequently amended in December 1999, August 2004, October 2005, December 2013 and October 2018. Under the PRC Company Law, companies are generally classified into two categories: limited liability companies and companies limited by shares. The PRC Company Law also applies to foreign-invested limited liability companies. Pursuant to the PRC Company Law, where laws on foreign investment have other stipulations, such stipulations shall prevail.</w:t>
      </w:r>
    </w:p>
    <w:p>
      <w:pPr>
        <w:spacing w:after="0" w:line="73"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Investment activities in China by foreign investors are governed by the Guiding Foreign Investment Direction, which was promulgated by the State Council on February 11, 2002 and came into effect on April 1, 2002, and the latest Special Administrative Measures (Negative List) for Foreign Investment Access (2021), or the Negative List, which was promulgated by the Ministry of Commerce of the People’s Republic of China, or MOFCOM, and National Development and Reform Commission, or NDRC, on December 27, 2021 and took effect on January 1, 2022. The Negative List set out in a unified manner the restrictive measures, such as the requirements on shareholding percentages and management, for the access of foreign investments, and the industries that are prohibited for foreign investment. The Negative List covers 12 industries, and any field not falling in the Negative List shall be administered under the principle of equal treatment to domestic and foreign investment.</w:t>
      </w:r>
    </w:p>
    <w:p>
      <w:pPr>
        <w:spacing w:after="0" w:line="84"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The Foreign Investment Law of the People’s Republic of China, or the Foreign Investment Law, was promulgated by the National People’s Congress, or NPC, in March 2019 and become effective in January 2020. After the Foreign Investment Law came into force, the Law on Wholly Foreign-Owned Enterprises of the People’s Republic of China, the Law on Sino-foreign Equity Joint Ventures of the People’s Republic of China and the Law on Sino-foreign Contractual Joint Ventures of the People’s Republic of China have been repealed simultaneously.</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8" w:name="page169"/>
    <w:bookmarkEnd w:id="16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The investment activities of foreign natural persons, enterprises or other organizations (hereinafter referred to as foreign investors) directly or indirectly within the territory of China shall comply with and be governed by the Foreign Investment Law, including: (i) establishing by foreign investors of foreign-invested enterprises in China alone or jointly with other investors; (ii) acquiring by foreign investors of shares, equity, property shares, or other similar interests of Chinese domestic enterprises; (iii) investing by foreign investors in new projects in China alone or jointly with other investors; (iv) other forms of investment prescribed by laws, administrative regulations or the State Council.</w:t>
      </w:r>
    </w:p>
    <w:p>
      <w:pPr>
        <w:spacing w:after="0" w:line="7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In December 2019, the State Council issued the Regulations on Implementing the Foreign Investment Law, which came into effect in January 2020. After the Regulations on Implementing the Foreign Investment Law came into effect, the Regulation on Implementing the Sino-Foreign Equity Joint Venture Enterprise Law, Provisional Regulations on the Duration of Sino- Foreign Equity Joint Venture Enterprise, the Regulations on Implementing the Wholly Foreign-Owned Enterprise Law and the Regulations on Implementing the Sino-Foreign Cooperative Joint Venture Enterprise Law have been repealed simultaneously.</w:t>
      </w:r>
    </w:p>
    <w:p>
      <w:pPr>
        <w:spacing w:after="0" w:line="78" w:lineRule="exact"/>
        <w:rPr>
          <w:sz w:val="20"/>
          <w:szCs w:val="20"/>
          <w:color w:val="auto"/>
        </w:rPr>
      </w:pPr>
    </w:p>
    <w:p>
      <w:pPr>
        <w:ind w:left="1560" w:right="1819"/>
        <w:spacing w:after="0" w:line="264" w:lineRule="auto"/>
        <w:rPr>
          <w:sz w:val="20"/>
          <w:szCs w:val="20"/>
          <w:color w:val="auto"/>
        </w:rPr>
      </w:pPr>
      <w:r>
        <w:rPr>
          <w:rFonts w:ascii="Arial" w:cs="Arial" w:eastAsia="Arial" w:hAnsi="Arial"/>
          <w:sz w:val="12"/>
          <w:szCs w:val="12"/>
          <w:color w:val="auto"/>
        </w:rPr>
        <w:t>In December 2019, the MOFCOM and the SAMR issued the Measures for the Reporting of Foreign Investment Information, which came into effect in January 2020. After the Measures for the Reporting of Foreign Investment Information came into effect, the Interim Measures on the Administration of Filing for Establishment and Change of Foreign Investment Enterprises has been repealed simultaneously. Since January 1, 2020, for foreign investors carrying out investment activities directly or indirectly in China, the foreign investors or foreign-invested enterprises shall submit investment information to the relevant commerce administrative authorities pursuant to these measures.</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Chinese Regulation of Commercial Bribery</w:t>
      </w:r>
    </w:p>
    <w:p>
      <w:pPr>
        <w:spacing w:after="0" w:line="34"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Pursuant to specific provisions in the amended People’s Republic of China Anti-Unfair Competition Law, commercial bribery is prohibited. Both the bribe giver and bribe recipient are subject to civil and criminal liability. Further, pharmaceutical companies involved in a criminal investigation or administrative proceedings related to bribery are listed in the Adverse Records of Commercial Briberies by its provincial health and family planning administrative department. Pursuant to the Provisions on the Establishment of Adverse Records of Commercial Briberies in the Medicine Purchase and Sales Industry which became effective on March 1, 2014, provincial health and family planning administrative departments formulate the implementing measures for the establishment of Adverse Records of Commercial Briberies. If a pharmaceutical company is listed in the Adverse Records of Commercial Briberies for the first time, their production is not required to be purchased by public medical institutions. A pharmaceutical company will not be penalized by the relevant Chinese government authorities merely by virtue of having contractual relationships with distributors or third-party promoters who are engaged in bribery activities, so long as such pharmaceutical company and its employees are not utilizing the distributors or third-party promoters for the implementation of, or acting in conjunction with them in, the prohibited bribery activities. In addition, a pharmaceutical company is under no legal obligation to monitor the operating activities of its distributors and third-party promoters, and it will not be subject to penalties or sanctions by relevant Chinese government authorities as a result of failure to monitor their operating activities.</w:t>
      </w:r>
    </w:p>
    <w:p>
      <w:pPr>
        <w:spacing w:after="0" w:line="4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Chinese Regulation of Product Liability</w:t>
      </w:r>
    </w:p>
    <w:p>
      <w:pPr>
        <w:spacing w:after="0" w:line="34"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In addition to the strict new drug approval process, certain Chinese laws have been promulgated to protect the rights of consumers and to strengthen the control of medical products in China. Under current Chinese law, manufacturers and vendors of defective products in China may incur liability for loss and injury caused by such products. Pursuant to the General Principles of the Civil Law of the People’s Republic of China, or PRC Civil Law, promulgated on April 12, 1986 and amended on August 27, 2009, a defective product which causes property damage or physical injury to any person may subject the manufacturer or vendor of such product to civil liability for such damage or injury. The Civil Code of the People’s Republic of China, or PRC Civil Code, which was promulgated in May 2020 and became effective on January 1, 2021, amalgamates and replaces a series of specialized laws in civil law area, including the PRC Civil Law. The rules on product liability in the PRC Civil Code remain consistent with the rules in the PRC Civil Law.</w:t>
      </w:r>
    </w:p>
    <w:p>
      <w:pPr>
        <w:spacing w:after="0" w:line="79"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On February 22, 1993, the Product Quality Law of the People’s Republic of China, or Product Quality Law, was promulgated to supplement the PRC Civil Law aiming to protect the legitimate rights and interests of the end-users and consumers and to strengthen the supervision and control of the quality of products. The Product Quality Law was revised on July 8, 2000, August 27, 2009 and December 29, 2018 respectively. Pursuant to</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69" w:name="page170"/>
    <w:bookmarkEnd w:id="16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the revised Product Quality Law, manufacturers who produce defective products may be subject to civil or criminal liability and have their business licenses revoked.</w:t>
      </w:r>
    </w:p>
    <w:p>
      <w:pPr>
        <w:spacing w:after="0" w:line="62"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The Law of the People’s Republic of China on the Protection of the Rights and Interests of Consumers was promulgated on October 31, 1993 and was amended on August 27, 2009 and October 25, 2013 to protect consumers’ rights when they purchase or use goods and accept services. According to which, all business operators must comply with this law when they manufacture or sell goods and/or provide services to customers. Under the amendment on October 25, 2013, all business operators shall pay high attention to protect the customers’ privacy and strictly keep confidential any consumer information they obtain during the business operation. In addition, in extreme situations, pharmaceutical product manufacturers and operators may be subject to criminal liability if their goods or services lead to the death or injuries of customers or other third parties.</w:t>
      </w:r>
    </w:p>
    <w:p>
      <w:pPr>
        <w:spacing w:after="0" w:line="3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Chinese Tort Law</w:t>
      </w:r>
    </w:p>
    <w:p>
      <w:pPr>
        <w:spacing w:after="0" w:line="34"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Under the Tort Law of the People’s Republic of China, or Tort Law, which became effective on July 1, 2010, if damages to other persons are caused by defective products due to the fault of a third party,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the issuance of a warning, or the recall of products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 The PRC Civil Code amalgamated and replaced the Tort Law effective January 1, 2021. The rules on tort in the PRC Civil Code are generally consistent with the Tort Law.</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Chinese Regulation of Intellectual Property Rights</w:t>
      </w:r>
    </w:p>
    <w:p>
      <w:pPr>
        <w:spacing w:after="0" w:line="27" w:lineRule="exact"/>
        <w:rPr>
          <w:sz w:val="20"/>
          <w:szCs w:val="20"/>
          <w:color w:val="auto"/>
        </w:rPr>
      </w:pPr>
    </w:p>
    <w:p>
      <w:pPr>
        <w:ind w:left="1560" w:right="1619"/>
        <w:spacing w:after="0" w:line="302" w:lineRule="auto"/>
        <w:rPr>
          <w:sz w:val="20"/>
          <w:szCs w:val="20"/>
          <w:color w:val="auto"/>
        </w:rPr>
      </w:pPr>
      <w:r>
        <w:rPr>
          <w:rFonts w:ascii="Arial" w:cs="Arial" w:eastAsia="Arial" w:hAnsi="Arial"/>
          <w:sz w:val="12"/>
          <w:szCs w:val="12"/>
          <w:color w:val="auto"/>
        </w:rPr>
        <w:t>China has made substantial efforts to adopt comprehensive legislation governing intellectual property rights, including patents, trademarks, copyrights and domain names.</w:t>
      </w:r>
    </w:p>
    <w:p>
      <w:pPr>
        <w:ind w:left="1560"/>
        <w:spacing w:after="0"/>
        <w:rPr>
          <w:sz w:val="20"/>
          <w:szCs w:val="20"/>
          <w:color w:val="auto"/>
        </w:rPr>
      </w:pPr>
      <w:r>
        <w:rPr>
          <w:rFonts w:ascii="Arial" w:cs="Arial" w:eastAsia="Arial" w:hAnsi="Arial"/>
          <w:sz w:val="12"/>
          <w:szCs w:val="12"/>
          <w:i w:val="1"/>
          <w:iCs w:val="1"/>
          <w:color w:val="auto"/>
        </w:rPr>
        <w:t>Patents</w:t>
      </w:r>
    </w:p>
    <w:p>
      <w:pPr>
        <w:spacing w:after="0" w:line="34"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Pursuant to the Patent Law of the People’s Republic of China, or the PRC Patent Law, most recently amended in December 2008 and October 2020, and its implementation rules, most recently amended in January 2010,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the new design of a certain product in shape, pattern or a combination of both and in color, shape and pattern combinations aesthetically suitable for industrial application. Under the PRC Patent Law, the term of patent protection starts from the date of application. Patents relating to invention are effective for twenty years, and utility models and designs are effective for ten and fifteen years, respectively, from the date of application. The PRC Patent Law adopts the principle of  “first-to-file” system, which provides that where more than one person files a patent application for the same invention, a patent will be granted to the person who files the application first.</w:t>
      </w:r>
    </w:p>
    <w:p>
      <w:pPr>
        <w:spacing w:after="0" w:line="80"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Existing patents can become narrowed, invalid or unenforceable due to a variety of grounds, including lack of novelty, creativity, and deficiencies in patent application. In China, a patent must have novelty, creativity and practical applicability. Under the PRC Patent Law, novelty means that before a patent application is filed, no 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China National Intellectual Property Administration, or CNIPA. Normally, the CNIPA publishes an application for an invention patent within</w:t>
      </w:r>
    </w:p>
    <w:p>
      <w:pPr>
        <w:spacing w:after="0" w:line="4" w:lineRule="exact"/>
        <w:rPr>
          <w:sz w:val="20"/>
          <w:szCs w:val="20"/>
          <w:color w:val="auto"/>
        </w:rPr>
      </w:pPr>
    </w:p>
    <w:p>
      <w:pPr>
        <w:ind w:left="1560" w:right="1579"/>
        <w:spacing w:after="0" w:line="287" w:lineRule="auto"/>
        <w:rPr>
          <w:sz w:val="20"/>
          <w:szCs w:val="20"/>
          <w:color w:val="auto"/>
        </w:rPr>
      </w:pPr>
      <w:r>
        <w:rPr>
          <w:rFonts w:ascii="Arial" w:cs="Arial" w:eastAsia="Arial" w:hAnsi="Arial"/>
          <w:sz w:val="12"/>
          <w:szCs w:val="12"/>
          <w:color w:val="auto"/>
        </w:rPr>
        <w:t>18 months after the filing date, which may be shortened at the request of applicant. The applicant must apply to the CNIPA for a substantive examination within three years from the date of application.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0" w:name="page171"/>
    <w:bookmarkEnd w:id="17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719"/>
        <w:spacing w:after="0" w:line="262" w:lineRule="auto"/>
        <w:rPr>
          <w:sz w:val="20"/>
          <w:szCs w:val="20"/>
          <w:color w:val="auto"/>
        </w:rPr>
      </w:pPr>
      <w:r>
        <w:rPr>
          <w:rFonts w:ascii="Arial" w:cs="Arial" w:eastAsia="Arial" w:hAnsi="Arial"/>
          <w:sz w:val="12"/>
          <w:szCs w:val="12"/>
          <w:color w:val="auto"/>
        </w:rPr>
        <w:t>Article 19 of the PRC Patent Law provides that, for an invention or utility model completed in China, any applicant (not just Chinese companies and individuals), before filing a patent application outside of China, must first submit it to the CNIPA for a confidential examination. Failure to comply with this requirement will result in the denial of any Chinese patent for the relevant invention. This added requirement of confidential examination by the CNIPA has raised concerns by foreign companies who conduct research and development activities in China or outsource research and development activities to service providers in China. The PRC Patent Law also sets up the framework and adds the provisions for patent linkage and patent term extension.</w:t>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Patent Enforcement</w:t>
      </w:r>
    </w:p>
    <w:p>
      <w:pPr>
        <w:spacing w:after="0" w:line="34" w:lineRule="exact"/>
        <w:rPr>
          <w:sz w:val="20"/>
          <w:szCs w:val="20"/>
          <w:color w:val="auto"/>
        </w:rPr>
      </w:pPr>
    </w:p>
    <w:p>
      <w:pPr>
        <w:jc w:val="both"/>
        <w:ind w:left="1560" w:right="1779"/>
        <w:spacing w:after="0" w:line="280" w:lineRule="auto"/>
        <w:rPr>
          <w:sz w:val="20"/>
          <w:szCs w:val="20"/>
          <w:color w:val="auto"/>
        </w:rPr>
      </w:pPr>
      <w:r>
        <w:rPr>
          <w:rFonts w:ascii="Arial" w:cs="Arial" w:eastAsia="Arial" w:hAnsi="Arial"/>
          <w:sz w:val="12"/>
          <w:szCs w:val="12"/>
          <w:color w:val="auto"/>
        </w:rPr>
        <w:t>Unauthorized use of patents without consent from owners of patents, forgery of the patents belonging to other persons, or engagement in other patent infringement acts, will subject the infringers to infringement liability. Serious offenses such as forgery of patents may be subject to criminal penalties.</w:t>
      </w:r>
    </w:p>
    <w:p>
      <w:pPr>
        <w:spacing w:after="0" w:line="68"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When a dispute arises out of infringement of the patent owner’s patent right, Chinese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patent owner’s or an interested party’s request before instituting any legal proceedings or during the proceedings. Damages for infringement are calculated as the loss suffered by the patent holder arising from the infringement, or the benefit gained by the infringer from the infringement. If it is difficult to ascertain damages in this manner, damages may be determined by using a reasonable multiple of the license fee under a contractual license. Statutory damages may be awarded in the circumstances where the damages cannot be determined by the calculation standards referenced above. The damage calculation methods shall be applied in the aforementioned order. Generally, the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8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most recent amendment to the PRC Patent Law, which was promulgated by the SCNPC in</w:t>
      </w:r>
    </w:p>
    <w:p>
      <w:pPr>
        <w:spacing w:after="0" w:line="19"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October 2020 and became effective in June 2021, describes the general principles of linking generic drug applications to pharmaceutical patent protection, also known as Patent Linkage. In July 2021, the NMPA and the CNIPA jointly published the Measures for Implementing an Early-Stage Resolution Mechanism for Pharmaceutical Patent Disputes (Tentative), or Measures on Patent Linkage, providing an operating mechanism for Patent Linkage. Upon notification of generic applications and certifications, if the patentee or the interested person disagrees, the patentee or the interested person will need to file a claim with the court or the CNIPA within 45 days after the Center for Drug Evaluation, or CDE’s, publication and must submit a copy of the case acceptance notification to the CDE within 15 working days after the case acceptance date. Otherwise, the NMPA can proceed with the technical review and approval. For chemical drugs, the NMPA would initiate a nine-month approval stay period upon notification. If the patentee or the interested person cannot secure a favorable court judgment or a decision from the CNIPA within the nine-month period, the NMPA can grant marketing authorization to the generic applicant after the nine-month period expires.</w:t>
      </w:r>
    </w:p>
    <w:p>
      <w:pPr>
        <w:spacing w:after="0" w:line="2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Medical Patent Compulsory License</w:t>
      </w:r>
    </w:p>
    <w:p>
      <w:pPr>
        <w:spacing w:after="0" w:line="34" w:lineRule="exact"/>
        <w:rPr>
          <w:sz w:val="20"/>
          <w:szCs w:val="20"/>
          <w:color w:val="auto"/>
        </w:rPr>
      </w:pPr>
    </w:p>
    <w:p>
      <w:pPr>
        <w:ind w:left="1560" w:right="1619"/>
        <w:spacing w:after="0" w:line="280" w:lineRule="auto"/>
        <w:rPr>
          <w:sz w:val="20"/>
          <w:szCs w:val="20"/>
          <w:color w:val="auto"/>
        </w:rPr>
      </w:pPr>
      <w:r>
        <w:rPr>
          <w:rFonts w:ascii="Arial" w:cs="Arial" w:eastAsia="Arial" w:hAnsi="Arial"/>
          <w:sz w:val="12"/>
          <w:szCs w:val="12"/>
          <w:color w:val="auto"/>
        </w:rPr>
        <w:t>According to the PRC Patent Law, for the purpose of public health, the CNIPA may grant a compulsory license for manufacturing patented drugs and exporting them to countries or regions covered under relevant international treaties to which China has acceded.</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Exemptions for Unlicensed Manufacture, Use, Sale or Import of Patented Products</w:t>
      </w:r>
    </w:p>
    <w:p>
      <w:pPr>
        <w:spacing w:after="0" w:line="34"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The PRC Patent Law provides five exceptions permitting the unauthorized manufacture, use, sale or import of patented products. None of following circumstances are deemed an infringement of the patent rights, and any person may manufacture, use, sell or import patented products without authorization granted by the patent owner as follows:</w:t>
      </w:r>
    </w:p>
    <w:p>
      <w:pPr>
        <w:spacing w:after="0" w:line="25" w:lineRule="exact"/>
        <w:rPr>
          <w:sz w:val="20"/>
          <w:szCs w:val="20"/>
          <w:color w:val="auto"/>
        </w:rPr>
      </w:pPr>
    </w:p>
    <w:p>
      <w:pPr>
        <w:ind w:left="1980" w:right="1659" w:hanging="157"/>
        <w:spacing w:after="0" w:line="288" w:lineRule="auto"/>
        <w:tabs>
          <w:tab w:leader="none" w:pos="19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Any person who uses, promises to sell, sells or imports any patented product or product directly obtained in accordance with the patented methods after such product is sold by the patent owner or by its licensed entity or individual;</w:t>
      </w:r>
    </w:p>
    <w:p>
      <w:pPr>
        <w:spacing w:after="0" w:line="15" w:lineRule="exact"/>
        <w:rPr>
          <w:rFonts w:ascii="Arial" w:cs="Arial" w:eastAsia="Arial" w:hAnsi="Arial"/>
          <w:sz w:val="12"/>
          <w:szCs w:val="12"/>
          <w:color w:val="auto"/>
        </w:rPr>
      </w:pPr>
    </w:p>
    <w:p>
      <w:pPr>
        <w:jc w:val="both"/>
        <w:ind w:left="1980" w:right="1679" w:hanging="157"/>
        <w:spacing w:after="0" w:line="288" w:lineRule="auto"/>
        <w:tabs>
          <w:tab w:leader="none" w:pos="19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Any person who has manufactured an identical product, has used an identical method or has made necessary preparations for manufacture or use prior to the date of patent application and continues to manufacture such product or use such method only within the original scope;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1" w:name="page172"/>
    <w:bookmarkEnd w:id="17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639" w:hanging="157"/>
        <w:spacing w:after="0" w:line="278" w:lineRule="auto"/>
        <w:tabs>
          <w:tab w:leader="none" w:pos="19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foreign transportation facility that temporarily passes through the territory, territorial waters or territorial airspace of China and uses the relevant patents in its devices and installations for its own needs in accordance with any agreement concluded between China and that country to which the foreign transportation facility belongs, or any international treaty to which both countries are party, or on the basis of the principle of reciprocity;</w:t>
      </w:r>
    </w:p>
    <w:p>
      <w:pPr>
        <w:spacing w:after="0" w:line="22" w:lineRule="exact"/>
        <w:rPr>
          <w:rFonts w:ascii="Arial" w:cs="Arial" w:eastAsia="Arial" w:hAnsi="Arial"/>
          <w:sz w:val="12"/>
          <w:szCs w:val="12"/>
          <w:color w:val="auto"/>
        </w:rPr>
      </w:pPr>
    </w:p>
    <w:p>
      <w:pPr>
        <w:ind w:left="1980" w:right="2119" w:hanging="157"/>
        <w:spacing w:after="0" w:line="308" w:lineRule="auto"/>
        <w:tabs>
          <w:tab w:leader="none" w:pos="19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person who uses the relevant patents solely for the purposes of scientific research and experimentation; or</w:t>
      </w:r>
    </w:p>
    <w:p>
      <w:pPr>
        <w:spacing w:after="0" w:line="3" w:lineRule="exact"/>
        <w:rPr>
          <w:rFonts w:ascii="Arial" w:cs="Arial" w:eastAsia="Arial" w:hAnsi="Arial"/>
          <w:sz w:val="12"/>
          <w:szCs w:val="12"/>
          <w:color w:val="auto"/>
        </w:rPr>
      </w:pPr>
    </w:p>
    <w:p>
      <w:pPr>
        <w:ind w:left="1980" w:right="1599" w:hanging="157"/>
        <w:spacing w:after="0" w:line="288" w:lineRule="auto"/>
        <w:tabs>
          <w:tab w:leader="none" w:pos="19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person who manufactures, uses or imports patented drug or patented medical equipment for the purpose of providing information required for administrative approval, or manufactures, uses or imports patented drugs or patented medical equipment for the abovementioned person.</w:t>
      </w:r>
    </w:p>
    <w:p>
      <w:pPr>
        <w:spacing w:after="0" w:line="64"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However, if patented drugs are utilized on the ground of exemptions for unauthorized manufacture, use, sale or import of patented drugs prescribed in PRC Patent Law, such patented drugs cannot be manufactured, used, sold or imported for any commercial purposes without authorization granted by the patent owner.</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Trade Secrets</w:t>
      </w:r>
    </w:p>
    <w:p>
      <w:pPr>
        <w:spacing w:after="0" w:line="34"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color w:val="auto"/>
        </w:rPr>
        <w:t>According to the People’s Republic of China Anti-Unfair Competition Law promulgated by the SCNPC on September 2, 1993, as amended on November 4, 2017 and on April 23, 2019, or collectively, the PRC Anti-Unfair Competition Law, the term “trade secrets” refers to technical and business information that is unknown to the public that has utility and may create business interests or profits for its legal owners or holders, and is maintained as a secret by its legal owners or holders.</w:t>
      </w:r>
    </w:p>
    <w:p>
      <w:pPr>
        <w:spacing w:after="0" w:line="75"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Under the PRC Anti-Unfair Competition Law, business persons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in confidence; or (iv) instigating, inducing or assisting others to violate confidentiality obligation or to violate a rights holder’s requirements on keeping confidentiality of trade secrets, disclosing, using or permitting others to use the trade secrets of the rights holder. If a third party knows or should have known of such illegal conduct but nevertheless obtains, uses or discloses trade secrets of others trade secrets, the third party may be deemed to have committed a misappropriation of the others’ trade secrets.</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Trademarks and Domain Names</w:t>
      </w:r>
    </w:p>
    <w:p>
      <w:pPr>
        <w:spacing w:after="0" w:line="44" w:lineRule="exact"/>
        <w:rPr>
          <w:sz w:val="20"/>
          <w:szCs w:val="20"/>
          <w:color w:val="auto"/>
        </w:rPr>
      </w:pPr>
    </w:p>
    <w:p>
      <w:pPr>
        <w:ind w:left="1560" w:right="1699"/>
        <w:spacing w:after="0" w:line="278" w:lineRule="auto"/>
        <w:rPr>
          <w:sz w:val="20"/>
          <w:szCs w:val="20"/>
          <w:color w:val="auto"/>
        </w:rPr>
      </w:pPr>
      <w:r>
        <w:rPr>
          <w:rFonts w:ascii="Arial" w:cs="Arial" w:eastAsia="Arial" w:hAnsi="Arial"/>
          <w:sz w:val="12"/>
          <w:szCs w:val="12"/>
          <w:i w:val="1"/>
          <w:iCs w:val="1"/>
          <w:color w:val="auto"/>
        </w:rPr>
        <w:t xml:space="preserve">Trademarks. </w:t>
      </w:r>
      <w:r>
        <w:rPr>
          <w:rFonts w:ascii="Arial" w:cs="Arial" w:eastAsia="Arial" w:hAnsi="Arial"/>
          <w:sz w:val="12"/>
          <w:szCs w:val="12"/>
          <w:color w:val="auto"/>
        </w:rPr>
        <w:t>According to the Trademark Law of the People’s Republic of China, promulgated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SCNPC in August 1982, as amended in February 1993, October 2001, August 2013 and April 2019 and its implementation rules, or collectively, the Trademark Law, the Trademark Office of the National Intellectual Property Administration is responsible for the registration and administration of trademarks throughout China. The Trademark Law has adopted a “first-to-file” principle with respect to trademark registration.</w:t>
      </w:r>
    </w:p>
    <w:p>
      <w:pPr>
        <w:spacing w:after="0" w:line="71" w:lineRule="exact"/>
        <w:rPr>
          <w:sz w:val="20"/>
          <w:szCs w:val="20"/>
          <w:color w:val="auto"/>
        </w:rPr>
      </w:pPr>
    </w:p>
    <w:p>
      <w:pPr>
        <w:ind w:left="1560" w:right="1699"/>
        <w:spacing w:after="0" w:line="282" w:lineRule="auto"/>
        <w:rPr>
          <w:sz w:val="20"/>
          <w:szCs w:val="20"/>
          <w:color w:val="auto"/>
        </w:rPr>
      </w:pPr>
      <w:r>
        <w:rPr>
          <w:rFonts w:ascii="Arial" w:cs="Arial" w:eastAsia="Arial" w:hAnsi="Arial"/>
          <w:sz w:val="12"/>
          <w:szCs w:val="12"/>
          <w:i w:val="1"/>
          <w:iCs w:val="1"/>
          <w:color w:val="auto"/>
        </w:rPr>
        <w:t xml:space="preserve">Domain Names. </w:t>
      </w:r>
      <w:r>
        <w:rPr>
          <w:rFonts w:ascii="Arial" w:cs="Arial" w:eastAsia="Arial" w:hAnsi="Arial"/>
          <w:sz w:val="12"/>
          <w:szCs w:val="12"/>
          <w:color w:val="auto"/>
        </w:rPr>
        <w:t>Domain names are protected under the Administrative Measures on the Internet Domain</w:t>
      </w:r>
      <w:r>
        <w:rPr>
          <w:rFonts w:ascii="Arial" w:cs="Arial" w:eastAsia="Arial" w:hAnsi="Arial"/>
          <w:sz w:val="12"/>
          <w:szCs w:val="12"/>
          <w:i w:val="1"/>
          <w:iCs w:val="1"/>
          <w:color w:val="auto"/>
        </w:rPr>
        <w:t xml:space="preserve"> </w:t>
      </w:r>
      <w:r>
        <w:rPr>
          <w:rFonts w:ascii="Arial" w:cs="Arial" w:eastAsia="Arial" w:hAnsi="Arial"/>
          <w:sz w:val="12"/>
          <w:szCs w:val="12"/>
          <w:color w:val="auto"/>
        </w:rPr>
        <w:t>Names promulgated by the Ministry of Industry and Information Technology in August 2017 and effective November 2017. The Ministry of Industry and Information Technology is the main regulatory body responsible for the administration of Chinese internet domain names.</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Chinese Regulation of Labor Protection</w:t>
      </w:r>
    </w:p>
    <w:p>
      <w:pPr>
        <w:spacing w:after="0" w:line="44"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Under the Labor Law of the People’s Republic of China, effective on January 1, 1995 and subsequently amended on August 27, 2009 and December 29, 2018, the Employment Contract Law of the People’s Republic of China, effective on January 1, 2008 and subsequently amended on December 28, 2012 and the Implementing Regulations of the Employment Contract Law, effective on September 18, 2008,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as requested by the Labor Contract Law of the People’s Republic of China.</w:t>
      </w:r>
    </w:p>
    <w:p>
      <w:pPr>
        <w:spacing w:after="0" w:line="231" w:lineRule="exact"/>
        <w:rPr>
          <w:sz w:val="20"/>
          <w:szCs w:val="20"/>
          <w:color w:val="auto"/>
        </w:rPr>
      </w:pPr>
    </w:p>
    <w:p>
      <w:pPr>
        <w:ind w:left="1560" w:right="1639"/>
        <w:spacing w:after="0" w:line="308" w:lineRule="auto"/>
        <w:rPr>
          <w:sz w:val="20"/>
          <w:szCs w:val="20"/>
          <w:color w:val="auto"/>
        </w:rPr>
      </w:pPr>
      <w:r>
        <w:rPr>
          <w:rFonts w:ascii="Arial" w:cs="Arial" w:eastAsia="Arial" w:hAnsi="Arial"/>
          <w:sz w:val="12"/>
          <w:szCs w:val="12"/>
          <w:color w:val="auto"/>
        </w:rPr>
        <w:t>Pursuant to the Law of Manufacturing Safety of the People’s Republic of China effective on November 1, 2002 and amended on August 27, 2009, August 31, 2014 and June 10, 2021, manufacturers must establish</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2" w:name="page173"/>
    <w:bookmarkEnd w:id="17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99"/>
        <w:spacing w:after="0" w:line="280" w:lineRule="auto"/>
        <w:rPr>
          <w:sz w:val="20"/>
          <w:szCs w:val="20"/>
          <w:color w:val="auto"/>
        </w:rPr>
      </w:pPr>
      <w:r>
        <w:rPr>
          <w:rFonts w:ascii="Arial" w:cs="Arial" w:eastAsia="Arial" w:hAnsi="Arial"/>
          <w:sz w:val="12"/>
          <w:szCs w:val="12"/>
          <w:color w:val="auto"/>
        </w:rPr>
        <w:t>a comprehensive management system to ensure manufacturing safety in accordance with applicable laws, regulations, national standards, and industrial standards. Manufacturers not meeting relevant legal requirements are not permitted to commence their manufacturing activities.</w:t>
      </w:r>
    </w:p>
    <w:p>
      <w:pPr>
        <w:spacing w:after="0" w:line="68"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Pursuant to the Administrative Measures Governing the Production Quality of Pharmaceutical Products effective on March 1, 2011, manufacturers of pharmaceutical products are required to establish production safety and labor protection measures in connection with the operation of their manufacturing equipment and manufacturing process.</w:t>
      </w:r>
    </w:p>
    <w:p>
      <w:pPr>
        <w:spacing w:after="0" w:line="73" w:lineRule="exact"/>
        <w:rPr>
          <w:sz w:val="20"/>
          <w:szCs w:val="20"/>
          <w:color w:val="auto"/>
        </w:rPr>
      </w:pPr>
    </w:p>
    <w:p>
      <w:pPr>
        <w:ind w:left="1560" w:right="1639"/>
        <w:spacing w:after="0" w:line="260" w:lineRule="auto"/>
        <w:rPr>
          <w:sz w:val="20"/>
          <w:szCs w:val="20"/>
          <w:color w:val="auto"/>
        </w:rPr>
      </w:pPr>
      <w:r>
        <w:rPr>
          <w:rFonts w:ascii="Arial" w:cs="Arial" w:eastAsia="Arial" w:hAnsi="Arial"/>
          <w:sz w:val="12"/>
          <w:szCs w:val="12"/>
          <w:color w:val="auto"/>
        </w:rPr>
        <w:t>Pursuant to applicable Chinese laws, rules and regulations, including the Social Insurance Law which became effective on July 1, 2011 and amended on December 29, 2018, the Interim Regulations on the Collection and Payment of Social Security Funds, which became effective on January 22, 1999 and amended on March 24, 2019, Interim Measures concerning the Maternity Insurance of Employees, which became effective on January 1, 1995, and the Regulations on Work-related Injury Insurance, which became effective on January 1, 2004 and was subsequently amended on December 20, 2010, employers are required to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spacing w:after="0" w:line="36" w:lineRule="exact"/>
        <w:rPr>
          <w:sz w:val="20"/>
          <w:szCs w:val="20"/>
          <w:color w:val="auto"/>
        </w:rPr>
      </w:pPr>
    </w:p>
    <w:p>
      <w:pPr>
        <w:ind w:left="1560" w:right="1659"/>
        <w:spacing w:after="0" w:line="269" w:lineRule="auto"/>
        <w:rPr>
          <w:sz w:val="20"/>
          <w:szCs w:val="20"/>
          <w:color w:val="auto"/>
        </w:rPr>
      </w:pPr>
      <w:r>
        <w:rPr>
          <w:rFonts w:ascii="Arial" w:cs="Arial" w:eastAsia="Arial" w:hAnsi="Arial"/>
          <w:sz w:val="12"/>
          <w:szCs w:val="12"/>
          <w:b w:val="1"/>
          <w:bCs w:val="1"/>
          <w:i w:val="1"/>
          <w:iCs w:val="1"/>
          <w:color w:val="auto"/>
        </w:rPr>
        <w:t>Regulations Relating to Foreign Exchange Registration of Offshore Investment by Chinese Residents</w:t>
      </w:r>
    </w:p>
    <w:p>
      <w:pPr>
        <w:spacing w:after="0" w:line="162"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In July 2014, the State Administration of Foreign Exchange, or SAFE, issued SAFE Circular 37 and its implementation guidelines. Pursuant to SAFE Circular 37 and its implementation guidelines, residents of China (including Chinese institutions and individuals) must register with local branches of SAFE in connection with their direct or indirect offshore investment in an overseas special purpose vehicle, or SPV, directly established or indirectly controlled by Chinese residents for the purposes of offshore investment and financing with their legally owned assets or interests in domestic enterprises, or their legally owned offshore assets or interests. Such Chinese residents are also required to amend their registrations with SAFE when there is a change to the basic information of the SPV, such as changes of a Chinese resident individual shareholder, the name or operating period of the SPV, or when there is a significant change to the SPV, such as changes of the Chinese individual resident’s increase or decrease of its capital contribution in the SPV, or any share transfer or exchange, merger, division of the SPV. 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companies or Chinese residents to penalties under Chinese foreign exchange administration regulations.</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Regulations Relating to Employee Stock Incentive Plan</w:t>
      </w:r>
    </w:p>
    <w:p>
      <w:pPr>
        <w:spacing w:after="0" w:line="34"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In February 2012, SAFE promulgated the Notices on Issues Concerning the Foreign Exchange Administration for Domestic Individuals Participating in Stock Incentive Plans of Overseas Publicly Listed Companies, or the Stock Option Rules. In accordance with the Stock Option Rules and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 will be subject to such regulation. In addition, the State Taxation Administration of the PRC, or SAT, has issued circulars concerning employee stock options or restricted shares. Under these circulars, employees working in China who exercise stock options, or whose restricted shares vest, will be subject to Chinese individual income tax, or IIT. The Chinese subsidiaries of an overseas listed company have obligations to file documents related to employee stock options or restricted shares with relevant tax authorities and to withhold IIT of those employees related to their stock options or restricted shares. If the employees fail to pay, or the Chinese subsidiaries fail to withhold, their IIT according to relevant laws, rules and regulations, the Chinese subsidiaries may face sanctions imposed by the tax authorities or other Chinese government authorities.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3" w:name="page174"/>
    <w:bookmarkEnd w:id="17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Regulations Relating to Dividend Distribution</w:t>
      </w:r>
    </w:p>
    <w:p>
      <w:pPr>
        <w:spacing w:after="0" w:line="34" w:lineRule="exact"/>
        <w:rPr>
          <w:sz w:val="20"/>
          <w:szCs w:val="20"/>
          <w:color w:val="auto"/>
        </w:rPr>
      </w:pPr>
    </w:p>
    <w:p>
      <w:pPr>
        <w:ind w:left="1560" w:right="1719"/>
        <w:spacing w:after="0" w:line="266" w:lineRule="auto"/>
        <w:rPr>
          <w:sz w:val="20"/>
          <w:szCs w:val="20"/>
          <w:color w:val="auto"/>
        </w:rPr>
      </w:pPr>
      <w:r>
        <w:rPr>
          <w:rFonts w:ascii="Arial" w:cs="Arial" w:eastAsia="Arial" w:hAnsi="Arial"/>
          <w:sz w:val="12"/>
          <w:szCs w:val="12"/>
          <w:color w:val="auto"/>
        </w:rPr>
        <w:t>Pursuant to the PRC Company Law and Foreign Investment Law, and Regulations on Implementing the Foreign Investment Law of the People’s Republic of China, foreign investors may freely remit into or out of China, in RMB or any other foreign currency, their capital contributions, profits, capital gains, income from asset disposal, intellectual property royalties, lawfully acquired compensation, indemnity or liquidation income and so on within the territory of China.</w:t>
      </w:r>
    </w:p>
    <w:p>
      <w:pPr>
        <w:spacing w:after="0" w:line="86"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In January 2017, SAFE issued the Notice on Improving the Check of Authenticity and Compliance to Further Promote Foreign Exchange Control, which stipulates several capital control measures with respect to outbound remittance of profits from domestic entities to offshore entities, including the following: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domestic entities shall provide detailed explanations of the sources of capital and the utilization arrangements and board resolutions, contracts and other proof when completing the registration procedures in connection with an outbound investment.</w:t>
      </w:r>
    </w:p>
    <w:p>
      <w:pPr>
        <w:spacing w:after="0" w:line="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Regulations Relating to Foreign Exchange</w:t>
      </w:r>
    </w:p>
    <w:p>
      <w:pPr>
        <w:spacing w:after="0" w:line="44"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RMB is to be converted into foreign currency and remitted out of China to pay capital expenses such as the repayment of foreign currency-denominated loans.</w:t>
      </w:r>
    </w:p>
    <w:p>
      <w:pPr>
        <w:spacing w:after="0" w:line="73" w:lineRule="exact"/>
        <w:rPr>
          <w:sz w:val="20"/>
          <w:szCs w:val="20"/>
          <w:color w:val="auto"/>
        </w:rPr>
      </w:pPr>
    </w:p>
    <w:p>
      <w:pPr>
        <w:ind w:left="1560" w:right="1599"/>
        <w:spacing w:after="0" w:line="270" w:lineRule="auto"/>
        <w:rPr>
          <w:sz w:val="20"/>
          <w:szCs w:val="20"/>
          <w:color w:val="auto"/>
        </w:rPr>
      </w:pPr>
      <w:r>
        <w:rPr>
          <w:rFonts w:ascii="Arial" w:cs="Arial" w:eastAsia="Arial" w:hAnsi="Arial"/>
          <w:sz w:val="12"/>
          <w:szCs w:val="12"/>
          <w:color w:val="auto"/>
        </w:rPr>
        <w:t>In August 2008, SAFE issued the Circular on the Relevant Operating Issues Concerning the Improvement of the Administration of the Payment and Settlement of Foreign Currency Capital of Foreign-Invested Enterprises, or SAFE Circular 142, regulating the conversion by a foreign-invested enterprise of foreign currency-registered capital into RMB by restricting how the converted RMB may be used. SAFE Circular 142 provides that the RMB capital converted from foreign currency registered capital of a foreign-invested enterprise may only be used for purposes within the business scope approved by the applicable government authority and may not be used for equity investments within China. SAFE also strengthened its oversight of the flow and use of the RMB capital converted from foreign currency registered capital of foreign-invested enterprises. The use of such RMB capital may not be changed without SAFE’s approval, and such RMB capital may not in any case be used to repay RMB loans if the proceeds of such loans have not been used. In March 2015, SAFE issued the Circular of the State Administration of Foreign Exchange on Reforming the Management Approach regarding the Settlement of Foreign Exchange Capital of Foreign-invested Enterprises, or SAFE Circular 19, which became effective and replaced SAFE Circular 142 on June 1, 2015. Although SAFE Circular 19 allows for the use of RMB converted from the foreign currency- denominated capital for equity investments in China, the restrictions continue to apply as to foreign-invested enterprises’ use of the converted RMB for purposes beyond the business scope, for entrusted loans or for inter-company RMB loans.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unassociated enterprises. Violations of SAFE Circular 19 or SAFE Circular 16 could result in administrative penalties.</w:t>
      </w:r>
    </w:p>
    <w:p>
      <w:pPr>
        <w:spacing w:after="0" w:line="94"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The Circular of Further Improving and Adjusting Foreign Exchange Administration Policies on Foreign Direct Investment was promulgated by SAFE in November 2012 and amended in May 2015, which substantially amends and simplifies the current foreign exchange procedure. Pursuant to this circular, the opening of various special purpose foreign exchange accounts (</w:t>
      </w:r>
      <w:r>
        <w:rPr>
          <w:rFonts w:ascii="Arial" w:cs="Arial" w:eastAsia="Arial" w:hAnsi="Arial"/>
          <w:sz w:val="12"/>
          <w:szCs w:val="12"/>
          <w:i w:val="1"/>
          <w:iCs w:val="1"/>
          <w:color w:val="auto"/>
        </w:rPr>
        <w:t>e.g.</w:t>
      </w:r>
      <w:r>
        <w:rPr>
          <w:rFonts w:ascii="Arial" w:cs="Arial" w:eastAsia="Arial" w:hAnsi="Arial"/>
          <w:sz w:val="12"/>
          <w:szCs w:val="12"/>
          <w:color w:val="auto"/>
        </w:rPr>
        <w:t>, pre-establishment expenses accounts, foreign exchange capital accounts and guarantee accounts), the reinvestment of lawful incomes derived by foreign investors in China (</w:t>
      </w:r>
      <w:r>
        <w:rPr>
          <w:rFonts w:ascii="Arial" w:cs="Arial" w:eastAsia="Arial" w:hAnsi="Arial"/>
          <w:sz w:val="12"/>
          <w:szCs w:val="12"/>
          <w:i w:val="1"/>
          <w:iCs w:val="1"/>
          <w:color w:val="auto"/>
        </w:rPr>
        <w:t>e.g.</w:t>
      </w:r>
      <w:r>
        <w:rPr>
          <w:rFonts w:ascii="Arial" w:cs="Arial" w:eastAsia="Arial" w:hAnsi="Arial"/>
          <w:sz w:val="12"/>
          <w:szCs w:val="12"/>
          <w:color w:val="auto"/>
        </w:rPr>
        <w:t>,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possible before. In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4" w:name="page175"/>
    <w:bookmarkEnd w:id="17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China shall be conducted by way of registration and banks shall process foreign exchange business relating to the direct investment in China based on the registration information provided by SAFE and its branches.</w:t>
      </w:r>
    </w:p>
    <w:p>
      <w:pPr>
        <w:spacing w:after="0" w:line="78"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In February 2015, SAFE promulgated the Circular on Further Simplifying and Improving the Policies Concerning Foreign Exchange Control on Direct Investment, or SAFE Circular 13, which took effect on June 1, 2015. SAFE Circular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18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Regulations on Securities Offering and Listing Outside of China</w:t>
      </w:r>
    </w:p>
    <w:p>
      <w:pPr>
        <w:spacing w:after="0" w:line="34"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On December 24, 2021, the CSRC promulgated the Provisions of the State Council on the Administration of Overseas Securities Offering and Listing by Domestic Companies (Draft for Comments), or the Draft Administration Provisions, and the Administrative Measures for the Filing of Overseas Securities Offering and Listing by Domestic Companies (Draft for Comments), or the Draft CSRC Filing Measures, to regulate overseas securities offering and listing activities by domestic companies either in direct or indirect form.</w:t>
      </w:r>
    </w:p>
    <w:p>
      <w:pPr>
        <w:spacing w:after="0" w:line="76"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The Draft Administration Provisions apply to overseas offerings by domestic companies of equity shares, depositary receipts, convertible corporate bonds, or other equity-like securities, and overseas listing of the securities for trading. Both direct and indirect overseas securities offering and listing by domestic companies would be regulated, of which the former refers to securities offering and listing in an overseas market made by a joint-stock company incorporated domestically, and the latter refers to securities offering and listing in an overseas market made in the name of an offshore entity, while based on the underlying equity, assets, earnings or other similar rights of a domestic company which operates its main business domestically. According to the Draft Filing Measures, if an issuer meets the following conditions, the offering and listing shall be determined as an indirect overseas offering and listing by a domestic company: (i) the total assets, net assets, revenues or gross profits of the domestic company(ies) of the issuer in the most recent financial year account for more than 50% of the corresponding figure in the issuer’s audited consolidated financial statements over the same period; (ii) the majority of the senior management in charge of business operation and management of the issuer are Chinese citizens or habitually reside in China, and its main places of business operation are located in China or main business activities are conducted in China.</w:t>
      </w:r>
    </w:p>
    <w:p>
      <w:pPr>
        <w:spacing w:after="0" w:line="83"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Under the Draft Administration Provisions and the Draft Filing Measures, a filing-based regulatory system would be implemented covering both direct and indirect overseas offering and listing. For an indirect initial public offering and listing in an overseas market, the issuer shall designate a major domestic operating entity to submit the filing documents to the CSRC, including but not limited to this prospectus within three working days after such application of overseas offering and listing is submitted. The CSRC would, within 20 working days if filing documents are complete and in compliance with the stipulated requirements, issue a filing notice thereof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three working days after the overseas offering and listing application documents become public. In addition, after the issuer completes the overseas initial public offering and listing, it shall file the status of overseas offering and listing as required by the CSRC.</w:t>
      </w:r>
    </w:p>
    <w:p>
      <w:pPr>
        <w:spacing w:after="0" w:line="228"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Meanwhile, overseas offering and listing would be prohibited under certain circumstances, including but not limited to that (i) the offering and listing are expressly forbidden by the Chinese laws, regulations and relevant rules; (ii) the intended overseas securities offering and listing constitute a threat to or endanger national security as reviewed and determined by competent authorities under the State Council in accordance with laws, (iii) there are material disputes with regard to the ownership of the equity, major assets, and core technologies, (iv) domestic companies and their controlling shareholders, actual controllers committed criminal crimes of corruption, bribery, misappropriation of property, embezzlement or undermining the order of the socialist market economy in the past three years or were filed for investigation by the judicial department for suspected crimes or material violations of laws and regulations, or (v) the directors, supervisors and senior managers of the domestic companies was subject to severe administrative punishment or was filed for</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5" w:name="page176"/>
    <w:bookmarkEnd w:id="17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79"/>
        <w:spacing w:after="0" w:line="276" w:lineRule="auto"/>
        <w:rPr>
          <w:sz w:val="20"/>
          <w:szCs w:val="20"/>
          <w:color w:val="auto"/>
        </w:rPr>
      </w:pPr>
      <w:r>
        <w:rPr>
          <w:rFonts w:ascii="Arial" w:cs="Arial" w:eastAsia="Arial" w:hAnsi="Arial"/>
          <w:sz w:val="12"/>
          <w:szCs w:val="12"/>
          <w:color w:val="auto"/>
        </w:rPr>
        <w:t>investigation by judicial authorities for suspected crimes or suspected of material violations of laws and regulations in the past three years, etc. If a domestic company falls into the circumstances where overseas offering and listing is prohibited prior to the overseas offering and listing, the CSRC and the competent authorities under the State Council shall impose a postponement or termination of the intended overseas offering and listing. The CSRC may cancel the corresponding filing if the intended overseas offering and listing application documents has been filed.</w:t>
      </w:r>
    </w:p>
    <w:p>
      <w:pPr>
        <w:spacing w:after="0" w:line="82"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If domestic companies fail to fulfill the above-mentioned filing procedures or offer and list in an overseas market against the prohibited circumstances, they would be warned and fined up to RMB 10 million and even ordered to suspend relevant business or halt operation for rectification, revoke relevant business permits or business license in severe cases. The controlling shareholders, actual controllers, directors, supervisors, and senior management of such domestic companies would be warned and fined up to RMB 5 million separately or aggregately.</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Other Chinese National- and Provincial-Level Laws and Regulations</w:t>
      </w:r>
    </w:p>
    <w:p>
      <w:pPr>
        <w:spacing w:after="0" w:line="44"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These laws and regulations governing both the disclosure and the use of confidential patient medical information may become more restrictive in the future.</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Facilities</w:t>
      </w:r>
    </w:p>
    <w:p>
      <w:pPr>
        <w:spacing w:after="0" w:line="46" w:lineRule="exact"/>
        <w:rPr>
          <w:sz w:val="20"/>
          <w:szCs w:val="20"/>
          <w:color w:val="auto"/>
        </w:rPr>
      </w:pPr>
    </w:p>
    <w:p>
      <w:pPr>
        <w:ind w:left="1560" w:right="1819"/>
        <w:spacing w:after="0" w:line="270" w:lineRule="auto"/>
        <w:rPr>
          <w:sz w:val="20"/>
          <w:szCs w:val="20"/>
          <w:color w:val="auto"/>
        </w:rPr>
      </w:pPr>
      <w:r>
        <w:rPr>
          <w:rFonts w:ascii="Arial" w:cs="Arial" w:eastAsia="Arial" w:hAnsi="Arial"/>
          <w:sz w:val="12"/>
          <w:szCs w:val="12"/>
          <w:color w:val="auto"/>
        </w:rPr>
        <w:t>Our principal executive office is located in South San Francisco, California where we lease a total of approximately 500 square feet of office space that we use for our administrative and other activities. The lease for this office space renews automatically at the end of each calendar month, unless or until we provide notice of intent not to renew the lease. We entered into a new sublease agreement to rent approximately 4,100 square feet of office space, which lease expires in October 2023. We also have a development and operations office located in Shanghai, China where we lease a total of approximately</w:t>
      </w:r>
    </w:p>
    <w:p>
      <w:pPr>
        <w:spacing w:after="0" w:line="3" w:lineRule="exact"/>
        <w:rPr>
          <w:sz w:val="20"/>
          <w:szCs w:val="20"/>
          <w:color w:val="auto"/>
        </w:rPr>
      </w:pPr>
    </w:p>
    <w:p>
      <w:pPr>
        <w:ind w:left="1560" w:right="1579"/>
        <w:spacing w:after="0" w:line="283" w:lineRule="auto"/>
        <w:rPr>
          <w:sz w:val="20"/>
          <w:szCs w:val="20"/>
          <w:color w:val="auto"/>
        </w:rPr>
      </w:pPr>
      <w:r>
        <w:rPr>
          <w:rFonts w:ascii="Arial" w:cs="Arial" w:eastAsia="Arial" w:hAnsi="Arial"/>
          <w:sz w:val="12"/>
          <w:szCs w:val="12"/>
          <w:color w:val="auto"/>
        </w:rPr>
        <w:t>5,900 square feet of office space. The lease under this building expires on September 15, 2023, and we may request to renew. We believe that our facilities are sufficient to meet our current needs and that suitable additional space will be available as and when needed.</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Employees and Human Capital Resources</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As of December 31, 2022, we had 68 full-time employees, 30 of whom have a Ph.D. or M.D. Of these</w:t>
      </w:r>
    </w:p>
    <w:p>
      <w:pPr>
        <w:spacing w:after="0" w:line="23"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68 employees, 45 were engaged in research and development activities and 23 were engaged in business development, finance, information systems, facilities, human resources or administrative support. Five of the non-research and development-based employees were based in Shanghai, China while the other 18 resided in the United States. None of our employees are represented by labor unions or covered by collective bargaining agreements. We consider our relationship with our employees to be good.</w:t>
      </w:r>
    </w:p>
    <w:p>
      <w:pPr>
        <w:spacing w:after="0" w:line="80"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4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Legal Proceedings</w:t>
      </w:r>
    </w:p>
    <w:p>
      <w:pPr>
        <w:spacing w:after="0" w:line="46" w:lineRule="exact"/>
        <w:rPr>
          <w:sz w:val="20"/>
          <w:szCs w:val="20"/>
          <w:color w:val="auto"/>
        </w:rPr>
      </w:pPr>
    </w:p>
    <w:p>
      <w:pPr>
        <w:ind w:left="1560" w:right="1659"/>
        <w:spacing w:after="0" w:line="274" w:lineRule="auto"/>
        <w:rPr>
          <w:sz w:val="20"/>
          <w:szCs w:val="20"/>
          <w:color w:val="auto"/>
        </w:rPr>
      </w:pPr>
      <w:r>
        <w:rPr>
          <w:rFonts w:ascii="Arial" w:cs="Arial" w:eastAsia="Arial" w:hAnsi="Arial"/>
          <w:sz w:val="12"/>
          <w:szCs w:val="12"/>
          <w:color w:val="auto"/>
        </w:rPr>
        <w:t>To the best of our knowledge, we are not currently the subject of any material governmental investigation, private lawsuit or other legal proceeding. From time to time, we may be involved in legal and regulatory proceedings or investigations concerning matters that arise in the ordinary course of our business and that could result in significant fines or penalties, have an adverse impact on our reputation, business and financial condition or results of operations and divert the attention of our management from the operation of our business. The outcome of any future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business, financial condition or results of operations.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6" w:name="page177"/>
    <w:bookmarkEnd w:id="176"/>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MANAGEMENT</w:t>
      </w:r>
    </w:p>
    <w:p>
      <w:pPr>
        <w:spacing w:after="0" w:line="243" w:lineRule="exact"/>
        <w:rPr>
          <w:sz w:val="20"/>
          <w:szCs w:val="20"/>
          <w:color w:val="auto"/>
        </w:rPr>
      </w:pPr>
    </w:p>
    <w:p>
      <w:pPr>
        <w:ind w:left="1560" w:right="1639"/>
        <w:spacing w:after="0" w:line="291" w:lineRule="auto"/>
        <w:rPr>
          <w:sz w:val="20"/>
          <w:szCs w:val="20"/>
          <w:color w:val="auto"/>
        </w:rPr>
      </w:pPr>
      <w:r>
        <w:rPr>
          <w:rFonts w:ascii="Arial" w:cs="Arial" w:eastAsia="Arial" w:hAnsi="Arial"/>
          <w:sz w:val="12"/>
          <w:szCs w:val="12"/>
          <w:color w:val="auto"/>
        </w:rPr>
        <w:t>The following table sets forth information regarding our executive officers and directors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67945</wp:posOffset>
            </wp:positionV>
            <wp:extent cx="373888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738880" cy="6350"/>
                    </a:xfrm>
                    <a:prstGeom prst="rect">
                      <a:avLst/>
                    </a:prstGeom>
                    <a:noFill/>
                  </pic:spPr>
                </pic:pic>
              </a:graphicData>
            </a:graphic>
          </wp:anchor>
        </w:drawing>
      </w:r>
    </w:p>
    <w:p>
      <w:pPr>
        <w:spacing w:after="0" w:line="115" w:lineRule="exact"/>
        <w:rPr>
          <w:sz w:val="20"/>
          <w:szCs w:val="20"/>
          <w:color w:val="auto"/>
        </w:rPr>
      </w:pPr>
    </w:p>
    <w:tbl>
      <w:tblPr>
        <w:tblLayout w:type="fixed"/>
        <w:tblInd w:w="1560" w:type="dxa"/>
        <w:tblCellMar>
          <w:top w:w="0" w:type="dxa"/>
          <w:left w:w="0" w:type="dxa"/>
          <w:bottom w:w="0" w:type="dxa"/>
          <w:right w:w="0" w:type="dxa"/>
        </w:tblCellMar>
      </w:tblPr>
      <w:tr>
        <w:trPr>
          <w:trHeight w:val="263"/>
        </w:trPr>
        <w:tc>
          <w:tcPr>
            <w:tcW w:w="274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3160" w:type="dxa"/>
            <w:vAlign w:val="bottom"/>
            <w:gridSpan w:val="4"/>
          </w:tcPr>
          <w:p>
            <w:pPr>
              <w:spacing w:after="0"/>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AGE</w:t>
            </w: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POSITION(S)</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274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Executive Officers:</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 ​ ​ ​</w:t>
            </w: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 ​ ​</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r>
      <w:tr>
        <w:trPr>
          <w:trHeight w:val="184"/>
        </w:trPr>
        <w:tc>
          <w:tcPr>
            <w:tcW w:w="2740" w:type="dxa"/>
            <w:vAlign w:val="bottom"/>
          </w:tcPr>
          <w:p>
            <w:pPr>
              <w:spacing w:after="0"/>
              <w:rPr>
                <w:sz w:val="20"/>
                <w:szCs w:val="20"/>
                <w:color w:val="auto"/>
              </w:rPr>
            </w:pPr>
            <w:r>
              <w:rPr>
                <w:rFonts w:ascii="Arial" w:cs="Arial" w:eastAsia="Arial" w:hAnsi="Arial"/>
                <w:sz w:val="12"/>
                <w:szCs w:val="12"/>
                <w:color w:val="auto"/>
              </w:rPr>
              <w:t>Raymond Stevens, Ph.D.</w:t>
            </w:r>
          </w:p>
        </w:tc>
        <w:tc>
          <w:tcPr>
            <w:tcW w:w="400" w:type="dxa"/>
            <w:vAlign w:val="bottom"/>
            <w:gridSpan w:val="2"/>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59</w:t>
            </w:r>
          </w:p>
        </w:tc>
        <w:tc>
          <w:tcPr>
            <w:tcW w:w="2760" w:type="dxa"/>
            <w:vAlign w:val="bottom"/>
            <w:gridSpan w:val="2"/>
          </w:tcPr>
          <w:p>
            <w:pPr>
              <w:spacing w:after="0"/>
              <w:rPr>
                <w:sz w:val="20"/>
                <w:szCs w:val="20"/>
                <w:color w:val="auto"/>
              </w:rPr>
            </w:pPr>
            <w:r>
              <w:rPr>
                <w:rFonts w:ascii="Arial" w:cs="Arial" w:eastAsia="Arial" w:hAnsi="Arial"/>
                <w:sz w:val="12"/>
                <w:szCs w:val="12"/>
                <w:color w:val="auto"/>
              </w:rPr>
              <w:t>​ ​ Director, Chief Executive Officer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4"/>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Jun Yoon</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45</w:t>
            </w: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 Chief Financial Officer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4"/>
        </w:trPr>
        <w:tc>
          <w:tcPr>
            <w:tcW w:w="2740" w:type="dxa"/>
            <w:vAlign w:val="bottom"/>
          </w:tcPr>
          <w:p>
            <w:pPr>
              <w:spacing w:after="0"/>
              <w:rPr>
                <w:sz w:val="20"/>
                <w:szCs w:val="20"/>
                <w:color w:val="auto"/>
              </w:rPr>
            </w:pPr>
            <w:r>
              <w:rPr>
                <w:rFonts w:ascii="Arial" w:cs="Arial" w:eastAsia="Arial" w:hAnsi="Arial"/>
                <w:sz w:val="12"/>
                <w:szCs w:val="12"/>
                <w:color w:val="auto"/>
              </w:rPr>
              <w:t>Xichen Lin, Ph.D.</w:t>
            </w:r>
          </w:p>
        </w:tc>
        <w:tc>
          <w:tcPr>
            <w:tcW w:w="400" w:type="dxa"/>
            <w:vAlign w:val="bottom"/>
            <w:gridSpan w:val="2"/>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49</w:t>
            </w:r>
          </w:p>
        </w:tc>
        <w:tc>
          <w:tcPr>
            <w:tcW w:w="2760" w:type="dxa"/>
            <w:vAlign w:val="bottom"/>
            <w:gridSpan w:val="2"/>
          </w:tcPr>
          <w:p>
            <w:pPr>
              <w:spacing w:after="0"/>
              <w:rPr>
                <w:sz w:val="20"/>
                <w:szCs w:val="20"/>
                <w:color w:val="auto"/>
              </w:rPr>
            </w:pPr>
            <w:r>
              <w:rPr>
                <w:rFonts w:ascii="Arial" w:cs="Arial" w:eastAsia="Arial" w:hAnsi="Arial"/>
                <w:sz w:val="12"/>
                <w:szCs w:val="12"/>
                <w:color w:val="auto"/>
              </w:rPr>
              <w:t>​ ​ Chief Scientific Officer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4"/>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Mark Bach, M.D., Ph.D.</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66</w:t>
            </w: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 Chief Medical Officer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4"/>
        </w:trPr>
        <w:tc>
          <w:tcPr>
            <w:tcW w:w="2740" w:type="dxa"/>
            <w:vAlign w:val="bottom"/>
          </w:tcPr>
          <w:p>
            <w:pPr>
              <w:spacing w:after="0"/>
              <w:rPr>
                <w:sz w:val="20"/>
                <w:szCs w:val="20"/>
                <w:color w:val="auto"/>
              </w:rPr>
            </w:pPr>
            <w:r>
              <w:rPr>
                <w:rFonts w:ascii="Arial" w:cs="Arial" w:eastAsia="Arial" w:hAnsi="Arial"/>
                <w:sz w:val="12"/>
                <w:szCs w:val="12"/>
                <w:color w:val="auto"/>
              </w:rPr>
              <w:t>Melita Sun Jung</w:t>
            </w:r>
          </w:p>
        </w:tc>
        <w:tc>
          <w:tcPr>
            <w:tcW w:w="400" w:type="dxa"/>
            <w:vAlign w:val="bottom"/>
            <w:gridSpan w:val="2"/>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46</w:t>
            </w:r>
          </w:p>
        </w:tc>
        <w:tc>
          <w:tcPr>
            <w:tcW w:w="2760" w:type="dxa"/>
            <w:vAlign w:val="bottom"/>
            <w:gridSpan w:val="2"/>
          </w:tcPr>
          <w:p>
            <w:pPr>
              <w:spacing w:after="0"/>
              <w:rPr>
                <w:sz w:val="20"/>
                <w:szCs w:val="20"/>
                <w:color w:val="auto"/>
              </w:rPr>
            </w:pPr>
            <w:r>
              <w:rPr>
                <w:rFonts w:ascii="Arial" w:cs="Arial" w:eastAsia="Arial" w:hAnsi="Arial"/>
                <w:sz w:val="12"/>
                <w:szCs w:val="12"/>
                <w:color w:val="auto"/>
              </w:rPr>
              <w:t>​ ​ Chief Business Officer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4"/>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Yingli Ma, Ph.D.</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49</w:t>
            </w: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 Chief Technology Officer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4"/>
        </w:trPr>
        <w:tc>
          <w:tcPr>
            <w:tcW w:w="2740" w:type="dxa"/>
            <w:vAlign w:val="bottom"/>
          </w:tcPr>
          <w:p>
            <w:pPr>
              <w:spacing w:after="0"/>
              <w:rPr>
                <w:sz w:val="20"/>
                <w:szCs w:val="20"/>
                <w:color w:val="auto"/>
              </w:rPr>
            </w:pPr>
            <w:r>
              <w:rPr>
                <w:rFonts w:ascii="Arial" w:cs="Arial" w:eastAsia="Arial" w:hAnsi="Arial"/>
                <w:sz w:val="12"/>
                <w:szCs w:val="12"/>
                <w:b w:val="1"/>
                <w:bCs w:val="1"/>
                <w:i w:val="1"/>
                <w:iCs w:val="1"/>
                <w:color w:val="auto"/>
              </w:rPr>
              <w:t>Non-Employee Directors:</w:t>
            </w:r>
          </w:p>
        </w:tc>
        <w:tc>
          <w:tcPr>
            <w:tcW w:w="4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 ​ ​</w:t>
            </w:r>
          </w:p>
        </w:tc>
        <w:tc>
          <w:tcPr>
            <w:tcW w:w="27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 ​</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Daniel G. Welch</w:t>
            </w:r>
            <w:r>
              <w:rPr>
                <w:rFonts w:ascii="Arial" w:cs="Arial" w:eastAsia="Arial" w:hAnsi="Arial"/>
                <w:sz w:val="15"/>
                <w:szCs w:val="15"/>
                <w:color w:val="auto"/>
                <w:vertAlign w:val="superscript"/>
              </w:rPr>
              <w:t>(1)(2)(3)</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65</w:t>
            </w: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 Chairman of the Board</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203"/>
        </w:trPr>
        <w:tc>
          <w:tcPr>
            <w:tcW w:w="2740" w:type="dxa"/>
            <w:vAlign w:val="bottom"/>
          </w:tcPr>
          <w:p>
            <w:pPr>
              <w:spacing w:after="0"/>
              <w:rPr>
                <w:sz w:val="20"/>
                <w:szCs w:val="20"/>
                <w:color w:val="auto"/>
              </w:rPr>
            </w:pPr>
            <w:r>
              <w:rPr>
                <w:rFonts w:ascii="Arial" w:cs="Arial" w:eastAsia="Arial" w:hAnsi="Arial"/>
                <w:sz w:val="12"/>
                <w:szCs w:val="12"/>
                <w:color w:val="auto"/>
              </w:rPr>
              <w:t>Ramy Farid, Ph.D.</w:t>
            </w:r>
            <w:r>
              <w:rPr>
                <w:rFonts w:ascii="Arial" w:cs="Arial" w:eastAsia="Arial" w:hAnsi="Arial"/>
                <w:sz w:val="15"/>
                <w:szCs w:val="15"/>
                <w:color w:val="auto"/>
                <w:vertAlign w:val="superscript"/>
              </w:rPr>
              <w:t>(2)</w:t>
            </w:r>
          </w:p>
        </w:tc>
        <w:tc>
          <w:tcPr>
            <w:tcW w:w="400" w:type="dxa"/>
            <w:vAlign w:val="bottom"/>
            <w:gridSpan w:val="2"/>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58</w:t>
            </w:r>
          </w:p>
        </w:tc>
        <w:tc>
          <w:tcPr>
            <w:tcW w:w="2760" w:type="dxa"/>
            <w:vAlign w:val="bottom"/>
            <w:gridSpan w:val="2"/>
          </w:tcPr>
          <w:p>
            <w:pPr>
              <w:spacing w:after="0"/>
              <w:rPr>
                <w:sz w:val="20"/>
                <w:szCs w:val="20"/>
                <w:color w:val="auto"/>
              </w:rPr>
            </w:pPr>
            <w:r>
              <w:rPr>
                <w:rFonts w:ascii="Arial" w:cs="Arial" w:eastAsia="Arial" w:hAnsi="Arial"/>
                <w:sz w:val="12"/>
                <w:szCs w:val="12"/>
                <w:color w:val="auto"/>
              </w:rPr>
              <w:t>​ ​ Director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Sharon Tetlow</w:t>
            </w:r>
            <w:r>
              <w:rPr>
                <w:rFonts w:ascii="Arial" w:cs="Arial" w:eastAsia="Arial" w:hAnsi="Arial"/>
                <w:sz w:val="15"/>
                <w:szCs w:val="15"/>
                <w:color w:val="auto"/>
                <w:vertAlign w:val="superscript"/>
              </w:rPr>
              <w:t>(1)(3)</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63</w:t>
            </w: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 Director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203"/>
        </w:trPr>
        <w:tc>
          <w:tcPr>
            <w:tcW w:w="2740" w:type="dxa"/>
            <w:vAlign w:val="bottom"/>
          </w:tcPr>
          <w:p>
            <w:pPr>
              <w:spacing w:after="0"/>
              <w:rPr>
                <w:sz w:val="20"/>
                <w:szCs w:val="20"/>
                <w:color w:val="auto"/>
              </w:rPr>
            </w:pPr>
            <w:r>
              <w:rPr>
                <w:rFonts w:ascii="Arial" w:cs="Arial" w:eastAsia="Arial" w:hAnsi="Arial"/>
                <w:sz w:val="12"/>
                <w:szCs w:val="12"/>
                <w:color w:val="auto"/>
              </w:rPr>
              <w:t>Eric Dobmeier</w:t>
            </w:r>
            <w:r>
              <w:rPr>
                <w:rFonts w:ascii="Arial" w:cs="Arial" w:eastAsia="Arial" w:hAnsi="Arial"/>
                <w:sz w:val="15"/>
                <w:szCs w:val="15"/>
                <w:color w:val="auto"/>
                <w:vertAlign w:val="superscript"/>
              </w:rPr>
              <w:t>(1)(2)</w:t>
            </w:r>
          </w:p>
        </w:tc>
        <w:tc>
          <w:tcPr>
            <w:tcW w:w="400" w:type="dxa"/>
            <w:vAlign w:val="bottom"/>
            <w:gridSpan w:val="2"/>
          </w:tcPr>
          <w:p>
            <w:pPr>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54</w:t>
            </w:r>
          </w:p>
        </w:tc>
        <w:tc>
          <w:tcPr>
            <w:tcW w:w="2760" w:type="dxa"/>
            <w:vAlign w:val="bottom"/>
            <w:gridSpan w:val="2"/>
          </w:tcPr>
          <w:p>
            <w:pPr>
              <w:spacing w:after="0"/>
              <w:rPr>
                <w:sz w:val="20"/>
                <w:szCs w:val="20"/>
                <w:color w:val="auto"/>
              </w:rPr>
            </w:pPr>
            <w:r>
              <w:rPr>
                <w:rFonts w:ascii="Arial" w:cs="Arial" w:eastAsia="Arial" w:hAnsi="Arial"/>
                <w:sz w:val="12"/>
                <w:szCs w:val="12"/>
                <w:color w:val="auto"/>
              </w:rPr>
              <w:t>​ ​ Director</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87"/>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Joanne Waldstreicher, M.D.</w:t>
            </w:r>
            <w:r>
              <w:rPr>
                <w:rFonts w:ascii="Arial" w:cs="Arial" w:eastAsia="Arial" w:hAnsi="Arial"/>
                <w:sz w:val="15"/>
                <w:szCs w:val="15"/>
                <w:color w:val="auto"/>
                <w:vertAlign w:val="superscript"/>
              </w:rPr>
              <w:t>(3)</w:t>
            </w:r>
          </w:p>
        </w:tc>
        <w:tc>
          <w:tcPr>
            <w:tcW w:w="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​62</w:t>
            </w:r>
          </w:p>
        </w:tc>
        <w:tc>
          <w:tcPr>
            <w:tcW w:w="16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Director</w:t>
            </w:r>
          </w:p>
        </w:tc>
        <w:tc>
          <w:tcPr>
            <w:tcW w:w="20" w:type="dxa"/>
            <w:vAlign w:val="bottom"/>
          </w:tcPr>
          <w:p>
            <w:pPr>
              <w:spacing w:after="0"/>
              <w:rPr>
                <w:sz w:val="16"/>
                <w:szCs w:val="16"/>
                <w:color w:val="auto"/>
              </w:rPr>
            </w:pPr>
          </w:p>
        </w:tc>
      </w:tr>
      <w:tr>
        <w:trPr>
          <w:trHeight w:val="152"/>
        </w:trPr>
        <w:tc>
          <w:tcPr>
            <w:tcW w:w="2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 ​</w:t>
            </w:r>
          </w:p>
        </w:tc>
        <w:tc>
          <w:tcPr>
            <w:tcW w:w="2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-1669415</wp:posOffset>
            </wp:positionV>
            <wp:extent cx="9842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-1669415</wp:posOffset>
            </wp:positionV>
            <wp:extent cx="9842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8425" cy="6350"/>
                    </a:xfrm>
                    <a:prstGeom prst="rect">
                      <a:avLst/>
                    </a:prstGeom>
                    <a:noFill/>
                  </pic:spPr>
                </pic:pic>
              </a:graphicData>
            </a:graphic>
          </wp:anchor>
        </w:drawing>
      </w:r>
    </w:p>
    <w:p>
      <w:pPr>
        <w:ind w:left="1720" w:hanging="155"/>
        <w:spacing w:after="0"/>
        <w:tabs>
          <w:tab w:leader="none" w:pos="1720" w:val="left"/>
        </w:tabs>
        <w:numPr>
          <w:ilvl w:val="0"/>
          <w:numId w:val="82"/>
        </w:numPr>
        <w:rPr>
          <w:rFonts w:ascii="Arial" w:cs="Arial" w:eastAsia="Arial" w:hAnsi="Arial"/>
          <w:sz w:val="14"/>
          <w:szCs w:val="14"/>
          <w:color w:val="auto"/>
          <w:vertAlign w:val="superscript"/>
        </w:rPr>
      </w:pPr>
      <w:r>
        <w:rPr>
          <w:rFonts w:ascii="Arial" w:cs="Arial" w:eastAsia="Arial" w:hAnsi="Arial"/>
          <w:sz w:val="9"/>
          <w:szCs w:val="9"/>
          <w:color w:val="auto"/>
        </w:rPr>
        <w:t>Member of our audit committee.</w:t>
      </w:r>
    </w:p>
    <w:p>
      <w:pPr>
        <w:spacing w:after="0" w:line="51" w:lineRule="exact"/>
        <w:rPr>
          <w:rFonts w:ascii="Arial" w:cs="Arial" w:eastAsia="Arial" w:hAnsi="Arial"/>
          <w:sz w:val="14"/>
          <w:szCs w:val="14"/>
          <w:color w:val="auto"/>
          <w:vertAlign w:val="superscript"/>
        </w:rPr>
      </w:pPr>
    </w:p>
    <w:p>
      <w:pPr>
        <w:ind w:left="1720" w:hanging="155"/>
        <w:spacing w:after="0" w:line="181" w:lineRule="auto"/>
        <w:tabs>
          <w:tab w:leader="none" w:pos="1720" w:val="left"/>
        </w:tabs>
        <w:numPr>
          <w:ilvl w:val="0"/>
          <w:numId w:val="82"/>
        </w:numPr>
        <w:rPr>
          <w:rFonts w:ascii="Arial" w:cs="Arial" w:eastAsia="Arial" w:hAnsi="Arial"/>
          <w:sz w:val="13"/>
          <w:szCs w:val="13"/>
          <w:color w:val="auto"/>
          <w:vertAlign w:val="superscript"/>
        </w:rPr>
      </w:pPr>
      <w:r>
        <w:rPr>
          <w:rFonts w:ascii="Arial" w:cs="Arial" w:eastAsia="Arial" w:hAnsi="Arial"/>
          <w:sz w:val="8"/>
          <w:szCs w:val="8"/>
          <w:color w:val="auto"/>
        </w:rPr>
        <w:t>Member of our compensation committee.</w:t>
      </w:r>
    </w:p>
    <w:p>
      <w:pPr>
        <w:spacing w:after="0" w:line="51" w:lineRule="exact"/>
        <w:rPr>
          <w:rFonts w:ascii="Arial" w:cs="Arial" w:eastAsia="Arial" w:hAnsi="Arial"/>
          <w:sz w:val="13"/>
          <w:szCs w:val="13"/>
          <w:color w:val="auto"/>
          <w:vertAlign w:val="superscript"/>
        </w:rPr>
      </w:pPr>
    </w:p>
    <w:p>
      <w:pPr>
        <w:ind w:left="1720" w:hanging="155"/>
        <w:spacing w:after="0" w:line="181" w:lineRule="auto"/>
        <w:tabs>
          <w:tab w:leader="none" w:pos="1720" w:val="left"/>
        </w:tabs>
        <w:numPr>
          <w:ilvl w:val="0"/>
          <w:numId w:val="82"/>
        </w:numPr>
        <w:rPr>
          <w:rFonts w:ascii="Arial" w:cs="Arial" w:eastAsia="Arial" w:hAnsi="Arial"/>
          <w:sz w:val="13"/>
          <w:szCs w:val="13"/>
          <w:color w:val="auto"/>
          <w:vertAlign w:val="superscript"/>
        </w:rPr>
      </w:pPr>
      <w:r>
        <w:rPr>
          <w:rFonts w:ascii="Arial" w:cs="Arial" w:eastAsia="Arial" w:hAnsi="Arial"/>
          <w:sz w:val="8"/>
          <w:szCs w:val="8"/>
          <w:color w:val="auto"/>
        </w:rPr>
        <w:t>Member of our nominating and governance committee.</w:t>
      </w:r>
    </w:p>
    <w:p>
      <w:pPr>
        <w:spacing w:after="0" w:line="14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Executive Officers</w:t>
      </w:r>
    </w:p>
    <w:p>
      <w:pPr>
        <w:spacing w:after="0" w:line="34"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b w:val="1"/>
          <w:bCs w:val="1"/>
          <w:i w:val="1"/>
          <w:iCs w:val="1"/>
          <w:color w:val="auto"/>
        </w:rPr>
        <w:t xml:space="preserve">Raymond Stevens, Ph.D. </w:t>
      </w:r>
      <w:r>
        <w:rPr>
          <w:rFonts w:ascii="Arial" w:cs="Arial" w:eastAsia="Arial" w:hAnsi="Arial"/>
          <w:sz w:val="12"/>
          <w:szCs w:val="12"/>
          <w:color w:val="auto"/>
        </w:rPr>
        <w:t>has served as our Chief Executive Officer since May 2019 and as a member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board of directors since February 2019. Previously, Dr. Stevens founded the Bridge Institute at the University of Southern California, or Bridge Institute, where he served as Founding Director and Professor from July 2014 to May 2019, and since then as Professor Emeritus. Prior to founding the Bridge Institute, Dr. Stevens founded the iHuman Institute at ShanghaiTech University, or iHuman Institute, in January 2012, where he has since served as Founding Director and Adjunct Professor. Prior to founding the iHuman Institute, Dr. Stevens served as Professor, Department of Integrative Structural and Computational Biology and Chemistry at The Scripps Research Institute from June 1999 to July 2014. Dr. Stevens also currently serves as a member of the board of directors of Danaher Corporation (NYSE: DHR). Dr. Stevens completed a post-doctoral fellowship in Chemistry at Harvard University. Dr. Stevens received his B.A. in Chemistry from the University of Southern Maine, and his Ph.D. in Organic Chemistry from the University of Southern California. We believe that Dr. Stevens is qualified to serve on our board of directors based on his extensive experience in the field of structure-based drug discovery and as a director of public and private companies. As our Chief Executive Officer, Dr. Stevens also provides invaluable insight to our management’s perspective in the board’s discussions regarding our company’s business and strategic plans.</w:t>
      </w:r>
    </w:p>
    <w:p>
      <w:pPr>
        <w:spacing w:after="0" w:line="87"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b w:val="1"/>
          <w:bCs w:val="1"/>
          <w:i w:val="1"/>
          <w:iCs w:val="1"/>
          <w:color w:val="auto"/>
        </w:rPr>
        <w:t xml:space="preserve">Jun Yoon </w:t>
      </w:r>
      <w:r>
        <w:rPr>
          <w:rFonts w:ascii="Arial" w:cs="Arial" w:eastAsia="Arial" w:hAnsi="Arial"/>
          <w:sz w:val="12"/>
          <w:szCs w:val="12"/>
          <w:color w:val="auto"/>
        </w:rPr>
        <w:t>has served as our Chief Financial Officer since May 2022. He previously served as our Chief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Operating Officer since February 2019. Prior to joining our company, Mr. Yoon served as Vice President, Corporate Development at Cellerant Therapeutics, Inc., a biotechnology company developing immunotherapies for hematologic malignancies and other blood-related disorders, from May 2010 to January 2016. Prior to joining Cellerant Therapeutics, Mr. Yoon served as Senior Director, Licensing &amp; Business Development at VIA Pharmaceuticals, Inc., a biotechnology company focused on the treatment of cardiovascular disease, from August 2004 to March 2010. Previously, Mr. Yoon worked in Business Development for Syrrx, Inc., prior to its acquisition by Takeda Pharmaceutical Company Limited, from July 2000 to October 2002. Mr. Yoon currently serves as director of the GPCR Consortium, a public-private global collaboration advancing GPCR research. Mr. Yoon received his B.A. in Molecular Cell Biology from the University of California, Berkeley.</w:t>
      </w:r>
    </w:p>
    <w:p>
      <w:pPr>
        <w:spacing w:after="0" w:line="83"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b w:val="1"/>
          <w:bCs w:val="1"/>
          <w:i w:val="1"/>
          <w:iCs w:val="1"/>
          <w:color w:val="auto"/>
        </w:rPr>
        <w:t xml:space="preserve">Xichen Lin, Ph.D. </w:t>
      </w:r>
      <w:r>
        <w:rPr>
          <w:rFonts w:ascii="Arial" w:cs="Arial" w:eastAsia="Arial" w:hAnsi="Arial"/>
          <w:sz w:val="12"/>
          <w:szCs w:val="12"/>
          <w:color w:val="auto"/>
        </w:rPr>
        <w:t>has served as our Chief Scientific Officer since July 2019. Prior to joining our company,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Dr. Lin served as Head of External Innovation, Asia Pacific at Novo Nordisk from May 2016 to July 2019. Prior to</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7" w:name="page178"/>
    <w:bookmarkEnd w:id="17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joining Novo Nordisk A/S, Dr. Lin served as Operation Partner at C-Bridge Capital, a biotechnology investment firm, from December 2015 to May 2016. Prior to serving at C-Bridge Capital, Dr. Lin held various scientific and strategy roles at GlaxoSmithKline, or GSK, from July 2002 to December 2015, including Head of GSK’s Global Neuroinflammation Discovery Performance Unit. Dr. Lin received his B.S. in Chemistry from Peking University, and his Ph.D. in Organic Chemistry from The Pennsylvania State University.</w:t>
      </w:r>
    </w:p>
    <w:p>
      <w:pPr>
        <w:spacing w:after="0" w:line="76"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b w:val="1"/>
          <w:bCs w:val="1"/>
          <w:i w:val="1"/>
          <w:iCs w:val="1"/>
          <w:color w:val="auto"/>
        </w:rPr>
        <w:t xml:space="preserve">Mark Bach, M.D., Ph.D. </w:t>
      </w:r>
      <w:r>
        <w:rPr>
          <w:rFonts w:ascii="Arial" w:cs="Arial" w:eastAsia="Arial" w:hAnsi="Arial"/>
          <w:sz w:val="12"/>
          <w:szCs w:val="12"/>
          <w:color w:val="auto"/>
        </w:rPr>
        <w:t>has served as our Chief Medical Officer since June 2021. Prior to joining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Dr. Bach served as Senior Vice President, Endocrine Medical Sciences at Ascendis Pharma, a Danish biopharmaceutical company, from November 2020 to June 2021. Prior to serving at Ascendis Pharma, Inc. (Nasdaq: ASND), Dr. Bach served as Interim Chief Executive Officer of Accumulus Synergy, Inc., a non-profit biopharmaceutical information exchange platform, from July 2020 to October 2020. Prior to serving at Accumulus Synergy, Dr. Bach held various roles at Janssen Pharmaceuticals, Inc., or Janssen, from January 2010 to October 2020, including Vice President, Office of the Chief Medical Officer and Vice President Head, Asia Pacific Medical Sciences and China Innovation. Prior to serving at Janssen, Dr. Bach held various roles at Merck &amp; Co., Inc. (NYSE: MRK) from June 1993 to January 2010, including Vice President and Executive Director, Global Medical Organization. Dr. Bach received his B.A. in Chemistry from Carleton College, his Ph.D. in Pathology from The University of Chicago Graduate School of Biological Sciences, and his M.D. from Baylor College of Medicine.</w:t>
      </w:r>
    </w:p>
    <w:p>
      <w:pPr>
        <w:spacing w:after="0" w:line="85"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b w:val="1"/>
          <w:bCs w:val="1"/>
          <w:i w:val="1"/>
          <w:iCs w:val="1"/>
          <w:color w:val="auto"/>
        </w:rPr>
        <w:t xml:space="preserve">Melita Sun Jung </w:t>
      </w:r>
      <w:r>
        <w:rPr>
          <w:rFonts w:ascii="Arial" w:cs="Arial" w:eastAsia="Arial" w:hAnsi="Arial"/>
          <w:sz w:val="12"/>
          <w:szCs w:val="12"/>
          <w:color w:val="auto"/>
        </w:rPr>
        <w:t>has served as our Chief Business Officer since May 2021. Prior to joining our company,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Ms. Jung served as Senior Vice President, Head of Business Development at Sangamo Therapeutics, Inc. (Nasdaq: SGMO), a genomic medicines company, from July 2017 to May 2021. Prior to joining Sangamo Therapeutics, Ms. Jung served as Senior Director, Corporate Development at Adamas Pharmaceuticals, Inc., a biopharmaceutical company focused on neurological diseases, from July 2014 to June 2017. Prior to that, Ms. Jung served as Vice President, Business Development at Ascendancy Healthcare, Inc., a company focused on commercializing pharmaceutical products for China and other Asian markets, from April 2012 to May 2014. Prior to serving at Ascendancy Healthcare, Ms. Jung held corporate development and commercial roles for Ipsen, Ltd. (OTCMKTS: IPSEY), a biopharmaceutical company focused on oncology, rare disease and neuroscience. Previously, Ms. Jung started her career in venture capital and fund management, at Bay City Capital and Lombard Odier. Ms. Jung received her B.A. in Integrative Biology from the University of California, Berkeley.</w:t>
      </w:r>
    </w:p>
    <w:p>
      <w:pPr>
        <w:spacing w:after="0" w:line="82"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b w:val="1"/>
          <w:bCs w:val="1"/>
          <w:i w:val="1"/>
          <w:iCs w:val="1"/>
          <w:color w:val="auto"/>
        </w:rPr>
        <w:t xml:space="preserve">Yingli Ma, Ph.D. </w:t>
      </w:r>
      <w:r>
        <w:rPr>
          <w:rFonts w:ascii="Arial" w:cs="Arial" w:eastAsia="Arial" w:hAnsi="Arial"/>
          <w:sz w:val="12"/>
          <w:szCs w:val="12"/>
          <w:color w:val="auto"/>
        </w:rPr>
        <w:t>has served as our Chief Technology Officer since August 2022. Previously, Dr. Ma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General Manager and President of Basecamp Bio Inc., our wholly-owned subsidiary, from May 2021 to August 2022. Prior to joining Basecamp Bio, Dr. Ma served as General Manager of Amgen Biopharmaceutical R&amp;D (Shanghai), the R&amp;D site of Amgen, Inc. (Nasdaq: AMGN) in Shanghai from</w:t>
      </w:r>
    </w:p>
    <w:p>
      <w:pPr>
        <w:spacing w:after="0" w:line="1"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color w:val="auto"/>
        </w:rPr>
        <w:t>June 2020 to May 2021. Previously, Dr. Ma served in various roles at Amgen, including Executive Director, Structural Biology and China Research Shanghai, or CNRS, Platforms from July 2018 to December 2019, and Principal Scientist, Structural Biology and Protein Expression from June 2014 to July 2018. Prior to serving at Amgen, Dr. Ma was Senior Scientist and Principal Scientist, Structural Chemistry Lead at GSK from April 2009 to May 2014. Dr. Ma completed her post-doctoral fellowship in Molecular Biology at Rockefeller University. Dr. Ma received her B.S. in Clinical Medicine from China Medical University, and her Ph.D. in Biochemistry and Molecular Biophysics from the University of Pennsylvania.</w:t>
      </w:r>
    </w:p>
    <w:p>
      <w:pPr>
        <w:spacing w:after="0" w:line="13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Non-Employee Directors</w:t>
      </w:r>
    </w:p>
    <w:p>
      <w:pPr>
        <w:spacing w:after="0" w:line="34" w:lineRule="exact"/>
        <w:rPr>
          <w:sz w:val="20"/>
          <w:szCs w:val="20"/>
          <w:color w:val="auto"/>
        </w:rPr>
      </w:pPr>
    </w:p>
    <w:p>
      <w:pPr>
        <w:jc w:val="both"/>
        <w:ind w:left="1560" w:right="1639"/>
        <w:spacing w:after="0" w:line="261" w:lineRule="auto"/>
        <w:rPr>
          <w:sz w:val="20"/>
          <w:szCs w:val="20"/>
          <w:color w:val="auto"/>
        </w:rPr>
      </w:pPr>
      <w:r>
        <w:rPr>
          <w:rFonts w:ascii="Arial" w:cs="Arial" w:eastAsia="Arial" w:hAnsi="Arial"/>
          <w:sz w:val="12"/>
          <w:szCs w:val="12"/>
          <w:b w:val="1"/>
          <w:bCs w:val="1"/>
          <w:i w:val="1"/>
          <w:iCs w:val="1"/>
          <w:color w:val="auto"/>
        </w:rPr>
        <w:t xml:space="preserve">Daniel G. Welch </w:t>
      </w:r>
      <w:r>
        <w:rPr>
          <w:rFonts w:ascii="Arial" w:cs="Arial" w:eastAsia="Arial" w:hAnsi="Arial"/>
          <w:sz w:val="12"/>
          <w:szCs w:val="12"/>
          <w:color w:val="auto"/>
        </w:rPr>
        <w:t>has served as Chairman of our board of directors since January 2022. Mr. Welch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an Executive Partner of Sofinnova Ventures, a venture capital firm from January 2015 to February 2018. Prior to serving at Sofinnova, Mr. Welch served as Chief Executive Officer and President of InterMune, Inc., a biotechnology company, from September 2003 until its acquisition by Roche Holdings AG (OTCMKTS:</w:t>
      </w:r>
    </w:p>
    <w:p>
      <w:pPr>
        <w:spacing w:after="0" w:line="2"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RHHBY) in September 2014. Mr. Welch also served as Chairman of InterMune from May 2008 to September 2014. Prior to serving at InterMune, Mr. Welch served as Chairman and Chief Executive Officer of Triangle Pharmaceuticals, Inc., a pharmaceutical company that was acquired by Gilead Sciences, Inc. (Nasdaq: GILD) from 2002 to 2003. Prior to serving at Triangle Pharmaceuticals, Mr. Welch served as President of Biopharmaceuticals at Elan Corporation (TYO: 6099) from 2000 to 2002. Prior to serving at Elan, Mr. Welch served in various senior management roles at Sanofi-Synthelabo, now Sanofi S.A. (Nasdaq: SNY), from 1987 to 2000, including as Vice President of Worldwide Marketing and Chief Operating Officer of the U.S. business. Mr. Welch currently serves on the boards of directors of Nuvation Bio Inc. (NYSE: NUVB), SeaGen Inc.</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8" w:name="page179"/>
    <w:bookmarkEnd w:id="17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(Nasdaq: SGEN), and Ultragenyx Pharmaceutical Inc. (Nasdaq: RARE). Mr. Welch received his B.B.A. in Marketing from the University of Miami and his M.B.A. from the University of North Carolina. We believe that Mr. Welch is qualified to serve on our board of directors based on his operational and strategic expertise in the global pharmaceutical market, his experience serving on the board of directors of publicly traded pharmaceutical companies and his extensive experience in leading companies from clinical-stage drug development to large-scale global commercialization.</w:t>
      </w:r>
    </w:p>
    <w:p>
      <w:pPr>
        <w:spacing w:after="0" w:line="78"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b w:val="1"/>
          <w:bCs w:val="1"/>
          <w:i w:val="1"/>
          <w:iCs w:val="1"/>
          <w:color w:val="auto"/>
        </w:rPr>
        <w:t xml:space="preserve">Ramy Farid, Ph.D. </w:t>
      </w:r>
      <w:r>
        <w:rPr>
          <w:rFonts w:ascii="Arial" w:cs="Arial" w:eastAsia="Arial" w:hAnsi="Arial"/>
          <w:sz w:val="12"/>
          <w:szCs w:val="12"/>
          <w:color w:val="auto"/>
        </w:rPr>
        <w:t>has served as a member of our board of directors since April 2019. Since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January 2017, Dr. Farid has served as the President and Chief Executive Officer at Schrödinger, Inc. (Nasdaq: SDGR), where he has served in various roles since 1987, including President from January 2008 to December 2016, Senior Vice President from January 2005 to December 2007, and Vice President, Scientific Development and Product Management from January 2003 to December 2004. Prior to joining Schrödinger, Dr. Farid was an Assistant Professor in the Chemistry Department at Rutgers University from July 1994 to December 2001. Dr. Farid currently serves as a member of the board of directors of Schrödinger and Ajax Therapeutics, Inc. a private biotechnology company applying computational chemistry and structure-based technologies to develop small molecules for hematologic malignancies. Dr. Farid was previously a National Institute of Health Postdoctoral Fellow in the Department of Biochemistry and Biophysics at the University of Pennsylvania. Dr. Farid received his B.S. in Chemistry from the University of Rochester and his Ph.D. in Chemistry from the California Institute of Technology. We believe that Dr. Farid is qualified to serve on our board of directors because of his extensive experience in the biopharmaceutical industry, including his expertise in drug discovery and development.</w:t>
      </w:r>
    </w:p>
    <w:p>
      <w:pPr>
        <w:spacing w:after="0" w:line="92" w:lineRule="exact"/>
        <w:rPr>
          <w:sz w:val="20"/>
          <w:szCs w:val="20"/>
          <w:color w:val="auto"/>
        </w:rPr>
      </w:pPr>
    </w:p>
    <w:p>
      <w:pPr>
        <w:jc w:val="both"/>
        <w:ind w:left="1560" w:right="1599"/>
        <w:spacing w:after="0" w:line="271" w:lineRule="auto"/>
        <w:rPr>
          <w:sz w:val="20"/>
          <w:szCs w:val="20"/>
          <w:color w:val="auto"/>
        </w:rPr>
      </w:pPr>
      <w:r>
        <w:rPr>
          <w:rFonts w:ascii="Arial" w:cs="Arial" w:eastAsia="Arial" w:hAnsi="Arial"/>
          <w:sz w:val="12"/>
          <w:szCs w:val="12"/>
          <w:b w:val="1"/>
          <w:bCs w:val="1"/>
          <w:i w:val="1"/>
          <w:iCs w:val="1"/>
          <w:color w:val="auto"/>
        </w:rPr>
        <w:t xml:space="preserve">Sharon Tetlow </w:t>
      </w:r>
      <w:r>
        <w:rPr>
          <w:rFonts w:ascii="Arial" w:cs="Arial" w:eastAsia="Arial" w:hAnsi="Arial"/>
          <w:sz w:val="12"/>
          <w:szCs w:val="12"/>
          <w:color w:val="auto"/>
        </w:rPr>
        <w:t>has served as a member of our board of directors since March 2022. Since January 2016,</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Ms. Tetlow has served as Managing Partner of Potrero Hill Advisors, an advisory firm providing strategic and operational financial support to life sciences companies. Prior to Potrero Hill Advisors, Ms. Tetlow served as chief financial officer of several public and private biotech companies for the previous twenty years. Ms.</w:t>
      </w:r>
    </w:p>
    <w:p>
      <w:pPr>
        <w:spacing w:after="0" w:line="2"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Tetlow currently serves on the board of directors, on the nominating and governance committee and as chair of the audit committee of DICE Therapeutics, Inc. (Nasdaq: DICE), a biopharmaceutical company, on the board of directors and as chair of the audit committee of Catalyst Biosciences, Inc. (Nasdaq: CBIO), a biopharmaceutical company, and on the supervisory board and as chair of the audit committee of Valneva SE (Nasdaq: VALN, EPA: VLA), a global commercial stage, public vaccine company. Ms. Tetlow received her B.S. in Psychology from the University of Delaware and her M.B.A. from Stanford University. We believe that Ms. Tetlow is qualified to serve as a member of our board of directors because of her expertise in corporate finance and strategy in the biotechnology and pharmaceutical industries and her public company board experience.</w:t>
      </w:r>
    </w:p>
    <w:p>
      <w:pPr>
        <w:spacing w:after="0" w:line="85"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b w:val="1"/>
          <w:bCs w:val="1"/>
          <w:i w:val="1"/>
          <w:iCs w:val="1"/>
          <w:color w:val="auto"/>
        </w:rPr>
        <w:t xml:space="preserve">Eric Dobmeier </w:t>
      </w:r>
      <w:r>
        <w:rPr>
          <w:rFonts w:ascii="Arial" w:cs="Arial" w:eastAsia="Arial" w:hAnsi="Arial"/>
          <w:sz w:val="12"/>
          <w:szCs w:val="12"/>
          <w:color w:val="auto"/>
        </w:rPr>
        <w:t>has served as a member of our board of directors since December 2022. Since April 2019,</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Mr. Dobmeier has served as President, Chief Executive Officer and a member of the Board of Directors of Chinook Therapeutics, Inc. (NASDAQ: KDNY), a publicly traded biotechnology company focused on kidney diseases. Prior to joining Chinook Therapeutics, Mr. Dobmeier served as President and Chief Executive Officer of Silverback Therapeutics, Inc. from January 2018 to June 2018. Prior to that, Mr. Dobmeier held positions of increasing responsibility at Seattle Genetics, Inc. (NASDAQ: SGEN), a publicly traded biotechnology company, from 2002 to December 2017, including as Chief Operating Officer from June 2011 to December 2017. Previously, Mr. Dobmeier was an attorney with the law firms of Venture Law Group and Heller Ehrman LLP, where he represented technology companies in connection with public and private financings, mergers and acquisitions and corporate partnering transactions. Mr. Dobmeier currently serves on the board of directors of Atara Biotherapeutics, Inc. (NASDAQ: ATRA), a publicly traded biotechnology company, where he has served since 2015. Mr. Dobmeier previously served on the boards of directors of Adaptive Biotechnologies Corp (NASDAQ: ADPT) from 2016 to 2021, Stemline Therapeutics, Inc. (NASDAQ: STML) from 2012 to 2018 and Versartis from 2017 to 2018, each a publicly traded biopharmaceutical company. He received his A.B. in History from Princeton University and his J.D. from the University of California, Berkeley School of Law. We believe Mr. Dobmeier is qualified to serve as a member of our board of directors because of his legal, business development and operating experience, senior management experience at public biotechnology companies and his service as a director of other biopharmaceutical companies.</w:t>
      </w:r>
    </w:p>
    <w:p>
      <w:pPr>
        <w:spacing w:after="0" w:line="76"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b w:val="1"/>
          <w:bCs w:val="1"/>
          <w:i w:val="1"/>
          <w:iCs w:val="1"/>
          <w:color w:val="auto"/>
        </w:rPr>
        <w:t xml:space="preserve">Joanne Waldstreicher, M.D., </w:t>
      </w:r>
      <w:r>
        <w:rPr>
          <w:rFonts w:ascii="Arial" w:cs="Arial" w:eastAsia="Arial" w:hAnsi="Arial"/>
          <w:sz w:val="12"/>
          <w:szCs w:val="12"/>
          <w:color w:val="auto"/>
        </w:rPr>
        <w:t>has served as a member of our board of directors since December 2022.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Since December 2012, Dr. Waldstreicher has served as Chief Medical Officer at Johnson &amp; Johnson (NYSE: JNJ), where she has served in various roles since 2002, including Chief Medical Officer &amp; Head, Asia Pacific Medical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79" w:name="page180"/>
    <w:bookmarkEnd w:id="17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99"/>
        <w:spacing w:after="0" w:line="274" w:lineRule="auto"/>
        <w:rPr>
          <w:sz w:val="20"/>
          <w:szCs w:val="20"/>
          <w:color w:val="auto"/>
        </w:rPr>
      </w:pPr>
      <w:r>
        <w:rPr>
          <w:rFonts w:ascii="Arial" w:cs="Arial" w:eastAsia="Arial" w:hAnsi="Arial"/>
          <w:sz w:val="12"/>
          <w:szCs w:val="12"/>
          <w:color w:val="auto"/>
        </w:rPr>
        <w:t>Science at Janssen Pharmaceutical Companies of Johnson &amp; Johnson from 2011 to 2012 and Senior Vice President, Head, Global Drug Development from 2007 to 2009. Prior to joining Johnson &amp; Johnson,</w:t>
      </w:r>
    </w:p>
    <w:p>
      <w:pPr>
        <w:ind w:left="1560" w:right="1619"/>
        <w:spacing w:after="0" w:line="273" w:lineRule="auto"/>
        <w:rPr>
          <w:sz w:val="20"/>
          <w:szCs w:val="20"/>
          <w:color w:val="auto"/>
        </w:rPr>
      </w:pPr>
      <w:r>
        <w:rPr>
          <w:rFonts w:ascii="Arial" w:cs="Arial" w:eastAsia="Arial" w:hAnsi="Arial"/>
          <w:sz w:val="12"/>
          <w:szCs w:val="12"/>
          <w:color w:val="auto"/>
        </w:rPr>
        <w:t>Dr. Waldstreicher oversaw endocrinology and metabolism clinical research at Merck Research Laboratories. Dr. Waldstreicher also currently serves as a faculty affiliate of the Division of Medical Ethics, Department of Population Health at New York University School of Medicine. Dr. Waldstreicher received her B.A. in Chemistry at City University of New York, Brooklyn College, and her M.D. at Harvard Medical School. We believe Dr. Waldstreicher is qualified to serve on our board of directors based on her extensive experience as a pharmaceutical executive with significant expertise in clinical development, drug development strategy and regulatory affairs.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Family Relationships and Other Arrangements</w:t>
      </w:r>
    </w:p>
    <w:p>
      <w:pPr>
        <w:spacing w:after="0" w:line="75" w:lineRule="exact"/>
        <w:rPr>
          <w:sz w:val="20"/>
          <w:szCs w:val="20"/>
          <w:color w:val="auto"/>
        </w:rPr>
      </w:pPr>
    </w:p>
    <w:p>
      <w:pPr>
        <w:ind w:left="1560" w:right="1799"/>
        <w:spacing w:after="0" w:line="308" w:lineRule="auto"/>
        <w:rPr>
          <w:sz w:val="20"/>
          <w:szCs w:val="20"/>
          <w:color w:val="auto"/>
        </w:rPr>
      </w:pPr>
      <w:r>
        <w:rPr>
          <w:rFonts w:ascii="Arial" w:cs="Arial" w:eastAsia="Arial" w:hAnsi="Arial"/>
          <w:sz w:val="12"/>
          <w:szCs w:val="12"/>
          <w:color w:val="auto"/>
        </w:rPr>
        <w:t>Pursuant to our voting agreement, as amended, which will terminate upon the closing of this offering, the following directors were designated as directors to our board of directors:</w:t>
      </w:r>
    </w:p>
    <w:p>
      <w:pPr>
        <w:spacing w:after="0" w:line="4" w:lineRule="exact"/>
        <w:rPr>
          <w:sz w:val="20"/>
          <w:szCs w:val="20"/>
          <w:color w:val="auto"/>
        </w:rPr>
      </w:pPr>
    </w:p>
    <w:p>
      <w:pPr>
        <w:ind w:left="1980" w:hanging="157"/>
        <w:spacing w:after="0"/>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Dr. Stevens and Mr. Yoon were elected by the holders of a majority of our ordinary shares.</w:t>
      </w:r>
    </w:p>
    <w:p>
      <w:pPr>
        <w:spacing w:after="0" w:line="74" w:lineRule="exact"/>
        <w:rPr>
          <w:rFonts w:ascii="Arial" w:cs="Arial" w:eastAsia="Arial" w:hAnsi="Arial"/>
          <w:sz w:val="12"/>
          <w:szCs w:val="12"/>
          <w:color w:val="auto"/>
        </w:rPr>
      </w:pPr>
    </w:p>
    <w:p>
      <w:pPr>
        <w:ind w:left="1980" w:right="1619" w:hanging="157"/>
        <w:spacing w:after="0" w:line="308"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Dr. Yu was designated by TCG Crossover Fund I, L.P. and elected by the holders of a majority of our Series B convertible preferred shares.</w:t>
      </w:r>
    </w:p>
    <w:p>
      <w:pPr>
        <w:spacing w:after="0" w:line="3" w:lineRule="exact"/>
        <w:rPr>
          <w:rFonts w:ascii="Arial" w:cs="Arial" w:eastAsia="Arial" w:hAnsi="Arial"/>
          <w:sz w:val="12"/>
          <w:szCs w:val="12"/>
          <w:color w:val="auto"/>
        </w:rPr>
      </w:pPr>
    </w:p>
    <w:p>
      <w:pPr>
        <w:ind w:left="1980" w:right="1939" w:hanging="157"/>
        <w:spacing w:after="0" w:line="308"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Ms. Lifton was designated by BVF Partners L.P. and elected by the holders of a majority of our Series B convertible preferred shares.</w:t>
      </w:r>
    </w:p>
    <w:p>
      <w:pPr>
        <w:spacing w:after="0" w:line="3"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Dr. Waldstreicher was approved by our board of directors and elected by the holders of a majority of our Series A+ convertible preferred shares.</w:t>
      </w:r>
    </w:p>
    <w:p>
      <w:pPr>
        <w:spacing w:after="0" w:line="13"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Ms. Tetlow and Mr. Dobmeier were approved by our board of directors and elected by the holders of a majority of our Series A convertible preferred shares.</w:t>
      </w:r>
    </w:p>
    <w:p>
      <w:pPr>
        <w:spacing w:after="0" w:line="3" w:lineRule="exact"/>
        <w:rPr>
          <w:rFonts w:ascii="Arial" w:cs="Arial" w:eastAsia="Arial" w:hAnsi="Arial"/>
          <w:sz w:val="12"/>
          <w:szCs w:val="12"/>
          <w:color w:val="auto"/>
        </w:rPr>
      </w:pPr>
    </w:p>
    <w:p>
      <w:pPr>
        <w:ind w:left="1980" w:right="1999" w:hanging="157"/>
        <w:spacing w:after="0" w:line="308"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Dr. Farid was designated mutually by our board of directors and approved by certain affiliated entities.</w:t>
      </w:r>
    </w:p>
    <w:p>
      <w:pPr>
        <w:spacing w:after="0" w:line="6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There are no family relationships among any of our executive officers and directors.</w:t>
      </w:r>
    </w:p>
    <w:p>
      <w:pPr>
        <w:spacing w:after="0" w:line="1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Board Composition</w:t>
      </w:r>
    </w:p>
    <w:p>
      <w:pPr>
        <w:spacing w:after="0" w:line="75"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Our board of directors currently consists of six members, with three vacancies. In accordance with our amended and restated memorandum and articles of association, which will be effective immediately upon the closing of this offering, our board of directors will be divided into three classes with staggered three-year terms. At each annual meeting of shareholders, the successors to the directors whose terms then expire will be elected to serve from the time of election and qualification until the third annual meeting following election. Our directors will be divided among the three classes as follows:</w:t>
      </w:r>
    </w:p>
    <w:p>
      <w:pPr>
        <w:spacing w:after="0" w:line="24" w:lineRule="exact"/>
        <w:rPr>
          <w:sz w:val="20"/>
          <w:szCs w:val="20"/>
          <w:color w:val="auto"/>
        </w:rPr>
      </w:pPr>
    </w:p>
    <w:p>
      <w:pPr>
        <w:ind w:left="1980" w:right="1999" w:hanging="157"/>
        <w:spacing w:after="0" w:line="308" w:lineRule="auto"/>
        <w:tabs>
          <w:tab w:leader="none" w:pos="19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Class I directors will be Ms. Tetlow and Dr. Farid, and their terms will expire at the annual meeting of shareholders to be held in 2024;</w:t>
      </w:r>
    </w:p>
    <w:p>
      <w:pPr>
        <w:spacing w:after="0" w:line="13" w:lineRule="exact"/>
        <w:rPr>
          <w:rFonts w:ascii="Arial" w:cs="Arial" w:eastAsia="Arial" w:hAnsi="Arial"/>
          <w:sz w:val="12"/>
          <w:szCs w:val="12"/>
          <w:color w:val="auto"/>
        </w:rPr>
      </w:pPr>
    </w:p>
    <w:p>
      <w:pPr>
        <w:ind w:left="1980" w:right="1739" w:hanging="157"/>
        <w:spacing w:after="0" w:line="308" w:lineRule="auto"/>
        <w:tabs>
          <w:tab w:leader="none" w:pos="19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Class II directors will be Mr. Dobmeier and Dr. Waldstreicher, and their terms will expire at the annual meeting of shareholders to be held in 2025; and</w:t>
      </w:r>
    </w:p>
    <w:p>
      <w:pPr>
        <w:spacing w:after="0" w:line="3" w:lineRule="exact"/>
        <w:rPr>
          <w:rFonts w:ascii="Arial" w:cs="Arial" w:eastAsia="Arial" w:hAnsi="Arial"/>
          <w:sz w:val="12"/>
          <w:szCs w:val="12"/>
          <w:color w:val="auto"/>
        </w:rPr>
      </w:pPr>
    </w:p>
    <w:p>
      <w:pPr>
        <w:ind w:left="1980" w:right="1799" w:hanging="157"/>
        <w:spacing w:after="0" w:line="308" w:lineRule="auto"/>
        <w:tabs>
          <w:tab w:leader="none" w:pos="19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Class III directors will be Dr. Stevens and Mr. Welch, and their terms will expire at the annual meeting of shareholders to be held in 2026.</w:t>
      </w:r>
    </w:p>
    <w:p>
      <w:pPr>
        <w:spacing w:after="0" w:line="62"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We expect that any additional directorships resulting from an increase in the number of directors or from the filling of any current vacancies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67"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Under the Nasdaq Stock Market LLC Marketplace Rules, or the Nasdaq Listing Rules, independent directors must comprise a majority of our board of directors as a public company within 12 months of listing.</w:t>
      </w:r>
    </w:p>
    <w:p>
      <w:pPr>
        <w:spacing w:after="0" w:line="62"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on information requested from and provided by each director concerning his or her background, employment and affiliations, including family relationships, our board of directors has determined that all of our directors other than Raymond Stevens, Ph.D. are independent directors, as defined by Rule 5605(a)(2) of the Nasdaq Listing Rules.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0" w:name="page181"/>
    <w:bookmarkEnd w:id="18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Duties of Directors</w:t>
      </w:r>
    </w:p>
    <w:p>
      <w:pPr>
        <w:spacing w:after="0" w:line="65"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Under Cayman Islands law, all of our directors owe us fiduciary duties, including a duty of loyalty, a duty to act honestly and a duty to act in good faith and in a manner they believe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amended and restated memorandum and articles of association, as amended and restated from time to time. We have the right to seek damages if a duty owed by any of our directors is breached.</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Board Committees</w:t>
      </w:r>
    </w:p>
    <w:p>
      <w:pPr>
        <w:spacing w:after="0" w:line="65"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color w:val="auto"/>
        </w:rPr>
        <w:t>Our board of directors has established an audit committee, a compensation committee and a nominating and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 Nasdaq Listing Rules, which we will post on our website at www.structuretx.com upon the closing of this offering.</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Audit Committee</w:t>
      </w:r>
    </w:p>
    <w:p>
      <w:pPr>
        <w:spacing w:after="0" w:line="34" w:lineRule="exact"/>
        <w:rPr>
          <w:sz w:val="20"/>
          <w:szCs w:val="20"/>
          <w:color w:val="auto"/>
        </w:rPr>
      </w:pPr>
    </w:p>
    <w:p>
      <w:pPr>
        <w:ind w:left="1560" w:right="1619"/>
        <w:spacing w:after="0" w:line="271" w:lineRule="auto"/>
        <w:rPr>
          <w:sz w:val="20"/>
          <w:szCs w:val="20"/>
          <w:color w:val="auto"/>
        </w:rPr>
      </w:pPr>
      <w:r>
        <w:rPr>
          <w:rFonts w:ascii="Arial" w:cs="Arial" w:eastAsia="Arial" w:hAnsi="Arial"/>
          <w:sz w:val="12"/>
          <w:szCs w:val="12"/>
          <w:color w:val="auto"/>
        </w:rPr>
        <w:t>Our audit committee consists of Sharon Tetlow, Daniel Welch and Eric Dobmeier. Our board of directors has determined that each of the members of our audit committee satisfies the Nasdaq Stock Market and SEC independence requirements. Ms. Tetlow serves as the chair of our audit committee. The functions of this committee include, among other things:</w:t>
      </w:r>
    </w:p>
    <w:p>
      <w:pPr>
        <w:spacing w:after="0" w:line="34" w:lineRule="exact"/>
        <w:rPr>
          <w:sz w:val="20"/>
          <w:szCs w:val="20"/>
          <w:color w:val="auto"/>
        </w:rPr>
      </w:pPr>
    </w:p>
    <w:p>
      <w:pPr>
        <w:ind w:left="1980" w:right="1979" w:hanging="157"/>
        <w:spacing w:after="0" w:line="28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evaluating the performance, independence and qualifications of our independent auditors and determining whether to retain our existing independent auditors or engage new independent auditors;</w:t>
      </w:r>
    </w:p>
    <w:p>
      <w:pPr>
        <w:spacing w:after="0" w:line="6"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and approving the engagement of our independent auditors to perform audit services and any permissible non-audit services;</w:t>
      </w:r>
    </w:p>
    <w:p>
      <w:pPr>
        <w:spacing w:after="0" w:line="3" w:lineRule="exact"/>
        <w:rPr>
          <w:rFonts w:ascii="Arial" w:cs="Arial" w:eastAsia="Arial" w:hAnsi="Arial"/>
          <w:sz w:val="12"/>
          <w:szCs w:val="12"/>
          <w:color w:val="auto"/>
        </w:rPr>
      </w:pPr>
    </w:p>
    <w:p>
      <w:pPr>
        <w:ind w:left="1980" w:right="1639" w:hanging="157"/>
        <w:spacing w:after="0" w:line="302"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monitoring the rotation of partners of our independent auditors on our engagement team as required by law;</w:t>
      </w:r>
    </w:p>
    <w:p>
      <w:pPr>
        <w:ind w:left="1980" w:right="1839" w:hanging="157"/>
        <w:spacing w:after="0" w:line="28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15" w:lineRule="exact"/>
        <w:rPr>
          <w:rFonts w:ascii="Arial" w:cs="Arial" w:eastAsia="Arial" w:hAnsi="Arial"/>
          <w:sz w:val="12"/>
          <w:szCs w:val="12"/>
          <w:color w:val="auto"/>
        </w:rPr>
      </w:pPr>
    </w:p>
    <w:p>
      <w:pPr>
        <w:ind w:left="1980" w:right="1579" w:hanging="157"/>
        <w:spacing w:after="0" w:line="282"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our annual and quarterly financial statements and reports, including the disclosures contained under the section titled “Management’s Discussion and Analysis of Financial Condition and Results of Operations,” and discussing the statements and reports with our independent auditors and management;</w:t>
      </w:r>
    </w:p>
    <w:p>
      <w:pPr>
        <w:spacing w:after="0" w:line="8" w:lineRule="exact"/>
        <w:rPr>
          <w:rFonts w:ascii="Arial" w:cs="Arial" w:eastAsia="Arial" w:hAnsi="Arial"/>
          <w:sz w:val="12"/>
          <w:szCs w:val="12"/>
          <w:color w:val="auto"/>
        </w:rPr>
      </w:pPr>
    </w:p>
    <w:p>
      <w:pPr>
        <w:ind w:left="1980" w:right="1779" w:hanging="157"/>
        <w:spacing w:after="0" w:line="28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with management and our independent auditors any earnings announcements;</w:t>
      </w:r>
    </w:p>
    <w:p>
      <w:pPr>
        <w:spacing w:after="0" w:line="55" w:lineRule="exact"/>
        <w:rPr>
          <w:rFonts w:ascii="Arial" w:cs="Arial" w:eastAsia="Arial" w:hAnsi="Arial"/>
          <w:sz w:val="12"/>
          <w:szCs w:val="12"/>
          <w:color w:val="auto"/>
        </w:rPr>
      </w:pPr>
    </w:p>
    <w:p>
      <w:pPr>
        <w:ind w:left="1980" w:right="2059" w:hanging="157"/>
        <w:spacing w:after="0" w:line="30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establishing procedures for the receipt, retention and treatment of complaints received by us regarding financial controls, accounting or auditing matters and other matters;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preparing the report that the SEC requires in our annual proxy statement;</w:t>
      </w:r>
    </w:p>
    <w:p>
      <w:pPr>
        <w:spacing w:after="0" w:line="55" w:lineRule="exact"/>
        <w:rPr>
          <w:rFonts w:ascii="Arial" w:cs="Arial" w:eastAsia="Arial" w:hAnsi="Arial"/>
          <w:sz w:val="12"/>
          <w:szCs w:val="12"/>
          <w:color w:val="auto"/>
        </w:rPr>
      </w:pPr>
    </w:p>
    <w:p>
      <w:pPr>
        <w:ind w:left="1980" w:right="1679" w:hanging="157"/>
        <w:spacing w:after="0" w:line="28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and providing oversight of any related-person transactions in accordance with our related person transaction policy and reviewing and monitoring compliance with legal and regulatory responsibilities, including our code of business conduct and ethics;</w:t>
      </w:r>
    </w:p>
    <w:p>
      <w:pPr>
        <w:spacing w:after="0" w:line="15" w:lineRule="exact"/>
        <w:rPr>
          <w:rFonts w:ascii="Arial" w:cs="Arial" w:eastAsia="Arial" w:hAnsi="Arial"/>
          <w:sz w:val="12"/>
          <w:szCs w:val="12"/>
          <w:color w:val="auto"/>
        </w:rPr>
      </w:pPr>
    </w:p>
    <w:p>
      <w:pPr>
        <w:ind w:left="1980" w:right="1899" w:hanging="157"/>
        <w:spacing w:after="0" w:line="302"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our major financial risk exposures, including the guidelines and policies to govern the process by which risk assessment and risk management are implemented;</w:t>
      </w:r>
    </w:p>
    <w:p>
      <w:pPr>
        <w:ind w:left="1980" w:hanging="157"/>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on a periodic basis our investment policy; and</w:t>
      </w:r>
    </w:p>
    <w:p>
      <w:pPr>
        <w:spacing w:after="0" w:line="65" w:lineRule="exact"/>
        <w:rPr>
          <w:rFonts w:ascii="Arial" w:cs="Arial" w:eastAsia="Arial" w:hAnsi="Arial"/>
          <w:sz w:val="12"/>
          <w:szCs w:val="12"/>
          <w:color w:val="auto"/>
        </w:rPr>
      </w:pPr>
    </w:p>
    <w:p>
      <w:pPr>
        <w:ind w:left="1980" w:right="1719" w:hanging="157"/>
        <w:spacing w:after="0" w:line="308"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reviewing and evaluating on an annual basis the performance of the audit committee and the audit committee charter.</w:t>
      </w:r>
    </w:p>
    <w:p>
      <w:pPr>
        <w:spacing w:after="0" w:line="52" w:lineRule="exact"/>
        <w:rPr>
          <w:sz w:val="20"/>
          <w:szCs w:val="20"/>
          <w:color w:val="auto"/>
        </w:rPr>
      </w:pPr>
    </w:p>
    <w:p>
      <w:pPr>
        <w:ind w:left="1560" w:right="1759"/>
        <w:spacing w:after="0" w:line="291" w:lineRule="auto"/>
        <w:rPr>
          <w:sz w:val="20"/>
          <w:szCs w:val="20"/>
          <w:color w:val="auto"/>
        </w:rPr>
      </w:pPr>
      <w:r>
        <w:rPr>
          <w:rFonts w:ascii="Arial" w:cs="Arial" w:eastAsia="Arial" w:hAnsi="Arial"/>
          <w:sz w:val="12"/>
          <w:szCs w:val="12"/>
          <w:color w:val="auto"/>
        </w:rPr>
        <w:t>Our board of directors has determined that Sharon Tetlow qualifies as an audit committee financial expert within the meaning of SEC regulations and meets the financial sophistication requirements of the Nasdaq</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1" w:name="page182"/>
    <w:bookmarkEnd w:id="18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2059"/>
        <w:spacing w:after="0" w:line="280" w:lineRule="auto"/>
        <w:rPr>
          <w:sz w:val="20"/>
          <w:szCs w:val="20"/>
          <w:color w:val="auto"/>
        </w:rPr>
      </w:pPr>
      <w:r>
        <w:rPr>
          <w:rFonts w:ascii="Arial" w:cs="Arial" w:eastAsia="Arial" w:hAnsi="Arial"/>
          <w:sz w:val="12"/>
          <w:szCs w:val="12"/>
          <w:color w:val="auto"/>
        </w:rPr>
        <w:t>Listing Rules. In making this determination, our board has considered Ms. Tetlow’s prior experience, business acumen and independence. Both our independent registered public accounting firm and management periodically meet privately with our audit committee.</w:t>
      </w:r>
    </w:p>
    <w:p>
      <w:pPr>
        <w:spacing w:after="0" w:line="68" w:lineRule="exact"/>
        <w:rPr>
          <w:sz w:val="20"/>
          <w:szCs w:val="20"/>
          <w:color w:val="auto"/>
        </w:rPr>
      </w:pPr>
    </w:p>
    <w:p>
      <w:pPr>
        <w:ind w:left="1560" w:right="1859"/>
        <w:spacing w:after="0" w:line="272" w:lineRule="auto"/>
        <w:rPr>
          <w:sz w:val="20"/>
          <w:szCs w:val="20"/>
          <w:color w:val="auto"/>
        </w:rPr>
      </w:pPr>
      <w:r>
        <w:rPr>
          <w:rFonts w:ascii="Arial" w:cs="Arial" w:eastAsia="Arial" w:hAnsi="Arial"/>
          <w:sz w:val="12"/>
          <w:szCs w:val="12"/>
          <w:color w:val="auto"/>
        </w:rPr>
        <w:t>We believe that the composition and functioning of our audit committee complies with all applicable requirements of the Sarbanes-Oxley Act, and all applicable SEC and Nasdaq rules and regulations. We intend to comply with future requirements to the extent they become applicable to us.</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Compensation Committee</w:t>
      </w:r>
    </w:p>
    <w:p>
      <w:pPr>
        <w:spacing w:after="0" w:line="34" w:lineRule="exact"/>
        <w:rPr>
          <w:sz w:val="20"/>
          <w:szCs w:val="20"/>
          <w:color w:val="auto"/>
        </w:rPr>
      </w:pPr>
    </w:p>
    <w:p>
      <w:pPr>
        <w:ind w:left="1560" w:right="1679"/>
        <w:spacing w:after="0" w:line="271" w:lineRule="auto"/>
        <w:rPr>
          <w:sz w:val="20"/>
          <w:szCs w:val="20"/>
          <w:color w:val="auto"/>
        </w:rPr>
      </w:pPr>
      <w:r>
        <w:rPr>
          <w:rFonts w:ascii="Arial" w:cs="Arial" w:eastAsia="Arial" w:hAnsi="Arial"/>
          <w:sz w:val="12"/>
          <w:szCs w:val="12"/>
          <w:color w:val="auto"/>
        </w:rPr>
        <w:t>Our compensation committee consists of Ramy Farid, Ph.D., Daniel Welch and Eric Dobmeier. Dr. Farid serves as the chair of our compensation committee. Our board of directors has determined that each of the members of our compensation committee satisfies the Nasdaq Stock Market independence requirements. The functions of this committee include, among other things:</w:t>
      </w:r>
    </w:p>
    <w:p>
      <w:pPr>
        <w:spacing w:after="0" w:line="25" w:lineRule="exact"/>
        <w:rPr>
          <w:sz w:val="20"/>
          <w:szCs w:val="20"/>
          <w:color w:val="auto"/>
        </w:rPr>
      </w:pPr>
    </w:p>
    <w:p>
      <w:pPr>
        <w:ind w:left="1980" w:right="1699" w:hanging="157"/>
        <w:spacing w:after="0" w:line="30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modifying and approving (or if it deems appropriate, making recommendations to the full board of directors regarding) our overall compensation strategy and policies;</w:t>
      </w:r>
    </w:p>
    <w:p>
      <w:pPr>
        <w:spacing w:after="0" w:line="3" w:lineRule="exact"/>
        <w:rPr>
          <w:rFonts w:ascii="Arial" w:cs="Arial" w:eastAsia="Arial" w:hAnsi="Arial"/>
          <w:sz w:val="12"/>
          <w:szCs w:val="12"/>
          <w:color w:val="auto"/>
        </w:rPr>
      </w:pPr>
    </w:p>
    <w:p>
      <w:pPr>
        <w:ind w:left="1980" w:right="1799" w:hanging="157"/>
        <w:spacing w:after="0" w:line="302"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approving (or if it deems appropriate, making recommendations to the full board of directors regarding) the compensation and other terms of employment of our executive officers;</w:t>
      </w:r>
    </w:p>
    <w:p>
      <w:pPr>
        <w:ind w:left="1980" w:right="1619" w:hanging="157"/>
        <w:spacing w:after="0" w:line="28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approving (or if it deems it appropriate, making recommendations to the full board of directors regarding) performance goals and objectives relevant to the compensation of our executive officers and assessing their performance against these goals and objectives;</w:t>
      </w:r>
    </w:p>
    <w:p>
      <w:pPr>
        <w:spacing w:after="0" w:line="15" w:lineRule="exact"/>
        <w:rPr>
          <w:rFonts w:ascii="Arial" w:cs="Arial" w:eastAsia="Arial" w:hAnsi="Arial"/>
          <w:sz w:val="12"/>
          <w:szCs w:val="12"/>
          <w:color w:val="auto"/>
        </w:rPr>
      </w:pPr>
    </w:p>
    <w:p>
      <w:pPr>
        <w:jc w:val="both"/>
        <w:ind w:left="1980" w:right="1679" w:hanging="157"/>
        <w:spacing w:after="0" w:line="28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6" w:lineRule="exact"/>
        <w:rPr>
          <w:rFonts w:ascii="Arial" w:cs="Arial" w:eastAsia="Arial" w:hAnsi="Arial"/>
          <w:sz w:val="12"/>
          <w:szCs w:val="12"/>
          <w:color w:val="auto"/>
        </w:rPr>
      </w:pPr>
    </w:p>
    <w:p>
      <w:pPr>
        <w:ind w:left="1980" w:right="1599" w:hanging="157"/>
        <w:spacing w:after="0" w:line="28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15" w:lineRule="exact"/>
        <w:rPr>
          <w:rFonts w:ascii="Arial" w:cs="Arial" w:eastAsia="Arial" w:hAnsi="Arial"/>
          <w:sz w:val="12"/>
          <w:szCs w:val="12"/>
          <w:color w:val="auto"/>
        </w:rPr>
      </w:pPr>
    </w:p>
    <w:p>
      <w:pPr>
        <w:ind w:left="1980" w:right="1639" w:hanging="157"/>
        <w:spacing w:after="0" w:line="302"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making recommendations to the full board of directors regarding the type and amount of compensation to be paid or awarded to our non-employee board members;</w:t>
      </w:r>
    </w:p>
    <w:p>
      <w:pPr>
        <w:jc w:val="both"/>
        <w:ind w:left="1980" w:right="1739" w:hanging="157"/>
        <w:spacing w:after="0" w:line="28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establishing policies with respect to votes by our shareholders to approve executive compensation as required by Section 14A of the Exchange Act and determining our recommendations regarding the frequency of advisory votes on executive compensation, to the extent required by law;</w:t>
      </w:r>
    </w:p>
    <w:p>
      <w:pPr>
        <w:spacing w:after="0" w:line="15" w:lineRule="exact"/>
        <w:rPr>
          <w:rFonts w:ascii="Arial" w:cs="Arial" w:eastAsia="Arial" w:hAnsi="Arial"/>
          <w:sz w:val="12"/>
          <w:szCs w:val="12"/>
          <w:color w:val="auto"/>
        </w:rPr>
      </w:pPr>
    </w:p>
    <w:p>
      <w:pPr>
        <w:ind w:left="1980" w:right="1779" w:hanging="157"/>
        <w:spacing w:after="0" w:line="30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assessing the independence of compensation consultants, legal counsel and other advisors as required by Section 10C of the Exchange Act;</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administering our equity incentive plans;</w:t>
      </w:r>
    </w:p>
    <w:p>
      <w:pPr>
        <w:spacing w:after="0" w:line="55" w:lineRule="exact"/>
        <w:rPr>
          <w:rFonts w:ascii="Arial" w:cs="Arial" w:eastAsia="Arial" w:hAnsi="Arial"/>
          <w:sz w:val="12"/>
          <w:szCs w:val="12"/>
          <w:color w:val="auto"/>
        </w:rPr>
      </w:pPr>
    </w:p>
    <w:p>
      <w:pPr>
        <w:ind w:left="1980" w:hanging="157"/>
        <w:spacing w:after="0"/>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establishing policies with respect to equity compensation arrangements;</w:t>
      </w:r>
    </w:p>
    <w:p>
      <w:pPr>
        <w:spacing w:after="0" w:line="65" w:lineRule="exact"/>
        <w:rPr>
          <w:rFonts w:ascii="Arial" w:cs="Arial" w:eastAsia="Arial" w:hAnsi="Arial"/>
          <w:sz w:val="12"/>
          <w:szCs w:val="12"/>
          <w:color w:val="auto"/>
        </w:rPr>
      </w:pPr>
    </w:p>
    <w:p>
      <w:pPr>
        <w:jc w:val="both"/>
        <w:ind w:left="1980" w:right="2119" w:hanging="157"/>
        <w:spacing w:after="0" w:line="302"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the competitiveness of our executive compensation programs and evaluating the effectiveness of our compensation policy and strategy in achieving expected benefits to us;</w:t>
      </w:r>
    </w:p>
    <w:p>
      <w:pPr>
        <w:jc w:val="both"/>
        <w:ind w:left="1980" w:right="1859" w:hanging="157"/>
        <w:spacing w:after="0" w:line="28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15" w:lineRule="exact"/>
        <w:rPr>
          <w:rFonts w:ascii="Arial" w:cs="Arial" w:eastAsia="Arial" w:hAnsi="Arial"/>
          <w:sz w:val="12"/>
          <w:szCs w:val="12"/>
          <w:color w:val="auto"/>
        </w:rPr>
      </w:pPr>
    </w:p>
    <w:p>
      <w:pPr>
        <w:ind w:left="1980" w:right="1679" w:hanging="157"/>
        <w:spacing w:after="0" w:line="28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6" w:lineRule="exact"/>
        <w:rPr>
          <w:rFonts w:ascii="Arial" w:cs="Arial" w:eastAsia="Arial" w:hAnsi="Arial"/>
          <w:sz w:val="12"/>
          <w:szCs w:val="12"/>
          <w:color w:val="auto"/>
        </w:rPr>
      </w:pPr>
    </w:p>
    <w:p>
      <w:pPr>
        <w:ind w:left="1980" w:hanging="157"/>
        <w:spacing w:after="0"/>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preparing the report that the SEC requires in our annual proxy statement (if applicable); and</w:t>
      </w:r>
    </w:p>
    <w:p>
      <w:pPr>
        <w:spacing w:after="0" w:line="65"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reviewing and assessing on an annual basis the performance of the compensation committee and the compensation committee charter.</w:t>
      </w:r>
    </w:p>
    <w:p>
      <w:pPr>
        <w:spacing w:after="0" w:line="42"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Nominating and Corporate Governance Committee</w:t>
      </w:r>
    </w:p>
    <w:p>
      <w:pPr>
        <w:spacing w:after="0" w:line="34" w:lineRule="exact"/>
        <w:rPr>
          <w:sz w:val="20"/>
          <w:szCs w:val="20"/>
          <w:color w:val="auto"/>
        </w:rPr>
      </w:pPr>
    </w:p>
    <w:p>
      <w:pPr>
        <w:ind w:left="1560" w:right="1679"/>
        <w:spacing w:after="0" w:line="272" w:lineRule="auto"/>
        <w:rPr>
          <w:sz w:val="20"/>
          <w:szCs w:val="20"/>
          <w:color w:val="auto"/>
        </w:rPr>
      </w:pPr>
      <w:r>
        <w:rPr>
          <w:rFonts w:ascii="Arial" w:cs="Arial" w:eastAsia="Arial" w:hAnsi="Arial"/>
          <w:sz w:val="12"/>
          <w:szCs w:val="12"/>
          <w:color w:val="auto"/>
        </w:rPr>
        <w:t>Our nominating and corporate governance committee consists of Daniel Welch, Sharon Tetlow and Joanne Waldstreicher, M.D. Our board of directors has determined that each of the members of this committee satisfies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2" w:name="page183"/>
    <w:bookmarkEnd w:id="18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91" w:lineRule="auto"/>
        <w:rPr>
          <w:sz w:val="20"/>
          <w:szCs w:val="20"/>
          <w:color w:val="auto"/>
        </w:rPr>
      </w:pPr>
      <w:r>
        <w:rPr>
          <w:rFonts w:ascii="Arial" w:cs="Arial" w:eastAsia="Arial" w:hAnsi="Arial"/>
          <w:sz w:val="12"/>
          <w:szCs w:val="12"/>
          <w:color w:val="auto"/>
        </w:rPr>
        <w:t>the Nasdaq Stock Market independence requirements. Mr. Welch serves as the chair of our nominating and governance committee. The functions of this committee include, among other things:</w:t>
      </w:r>
    </w:p>
    <w:p>
      <w:pPr>
        <w:spacing w:after="0" w:line="23" w:lineRule="exact"/>
        <w:rPr>
          <w:sz w:val="20"/>
          <w:szCs w:val="20"/>
          <w:color w:val="auto"/>
        </w:rPr>
      </w:pPr>
    </w:p>
    <w:p>
      <w:pPr>
        <w:ind w:left="1980" w:right="1779" w:hanging="157"/>
        <w:spacing w:after="0" w:line="308" w:lineRule="auto"/>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identifying, reviewing and evaluating candidates to serve on our board of directors consistent with criteria approved by our board of directors;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determining the minimum qualifications for service on our board of directors;</w:t>
      </w:r>
    </w:p>
    <w:p>
      <w:pPr>
        <w:spacing w:after="0" w:line="65" w:lineRule="exact"/>
        <w:rPr>
          <w:rFonts w:ascii="Arial" w:cs="Arial" w:eastAsia="Arial" w:hAnsi="Arial"/>
          <w:sz w:val="12"/>
          <w:szCs w:val="12"/>
          <w:color w:val="auto"/>
        </w:rPr>
      </w:pPr>
    </w:p>
    <w:p>
      <w:pPr>
        <w:ind w:left="1980" w:right="2199" w:hanging="157"/>
        <w:spacing w:after="0" w:line="308" w:lineRule="auto"/>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evaluating director performance on the board and applicable committees of the board and determining whether continued service on our board is appropriate;</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evaluating, nominating and recommending individuals for membership on our board of directors;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evaluating nominations by shareholders of candidates for election to our board of directors;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considering and assessing the independence of members of our board of directors;</w:t>
      </w:r>
    </w:p>
    <w:p>
      <w:pPr>
        <w:spacing w:after="0" w:line="65" w:lineRule="exact"/>
        <w:rPr>
          <w:rFonts w:ascii="Arial" w:cs="Arial" w:eastAsia="Arial" w:hAnsi="Arial"/>
          <w:sz w:val="12"/>
          <w:szCs w:val="12"/>
          <w:color w:val="auto"/>
        </w:rPr>
      </w:pPr>
    </w:p>
    <w:p>
      <w:pPr>
        <w:jc w:val="both"/>
        <w:ind w:left="1980" w:right="1859" w:hanging="157"/>
        <w:spacing w:after="0" w:line="288" w:lineRule="auto"/>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developing a set of corporate governance policies and principles, and periodically reviewing and assessing these policies and principles and their application and recommending to our board of directors any changes to such policies and principles;</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considering questions of possible conflicts of interest of directors as such questions arise; and</w:t>
      </w:r>
    </w:p>
    <w:p>
      <w:pPr>
        <w:spacing w:after="0" w:line="65"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reviewing and assessing on an annual basis the performance of the nominating and governance committee and the nominating and governance committee charter.</w:t>
      </w:r>
    </w:p>
    <w:p>
      <w:pPr>
        <w:spacing w:after="0" w:line="52"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We believe that the composition and functioning of our nominating and governance committee complies with all applicable requirements of the Sarbanes-Oxley Act, and all applicable SEC and Nasdaq rules and regulations. We intend to comply with future requirements to the extent they become applicable to us.</w:t>
      </w:r>
    </w:p>
    <w:p>
      <w:pPr>
        <w:spacing w:after="0" w:line="4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Role of the Board in Risk Oversight</w:t>
      </w:r>
    </w:p>
    <w:p>
      <w:pPr>
        <w:spacing w:after="0" w:line="65"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nominating and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7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65" w:lineRule="exact"/>
        <w:rPr>
          <w:sz w:val="20"/>
          <w:szCs w:val="20"/>
          <w:color w:val="auto"/>
        </w:rPr>
      </w:pPr>
    </w:p>
    <w:p>
      <w:pPr>
        <w:ind w:left="1560" w:right="1739"/>
        <w:spacing w:after="0" w:line="271" w:lineRule="auto"/>
        <w:rPr>
          <w:sz w:val="20"/>
          <w:szCs w:val="20"/>
          <w:color w:val="auto"/>
        </w:rPr>
      </w:pPr>
      <w:r>
        <w:rPr>
          <w:rFonts w:ascii="Arial" w:cs="Arial" w:eastAsia="Arial" w:hAnsi="Arial"/>
          <w:sz w:val="12"/>
          <w:szCs w:val="12"/>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5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Code of Business Conduct and Ethics and Corporate Governance Guidelines</w:t>
      </w:r>
    </w:p>
    <w:p>
      <w:pPr>
        <w:spacing w:after="0" w:line="65"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Prior to the completion of this offering, we will adopt a Code of Business Conduct and Ethics, which will be applicable to all of our directors, executive officers and employees, including our principal executive officer, principal financial officer and principal accounting officer. Following the completion of this offering, we will make our Code of Business Conduct and Ethics publicly available on our website at www.structuretx.com. Our Code of Business Conduct and Ethics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Business Conduct and Ethics on our website.</w:t>
      </w:r>
    </w:p>
    <w:p>
      <w:pPr>
        <w:spacing w:after="0" w:line="81"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In addition, prior to the completion of this offering, we will adopt a set of corporate governance guidelines which will reflect certain guiding principles with respect to our board’s structure, procedures and committees. The guidelines are not intended to change or interpret any applicable law, rule or regulation or our amended and restated memorandum and articles of association.</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3" w:name="page184"/>
    <w:bookmarkEnd w:id="183"/>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EXECUTIVE AND DIRECTOR COMPENSATION</w:t>
      </w:r>
    </w:p>
    <w:p>
      <w:pPr>
        <w:spacing w:after="0" w:line="253" w:lineRule="exact"/>
        <w:rPr>
          <w:sz w:val="20"/>
          <w:szCs w:val="20"/>
          <w:color w:val="auto"/>
        </w:rPr>
      </w:pPr>
    </w:p>
    <w:p>
      <w:pPr>
        <w:ind w:left="1560" w:right="1719"/>
        <w:spacing w:after="0" w:line="308" w:lineRule="auto"/>
        <w:rPr>
          <w:sz w:val="20"/>
          <w:szCs w:val="20"/>
          <w:color w:val="auto"/>
        </w:rPr>
      </w:pPr>
      <w:r>
        <w:rPr>
          <w:rFonts w:ascii="Arial" w:cs="Arial" w:eastAsia="Arial" w:hAnsi="Arial"/>
          <w:sz w:val="12"/>
          <w:szCs w:val="12"/>
          <w:color w:val="auto"/>
        </w:rPr>
        <w:t>Our named executive officers for the year ended December 31, 2022, consisting of our principal executive officer and two other most highly compensated officers serving at the end of such year, were:</w:t>
      </w:r>
    </w:p>
    <w:p>
      <w:pPr>
        <w:spacing w:after="0" w:line="4" w:lineRule="exact"/>
        <w:rPr>
          <w:sz w:val="20"/>
          <w:szCs w:val="20"/>
          <w:color w:val="auto"/>
        </w:rPr>
      </w:pPr>
    </w:p>
    <w:p>
      <w:pPr>
        <w:ind w:left="1980" w:hanging="157"/>
        <w:spacing w:after="0"/>
        <w:tabs>
          <w:tab w:leader="none" w:pos="19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Raymond Stevens, Ph.D., our Chief Executive Officer;</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Mark Bach, M.D., Ph.D., our Chief Medical Officer;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Yingli Ma, Ph.D., our Chief Technology Officer.</w:t>
      </w:r>
    </w:p>
    <w:p>
      <w:pPr>
        <w:spacing w:after="0" w:line="1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Summary Compensation Table</w:t>
      </w:r>
    </w:p>
    <w:p>
      <w:pPr>
        <w:spacing w:after="0" w:line="75" w:lineRule="exact"/>
        <w:rPr>
          <w:sz w:val="20"/>
          <w:szCs w:val="20"/>
          <w:color w:val="auto"/>
        </w:rPr>
      </w:pPr>
    </w:p>
    <w:p>
      <w:pPr>
        <w:ind w:left="1560" w:right="2119"/>
        <w:spacing w:after="0" w:line="308" w:lineRule="auto"/>
        <w:rPr>
          <w:sz w:val="20"/>
          <w:szCs w:val="20"/>
          <w:color w:val="auto"/>
        </w:rPr>
      </w:pPr>
      <w:r>
        <w:rPr>
          <w:rFonts w:ascii="Arial" w:cs="Arial" w:eastAsia="Arial" w:hAnsi="Arial"/>
          <w:sz w:val="12"/>
          <w:szCs w:val="12"/>
          <w:color w:val="auto"/>
        </w:rPr>
        <w:t>The following table presents all of the compensation awarded to or earned by or paid to our named executive officers during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401510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1510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0"/>
          <w:szCs w:val="10"/>
          <w:b w:val="1"/>
          <w:bCs w:val="1"/>
          <w:color w:val="auto"/>
        </w:rPr>
        <w:t>FISCAL</w:t>
        <w:tab/>
        <w:t>SALARY</w:t>
      </w:r>
    </w:p>
    <w:p>
      <w:pPr>
        <w:ind w:left="1560"/>
        <w:spacing w:after="0"/>
        <w:tabs>
          <w:tab w:leader="none" w:pos="4040" w:val="left"/>
        </w:tabs>
        <w:rPr>
          <w:sz w:val="20"/>
          <w:szCs w:val="20"/>
          <w:color w:val="auto"/>
        </w:rPr>
      </w:pPr>
      <w:r>
        <w:rPr>
          <w:rFonts w:ascii="Arial" w:cs="Arial" w:eastAsia="Arial" w:hAnsi="Arial"/>
          <w:sz w:val="10"/>
          <w:szCs w:val="10"/>
          <w:b w:val="1"/>
          <w:bCs w:val="1"/>
          <w:color w:val="auto"/>
        </w:rPr>
        <w:t xml:space="preserve">NAME AND PRINCIPAL POSITION </w:t>
      </w: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YEAR </w:t>
      </w:r>
      <w:r>
        <w:rPr>
          <w:rFonts w:ascii="Arial" w:cs="Arial" w:eastAsia="Arial" w:hAnsi="Arial"/>
          <w:sz w:val="19"/>
          <w:szCs w:val="19"/>
          <w:b w:val="1"/>
          <w:bCs w:val="1"/>
          <w:color w:val="auto"/>
          <w:vertAlign w:val="subscript"/>
        </w:rPr>
        <w:t>​</w:t>
      </w:r>
      <w:r>
        <w:rPr>
          <w:sz w:val="20"/>
          <w:szCs w:val="20"/>
          <w:color w:val="auto"/>
        </w:rPr>
        <w:tab/>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635</wp:posOffset>
            </wp:positionV>
            <wp:extent cx="635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635</wp:posOffset>
            </wp:positionV>
            <wp:extent cx="635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0"/>
          <w:szCs w:val="10"/>
          <w:b w:val="1"/>
          <w:bCs w:val="1"/>
          <w:color w:val="auto"/>
        </w:rPr>
        <w:t>NON-EQUITY</w:t>
      </w:r>
    </w:p>
    <w:p>
      <w:pPr>
        <w:spacing w:after="0" w:line="26" w:lineRule="exact"/>
        <w:rPr>
          <w:sz w:val="20"/>
          <w:szCs w:val="20"/>
          <w:color w:val="auto"/>
        </w:rPr>
      </w:pPr>
    </w:p>
    <w:p>
      <w:pPr>
        <w:ind w:left="480"/>
        <w:spacing w:after="0"/>
        <w:tabs>
          <w:tab w:leader="none" w:pos="2060" w:val="left"/>
        </w:tabs>
        <w:rPr>
          <w:sz w:val="20"/>
          <w:szCs w:val="20"/>
          <w:color w:val="auto"/>
        </w:rPr>
      </w:pPr>
      <w:r>
        <w:rPr>
          <w:rFonts w:ascii="Arial" w:cs="Arial" w:eastAsia="Arial" w:hAnsi="Arial"/>
          <w:sz w:val="10"/>
          <w:szCs w:val="10"/>
          <w:b w:val="1"/>
          <w:bCs w:val="1"/>
          <w:color w:val="auto"/>
        </w:rPr>
        <w:t>OPTION  INCENTIVE PLAN</w:t>
      </w:r>
      <w:r>
        <w:rPr>
          <w:sz w:val="20"/>
          <w:szCs w:val="20"/>
          <w:color w:val="auto"/>
        </w:rPr>
        <w:tab/>
      </w:r>
      <w:r>
        <w:rPr>
          <w:rFonts w:ascii="Arial" w:cs="Arial" w:eastAsia="Arial" w:hAnsi="Arial"/>
          <w:sz w:val="10"/>
          <w:szCs w:val="10"/>
          <w:b w:val="1"/>
          <w:bCs w:val="1"/>
          <w:color w:val="auto"/>
        </w:rPr>
        <w:t>ALL OTHER</w:t>
      </w:r>
    </w:p>
    <w:p>
      <w:pPr>
        <w:spacing w:after="0" w:line="20" w:lineRule="exact"/>
        <w:rPr>
          <w:sz w:val="20"/>
          <w:szCs w:val="20"/>
          <w:color w:val="auto"/>
        </w:rPr>
      </w:pPr>
    </w:p>
    <w:p>
      <w:pPr>
        <w:ind w:left="20"/>
        <w:spacing w:after="0"/>
        <w:tabs>
          <w:tab w:leader="none" w:pos="2960" w:val="left"/>
        </w:tabs>
        <w:rPr>
          <w:sz w:val="20"/>
          <w:szCs w:val="20"/>
          <w:color w:val="auto"/>
        </w:rPr>
      </w:pPr>
      <w:r>
        <w:rPr>
          <w:rFonts w:ascii="Arial" w:cs="Arial" w:eastAsia="Arial" w:hAnsi="Arial"/>
          <w:sz w:val="10"/>
          <w:szCs w:val="10"/>
          <w:b w:val="1"/>
          <w:bCs w:val="1"/>
          <w:color w:val="auto"/>
        </w:rPr>
        <w:t>BONUS AWARDS COMPENSATION COMPENSATION</w:t>
        <w:tab/>
        <w:t>TOTAL</w:t>
      </w:r>
    </w:p>
    <w:p>
      <w:pPr>
        <w:spacing w:after="0" w:line="182" w:lineRule="auto"/>
        <w:tabs>
          <w:tab w:leader="none" w:pos="140" w:val="left"/>
          <w:tab w:leader="none" w:pos="420" w:val="left"/>
          <w:tab w:leader="none" w:pos="580" w:val="left"/>
          <w:tab w:leader="none" w:pos="940" w:val="left"/>
          <w:tab w:leader="none" w:pos="1320" w:val="left"/>
          <w:tab w:leader="none" w:pos="1920" w:val="left"/>
          <w:tab w:leader="none" w:pos="2320" w:val="left"/>
          <w:tab w:leader="none" w:pos="2860" w:val="left"/>
          <w:tab w:leader="none" w:pos="3080" w:val="left"/>
          <w:tab w:leader="none" w:pos="3420" w:val="left"/>
        </w:tabs>
        <w:rPr>
          <w:sz w:val="20"/>
          <w:szCs w:val="20"/>
          <w:color w:val="auto"/>
        </w:rPr>
      </w:pPr>
      <w:r>
        <w:rPr>
          <w:rFonts w:ascii="Arial" w:cs="Arial" w:eastAsia="Arial" w:hAnsi="Arial"/>
          <w:sz w:val="17"/>
          <w:szCs w:val="17"/>
          <w:b w:val="1"/>
          <w:bCs w:val="1"/>
          <w:color w:val="auto"/>
          <w:vertAlign w:val="subscript"/>
        </w:rPr>
        <w:t>​</w:t>
      </w:r>
      <w:r>
        <w:rPr>
          <w:sz w:val="20"/>
          <w:szCs w:val="20"/>
          <w:color w:val="auto"/>
        </w:rPr>
        <w:tab/>
      </w:r>
      <w:r>
        <w:rPr>
          <w:rFonts w:ascii="Arial" w:cs="Arial" w:eastAsia="Arial" w:hAnsi="Arial"/>
          <w:sz w:val="9"/>
          <w:szCs w:val="9"/>
          <w:b w:val="1"/>
          <w:bCs w:val="1"/>
          <w:color w:val="auto"/>
        </w:rPr>
        <w:t>($)</w:t>
      </w:r>
      <w:r>
        <w:rPr>
          <w:sz w:val="20"/>
          <w:szCs w:val="20"/>
          <w:color w:val="auto"/>
        </w:rPr>
        <w:tab/>
      </w:r>
      <w:r>
        <w:rPr>
          <w:rFonts w:ascii="Arial" w:cs="Arial" w:eastAsia="Arial" w:hAnsi="Arial"/>
          <w:sz w:val="19"/>
          <w:szCs w:val="19"/>
          <w:b w:val="1"/>
          <w:bCs w:val="1"/>
          <w:color w:val="auto"/>
          <w:vertAlign w:val="subscript"/>
        </w:rPr>
        <w:t>​</w:t>
      </w:r>
      <w:r>
        <w:rPr>
          <w:sz w:val="20"/>
          <w:szCs w:val="20"/>
          <w:color w:val="auto"/>
        </w:rPr>
        <w:tab/>
      </w: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(1)</w:t>
      </w:r>
      <w:r>
        <w:rPr>
          <w:sz w:val="20"/>
          <w:szCs w:val="20"/>
          <w:color w:val="auto"/>
        </w:rPr>
        <w:tab/>
      </w:r>
      <w:r>
        <w:rPr>
          <w:rFonts w:ascii="Arial" w:cs="Arial" w:eastAsia="Arial" w:hAnsi="Arial"/>
          <w:sz w:val="19"/>
          <w:szCs w:val="19"/>
          <w:b w:val="1"/>
          <w:bCs w:val="1"/>
          <w:color w:val="auto"/>
          <w:vertAlign w:val="subscript"/>
        </w:rPr>
        <w:t>​</w:t>
      </w:r>
      <w:r>
        <w:rPr>
          <w:sz w:val="20"/>
          <w:szCs w:val="20"/>
          <w:color w:val="auto"/>
        </w:rPr>
        <w:tab/>
      </w: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(2)</w:t>
      </w:r>
      <w:r>
        <w:rPr>
          <w:sz w:val="20"/>
          <w:szCs w:val="20"/>
          <w:color w:val="auto"/>
        </w:rPr>
        <w:tab/>
      </w:r>
      <w:r>
        <w:rPr>
          <w:rFonts w:ascii="Arial" w:cs="Arial" w:eastAsia="Arial" w:hAnsi="Arial"/>
          <w:sz w:val="19"/>
          <w:szCs w:val="19"/>
          <w:b w:val="1"/>
          <w:bCs w:val="1"/>
          <w:color w:val="auto"/>
          <w:vertAlign w:val="subscript"/>
        </w:rPr>
        <w:t>​</w:t>
      </w:r>
      <w:r>
        <w:rPr>
          <w:sz w:val="20"/>
          <w:szCs w:val="20"/>
          <w:color w:val="auto"/>
        </w:rPr>
        <w:tab/>
      </w:r>
      <w:r>
        <w:rPr>
          <w:rFonts w:ascii="Arial" w:cs="Arial" w:eastAsia="Arial" w:hAnsi="Arial"/>
          <w:sz w:val="10"/>
          <w:szCs w:val="10"/>
          <w:b w:val="1"/>
          <w:bCs w:val="1"/>
          <w:color w:val="auto"/>
        </w:rPr>
        <w:t>($)</w:t>
      </w:r>
      <w:r>
        <w:rPr>
          <w:sz w:val="20"/>
          <w:szCs w:val="20"/>
          <w:color w:val="auto"/>
        </w:rPr>
        <w:tab/>
      </w:r>
      <w:r>
        <w:rPr>
          <w:rFonts w:ascii="Arial" w:cs="Arial" w:eastAsia="Arial" w:hAnsi="Arial"/>
          <w:sz w:val="19"/>
          <w:szCs w:val="19"/>
          <w:b w:val="1"/>
          <w:bCs w:val="1"/>
          <w:color w:val="auto"/>
          <w:vertAlign w:val="subscript"/>
        </w:rPr>
        <w:t>​</w:t>
      </w:r>
      <w:r>
        <w:rPr>
          <w:sz w:val="20"/>
          <w:szCs w:val="20"/>
          <w:color w:val="auto"/>
        </w:rPr>
        <w:tab/>
      </w:r>
      <w:r>
        <w:rPr>
          <w:rFonts w:ascii="Arial" w:cs="Arial" w:eastAsia="Arial" w:hAnsi="Arial"/>
          <w:sz w:val="10"/>
          <w:szCs w:val="10"/>
          <w:b w:val="1"/>
          <w:bCs w:val="1"/>
          <w:color w:val="auto"/>
        </w:rPr>
        <w:t>($)</w:t>
      </w:r>
      <w:r>
        <w:rPr>
          <w:sz w:val="20"/>
          <w:szCs w:val="20"/>
          <w:color w:val="auto"/>
        </w:rPr>
        <w:tab/>
      </w:r>
      <w:r>
        <w:rPr>
          <w:rFonts w:ascii="Arial" w:cs="Arial" w:eastAsia="Arial" w:hAnsi="Arial"/>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0</wp:posOffset>
            </wp:positionV>
            <wp:extent cx="635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0</wp:posOffset>
            </wp:positionV>
            <wp:extent cx="635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0</wp:posOffset>
            </wp:positionV>
            <wp:extent cx="635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0</wp:posOffset>
            </wp:positionV>
            <wp:extent cx="635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40" w:space="100"/>
            <w:col w:w="4579"/>
          </w:cols>
          <w:pgMar w:left="1440" w:top="109" w:right="1440" w:bottom="1440" w:gutter="0" w:footer="0" w:header="0"/>
          <w:type w:val="continuous"/>
        </w:sectPr>
      </w:pPr>
    </w:p>
    <w:tbl>
      <w:tblPr>
        <w:tblLayout w:type="fixed"/>
        <w:tblInd w:w="1560" w:type="dxa"/>
        <w:tblCellMar>
          <w:top w:w="0" w:type="dxa"/>
          <w:left w:w="0" w:type="dxa"/>
          <w:bottom w:w="0" w:type="dxa"/>
          <w:right w:w="0" w:type="dxa"/>
        </w:tblCellMar>
      </w:tblPr>
      <w:tr>
        <w:trPr>
          <w:trHeight w:val="20"/>
        </w:trPr>
        <w:tc>
          <w:tcPr>
            <w:tcW w:w="1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Raymond Stevens, Ph.D.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2022</w:t>
            </w:r>
            <w:r>
              <w:rPr>
                <w:rFonts w:ascii="Arial" w:cs="Arial" w:eastAsia="Arial" w:hAnsi="Arial"/>
                <w:sz w:val="12"/>
                <w:szCs w:val="12"/>
                <w:b w:val="1"/>
                <w:bCs w:val="1"/>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​487,333</w:t>
            </w: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82"/>
              </w:rPr>
              <w:t>—</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55"/>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247,500</w:t>
            </w: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 734,833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20"/>
                <w:szCs w:val="20"/>
                <w:color w:val="auto"/>
              </w:rPr>
            </w:pPr>
            <w:r>
              <w:rPr>
                <w:rFonts w:ascii="Arial" w:cs="Arial" w:eastAsia="Arial" w:hAnsi="Arial"/>
                <w:sz w:val="12"/>
                <w:szCs w:val="12"/>
                <w:i w:val="1"/>
                <w:iCs w:val="1"/>
                <w:color w:val="auto"/>
              </w:rPr>
              <w:t>Chief Executive Officer</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2021</w:t>
            </w:r>
            <w:r>
              <w:rPr>
                <w:rFonts w:ascii="Arial" w:cs="Arial" w:eastAsia="Arial" w:hAnsi="Arial"/>
                <w:sz w:val="12"/>
                <w:szCs w:val="12"/>
                <w:b w:val="1"/>
                <w:bCs w:val="1"/>
                <w:color w:val="auto"/>
              </w:rPr>
              <w:t>​</w:t>
            </w:r>
          </w:p>
        </w:tc>
        <w:tc>
          <w:tcPr>
            <w:tcW w:w="560" w:type="dxa"/>
            <w:vAlign w:val="bottom"/>
          </w:tcPr>
          <w:p>
            <w:pPr>
              <w:ind w:left="20"/>
              <w:spacing w:after="0"/>
              <w:rPr>
                <w:sz w:val="20"/>
                <w:szCs w:val="20"/>
                <w:color w:val="auto"/>
              </w:rPr>
            </w:pPr>
            <w:r>
              <w:rPr>
                <w:rFonts w:ascii="Arial" w:cs="Arial" w:eastAsia="Arial" w:hAnsi="Arial"/>
                <w:sz w:val="12"/>
                <w:szCs w:val="12"/>
                <w:color w:val="auto"/>
              </w:rPr>
              <w:t>​420,000</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280" w:type="dxa"/>
            <w:vAlign w:val="bottom"/>
          </w:tcPr>
          <w:p>
            <w:pPr>
              <w:ind w:left="140"/>
              <w:spacing w:after="0"/>
              <w:rPr>
                <w:sz w:val="20"/>
                <w:szCs w:val="20"/>
                <w:color w:val="auto"/>
              </w:rPr>
            </w:pPr>
            <w:r>
              <w:rPr>
                <w:rFonts w:ascii="Arial" w:cs="Arial" w:eastAsia="Arial" w:hAnsi="Arial"/>
                <w:sz w:val="12"/>
                <w:szCs w:val="12"/>
                <w:color w:val="auto"/>
                <w:w w:val="82"/>
              </w:rPr>
              <w:t>—</w:t>
            </w:r>
          </w:p>
        </w:tc>
        <w:tc>
          <w:tcPr>
            <w:tcW w:w="600" w:type="dxa"/>
            <w:vAlign w:val="bottom"/>
            <w:gridSpan w:val="3"/>
          </w:tcPr>
          <w:p>
            <w:pPr>
              <w:jc w:val="right"/>
              <w:ind w:right="55"/>
              <w:spacing w:after="0"/>
              <w:rPr>
                <w:sz w:val="20"/>
                <w:szCs w:val="20"/>
                <w:color w:val="auto"/>
              </w:rPr>
            </w:pPr>
            <w:r>
              <w:rPr>
                <w:rFonts w:ascii="Arial" w:cs="Arial" w:eastAsia="Arial" w:hAnsi="Arial"/>
                <w:sz w:val="12"/>
                <w:szCs w:val="12"/>
                <w:color w:val="auto"/>
              </w:rPr>
              <w:t>​ 377,596</w:t>
            </w:r>
            <w:r>
              <w:rPr>
                <w:rFonts w:ascii="Arial" w:cs="Arial" w:eastAsia="Arial" w:hAnsi="Arial"/>
                <w:sz w:val="12"/>
                <w:szCs w:val="12"/>
                <w:b w:val="1"/>
                <w:bCs w:val="1"/>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283,200</w:t>
            </w:r>
          </w:p>
        </w:tc>
        <w:tc>
          <w:tcPr>
            <w:tcW w:w="180" w:type="dxa"/>
            <w:vAlign w:val="bottom"/>
            <w:gridSpan w:val="2"/>
          </w:tcPr>
          <w:p>
            <w:pPr>
              <w:jc w:val="right"/>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 ​1,080,796​</w:t>
            </w:r>
          </w:p>
        </w:tc>
        <w:tc>
          <w:tcPr>
            <w:tcW w:w="0" w:type="dxa"/>
            <w:vAlign w:val="bottom"/>
          </w:tcPr>
          <w:p>
            <w:pPr>
              <w:spacing w:after="0"/>
              <w:rPr>
                <w:sz w:val="1"/>
                <w:szCs w:val="1"/>
                <w:color w:val="auto"/>
              </w:rPr>
            </w:pPr>
          </w:p>
        </w:tc>
      </w:tr>
      <w:tr>
        <w:trPr>
          <w:trHeight w:val="261"/>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Bach, M.D., Ph.D.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2022</w:t>
            </w:r>
            <w:r>
              <w:rPr>
                <w:rFonts w:ascii="Arial" w:cs="Arial" w:eastAsia="Arial" w:hAnsi="Arial"/>
                <w:sz w:val="12"/>
                <w:szCs w:val="12"/>
                <w:b w:val="1"/>
                <w:bCs w:val="1"/>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​466,375</w:t>
            </w: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82"/>
              </w:rPr>
              <w:t>—</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55"/>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149,499</w:t>
            </w: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 615,874</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20"/>
                <w:szCs w:val="20"/>
                <w:color w:val="auto"/>
              </w:rPr>
            </w:pPr>
            <w:r>
              <w:rPr>
                <w:rFonts w:ascii="Arial" w:cs="Arial" w:eastAsia="Arial" w:hAnsi="Arial"/>
                <w:sz w:val="12"/>
                <w:szCs w:val="12"/>
                <w:i w:val="1"/>
                <w:iCs w:val="1"/>
                <w:color w:val="auto"/>
              </w:rPr>
              <w:t>Chief Medical Officer</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2021</w:t>
            </w:r>
            <w:r>
              <w:rPr>
                <w:rFonts w:ascii="Arial" w:cs="Arial" w:eastAsia="Arial" w:hAnsi="Arial"/>
                <w:sz w:val="12"/>
                <w:szCs w:val="12"/>
                <w:b w:val="1"/>
                <w:bCs w:val="1"/>
                <w:color w:val="auto"/>
              </w:rPr>
              <w:t>​</w:t>
            </w:r>
          </w:p>
        </w:tc>
        <w:tc>
          <w:tcPr>
            <w:tcW w:w="560" w:type="dxa"/>
            <w:vAlign w:val="bottom"/>
          </w:tcPr>
          <w:p>
            <w:pPr>
              <w:ind w:left="20"/>
              <w:spacing w:after="0"/>
              <w:rPr>
                <w:sz w:val="20"/>
                <w:szCs w:val="20"/>
                <w:color w:val="auto"/>
              </w:rPr>
            </w:pPr>
            <w:r>
              <w:rPr>
                <w:rFonts w:ascii="Arial" w:cs="Arial" w:eastAsia="Arial" w:hAnsi="Arial"/>
                <w:sz w:val="12"/>
                <w:szCs w:val="12"/>
                <w:color w:val="auto"/>
              </w:rPr>
              <w:t>​241,288</w:t>
            </w:r>
          </w:p>
        </w:tc>
        <w:tc>
          <w:tcPr>
            <w:tcW w:w="460" w:type="dxa"/>
            <w:vAlign w:val="bottom"/>
            <w:gridSpan w:val="2"/>
          </w:tcPr>
          <w:p>
            <w:pPr>
              <w:ind w:left="20"/>
              <w:spacing w:after="0"/>
              <w:rPr>
                <w:sz w:val="20"/>
                <w:szCs w:val="20"/>
                <w:color w:val="auto"/>
              </w:rPr>
            </w:pPr>
            <w:r>
              <w:rPr>
                <w:rFonts w:ascii="Arial" w:cs="Arial" w:eastAsia="Arial" w:hAnsi="Arial"/>
                <w:sz w:val="12"/>
                <w:szCs w:val="12"/>
                <w:color w:val="auto"/>
                <w:w w:val="99"/>
              </w:rPr>
              <w:t>​ 66,000</w:t>
            </w:r>
          </w:p>
        </w:tc>
        <w:tc>
          <w:tcPr>
            <w:tcW w:w="600" w:type="dxa"/>
            <w:vAlign w:val="bottom"/>
            <w:gridSpan w:val="3"/>
          </w:tcPr>
          <w:p>
            <w:pPr>
              <w:jc w:val="right"/>
              <w:ind w:right="55"/>
              <w:spacing w:after="0"/>
              <w:rPr>
                <w:sz w:val="20"/>
                <w:szCs w:val="20"/>
                <w:color w:val="auto"/>
              </w:rPr>
            </w:pPr>
            <w:r>
              <w:rPr>
                <w:rFonts w:ascii="Arial" w:cs="Arial" w:eastAsia="Arial" w:hAnsi="Arial"/>
                <w:sz w:val="12"/>
                <w:szCs w:val="12"/>
                <w:color w:val="auto"/>
              </w:rPr>
              <w:t>​ 704,928</w:t>
            </w:r>
            <w:r>
              <w:rPr>
                <w:rFonts w:ascii="Arial" w:cs="Arial" w:eastAsia="Arial" w:hAnsi="Arial"/>
                <w:sz w:val="12"/>
                <w:szCs w:val="12"/>
                <w:b w:val="1"/>
                <w:bCs w:val="1"/>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84,206</w:t>
            </w:r>
          </w:p>
        </w:tc>
        <w:tc>
          <w:tcPr>
            <w:tcW w:w="180" w:type="dxa"/>
            <w:vAlign w:val="bottom"/>
            <w:gridSpan w:val="2"/>
          </w:tcPr>
          <w:p>
            <w:pPr>
              <w:jc w:val="right"/>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 ​1,096,422​</w:t>
            </w:r>
          </w:p>
        </w:tc>
        <w:tc>
          <w:tcPr>
            <w:tcW w:w="0" w:type="dxa"/>
            <w:vAlign w:val="bottom"/>
          </w:tcPr>
          <w:p>
            <w:pPr>
              <w:spacing w:after="0"/>
              <w:rPr>
                <w:sz w:val="1"/>
                <w:szCs w:val="1"/>
                <w:color w:val="auto"/>
              </w:rPr>
            </w:pPr>
          </w:p>
        </w:tc>
      </w:tr>
      <w:tr>
        <w:trPr>
          <w:trHeight w:val="261"/>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Yingli Ma, Ph.D.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2022</w:t>
            </w:r>
            <w:r>
              <w:rPr>
                <w:rFonts w:ascii="Arial" w:cs="Arial" w:eastAsia="Arial" w:hAnsi="Arial"/>
                <w:sz w:val="12"/>
                <w:szCs w:val="12"/>
                <w:b w:val="1"/>
                <w:bCs w:val="1"/>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​374,421</w:t>
            </w:r>
            <w:r>
              <w:rPr>
                <w:rFonts w:ascii="Arial" w:cs="Arial" w:eastAsia="Arial" w:hAnsi="Arial"/>
                <w:sz w:val="15"/>
                <w:szCs w:val="15"/>
                <w:color w:val="auto"/>
                <w:vertAlign w:val="superscript"/>
              </w:rPr>
              <w:t>(3)</w:t>
            </w:r>
            <w:r>
              <w:rPr>
                <w:rFonts w:ascii="Arial" w:cs="Arial" w:eastAsia="Arial" w:hAnsi="Arial"/>
                <w:sz w:val="12"/>
                <w:szCs w:val="12"/>
                <w:color w:val="auto"/>
              </w:rPr>
              <w:t>​</w:t>
            </w:r>
          </w:p>
        </w:tc>
        <w:tc>
          <w:tcPr>
            <w:tcW w:w="880" w:type="dxa"/>
            <w:vAlign w:val="bottom"/>
            <w:gridSpan w:val="4"/>
            <w:shd w:val="clear" w:color="auto" w:fill="CCEEFF"/>
          </w:tcPr>
          <w:p>
            <w:pPr>
              <w:jc w:val="right"/>
              <w:ind w:right="55"/>
              <w:spacing w:after="0"/>
              <w:rPr>
                <w:sz w:val="20"/>
                <w:szCs w:val="20"/>
                <w:color w:val="auto"/>
              </w:rPr>
            </w:pPr>
            <w:r>
              <w:rPr>
                <w:rFonts w:ascii="Arial" w:cs="Arial" w:eastAsia="Arial" w:hAnsi="Arial"/>
                <w:sz w:val="12"/>
                <w:szCs w:val="12"/>
                <w:color w:val="auto"/>
              </w:rPr>
              <w:t>— ​ 744,738</w:t>
            </w:r>
            <w:r>
              <w:rPr>
                <w:rFonts w:ascii="Arial" w:cs="Arial" w:eastAsia="Arial" w:hAnsi="Arial"/>
                <w:sz w:val="12"/>
                <w:szCs w:val="12"/>
                <w:b w:val="1"/>
                <w:bCs w:val="1"/>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120,117</w:t>
            </w:r>
            <w:r>
              <w:rPr>
                <w:rFonts w:ascii="Arial" w:cs="Arial" w:eastAsia="Arial" w:hAnsi="Arial"/>
                <w:sz w:val="15"/>
                <w:szCs w:val="15"/>
                <w:color w:val="auto"/>
                <w:vertAlign w:val="superscript"/>
              </w:rPr>
              <w:t>(4)</w:t>
            </w: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3,047</w:t>
            </w:r>
            <w:r>
              <w:rPr>
                <w:rFonts w:ascii="Arial" w:cs="Arial" w:eastAsia="Arial" w:hAnsi="Arial"/>
                <w:sz w:val="15"/>
                <w:szCs w:val="15"/>
                <w:color w:val="auto"/>
                <w:w w:val="99"/>
                <w:vertAlign w:val="superscript"/>
              </w:rPr>
              <w:t>(5)</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​1,242,323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Arial" w:cs="Arial" w:eastAsia="Arial" w:hAnsi="Arial"/>
                <w:sz w:val="12"/>
                <w:szCs w:val="12"/>
                <w:i w:val="1"/>
                <w:iCs w:val="1"/>
                <w:color w:val="auto"/>
              </w:rPr>
              <w:t>Chief Technology Officer</w:t>
            </w:r>
          </w:p>
        </w:tc>
        <w:tc>
          <w:tcPr>
            <w:tcW w:w="100" w:type="dxa"/>
            <w:vAlign w:val="bottom"/>
            <w:vMerge w:val="restart"/>
          </w:tcPr>
          <w:p>
            <w:pPr>
              <w:spacing w:after="0"/>
              <w:rPr>
                <w:sz w:val="20"/>
                <w:szCs w:val="20"/>
                <w:color w:val="auto"/>
              </w:rPr>
            </w:pPr>
            <w:r>
              <w:rPr>
                <w:rFonts w:ascii="Arial" w:cs="Arial" w:eastAsia="Arial" w:hAnsi="Arial"/>
                <w:sz w:val="12"/>
                <w:szCs w:val="12"/>
                <w:i w:val="1"/>
                <w:iCs w:val="1"/>
                <w:color w:val="auto"/>
              </w:rPr>
              <w:t>​​</w:t>
            </w:r>
          </w:p>
        </w:tc>
        <w:tc>
          <w:tcPr>
            <w:tcW w:w="34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w:t>
            </w:r>
          </w:p>
        </w:tc>
        <w:tc>
          <w:tcPr>
            <w:tcW w:w="56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Arial" w:cs="Arial" w:eastAsia="Arial" w:hAnsi="Arial"/>
                <w:sz w:val="12"/>
                <w:szCs w:val="12"/>
                <w:i w:val="1"/>
                <w:iCs w:val="1"/>
                <w:color w:val="auto"/>
              </w:rPr>
              <w:t>​</w:t>
            </w:r>
          </w:p>
        </w:tc>
        <w:tc>
          <w:tcPr>
            <w:tcW w:w="28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Arial" w:cs="Arial" w:eastAsia="Arial" w:hAnsi="Arial"/>
                <w:sz w:val="12"/>
                <w:szCs w:val="12"/>
                <w:i w:val="1"/>
                <w:iCs w:val="1"/>
                <w:color w:val="auto"/>
              </w:rPr>
              <w:t>​</w:t>
            </w:r>
          </w:p>
        </w:tc>
        <w:tc>
          <w:tcPr>
            <w:tcW w:w="320" w:type="dxa"/>
            <w:vAlign w:val="bottom"/>
          </w:tcPr>
          <w:p>
            <w:pPr>
              <w:spacing w:after="0"/>
              <w:rPr>
                <w:sz w:val="14"/>
                <w:szCs w:val="14"/>
                <w:color w:val="auto"/>
              </w:rPr>
            </w:pPr>
          </w:p>
        </w:tc>
        <w:tc>
          <w:tcPr>
            <w:tcW w:w="80" w:type="dxa"/>
            <w:vAlign w:val="bottom"/>
            <w:vMerge w:val="restart"/>
          </w:tcPr>
          <w:p>
            <w:pPr>
              <w:jc w:val="right"/>
              <w:ind w:right="55"/>
              <w:spacing w:after="0"/>
              <w:rPr>
                <w:sz w:val="20"/>
                <w:szCs w:val="20"/>
                <w:color w:val="auto"/>
              </w:rPr>
            </w:pPr>
            <w:r>
              <w:rPr>
                <w:rFonts w:ascii="Arial" w:cs="Arial" w:eastAsia="Arial" w:hAnsi="Arial"/>
                <w:sz w:val="1"/>
                <w:szCs w:val="1"/>
                <w:i w:val="1"/>
                <w:iCs w:val="1"/>
                <w:color w:val="auto"/>
                <w:w w:val="4294942296"/>
              </w:rPr>
              <w: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vMerge w:val="restart"/>
          </w:tcPr>
          <w:p>
            <w:pPr>
              <w:jc w:val="right"/>
              <w:ind w:right="19"/>
              <w:spacing w:after="0"/>
              <w:rPr>
                <w:sz w:val="20"/>
                <w:szCs w:val="20"/>
                <w:color w:val="auto"/>
              </w:rPr>
            </w:pPr>
            <w:r>
              <w:rPr>
                <w:rFonts w:ascii="Arial" w:cs="Arial" w:eastAsia="Arial" w:hAnsi="Arial"/>
                <w:sz w:val="12"/>
                <w:szCs w:val="12"/>
                <w:i w:val="1"/>
                <w:iCs w:val="1"/>
                <w:color w:val="auto"/>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right"/>
              <w:ind w:right="499"/>
              <w:spacing w:after="0"/>
              <w:rPr>
                <w:sz w:val="20"/>
                <w:szCs w:val="20"/>
                <w:color w:val="auto"/>
              </w:rPr>
            </w:pPr>
            <w:r>
              <w:rPr>
                <w:rFonts w:ascii="Arial" w:cs="Arial" w:eastAsia="Arial" w:hAnsi="Arial"/>
                <w:sz w:val="12"/>
                <w:szCs w:val="12"/>
                <w:i w:val="1"/>
                <w:iCs w:val="1"/>
                <w:color w:val="auto"/>
              </w:rPr>
              <w:t>​</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635</wp:posOffset>
            </wp:positionV>
            <wp:extent cx="401510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15105" cy="6350"/>
                    </a:xfrm>
                    <a:prstGeom prst="rect">
                      <a:avLst/>
                    </a:prstGeom>
                    <a:noFill/>
                  </pic:spPr>
                </pic:pic>
              </a:graphicData>
            </a:graphic>
          </wp:anchor>
        </w:drawing>
      </w:r>
    </w:p>
    <w:p>
      <w:pPr>
        <w:spacing w:after="0" w:line="17" w:lineRule="exact"/>
        <w:rPr>
          <w:sz w:val="20"/>
          <w:szCs w:val="20"/>
          <w:color w:val="auto"/>
        </w:rPr>
      </w:pPr>
    </w:p>
    <w:p>
      <w:pPr>
        <w:jc w:val="both"/>
        <w:ind w:left="1720" w:right="1679" w:hanging="155"/>
        <w:spacing w:after="0" w:line="215" w:lineRule="auto"/>
        <w:tabs>
          <w:tab w:leader="none" w:pos="1720" w:val="left"/>
        </w:tabs>
        <w:numPr>
          <w:ilvl w:val="0"/>
          <w:numId w:val="89"/>
        </w:numPr>
        <w:rPr>
          <w:rFonts w:ascii="Arial" w:cs="Arial" w:eastAsia="Arial" w:hAnsi="Arial"/>
          <w:sz w:val="14"/>
          <w:szCs w:val="14"/>
          <w:color w:val="auto"/>
          <w:vertAlign w:val="superscript"/>
        </w:rPr>
      </w:pPr>
      <w:r>
        <w:rPr>
          <w:rFonts w:ascii="Arial" w:cs="Arial" w:eastAsia="Arial" w:hAnsi="Arial"/>
          <w:sz w:val="9"/>
          <w:szCs w:val="9"/>
          <w:color w:val="auto"/>
        </w:rPr>
        <w:t>The amount disclosed represents the aggregate grant date fair value of the share option granted to our named executive officers during fiscal years 2022 and 2021, as applicable, under our 2019 Equity Incentive Plan, computed in accordance with FASB ASC Topic 718. This amount does not reflect the actual economic value that may be realized by the named executive officer.</w:t>
      </w:r>
    </w:p>
    <w:p>
      <w:pPr>
        <w:spacing w:after="0" w:line="76" w:lineRule="exact"/>
        <w:rPr>
          <w:rFonts w:ascii="Arial" w:cs="Arial" w:eastAsia="Arial" w:hAnsi="Arial"/>
          <w:sz w:val="14"/>
          <w:szCs w:val="14"/>
          <w:color w:val="auto"/>
          <w:vertAlign w:val="superscript"/>
        </w:rPr>
      </w:pPr>
    </w:p>
    <w:p>
      <w:pPr>
        <w:ind w:left="1720" w:right="1859" w:hanging="155"/>
        <w:spacing w:after="0" w:line="203" w:lineRule="auto"/>
        <w:tabs>
          <w:tab w:leader="none" w:pos="1720" w:val="left"/>
        </w:tabs>
        <w:numPr>
          <w:ilvl w:val="0"/>
          <w:numId w:val="89"/>
        </w:numPr>
        <w:rPr>
          <w:rFonts w:ascii="Arial" w:cs="Arial" w:eastAsia="Arial" w:hAnsi="Arial"/>
          <w:sz w:val="14"/>
          <w:szCs w:val="14"/>
          <w:color w:val="auto"/>
          <w:vertAlign w:val="superscript"/>
        </w:rPr>
      </w:pPr>
      <w:r>
        <w:rPr>
          <w:rFonts w:ascii="Arial" w:cs="Arial" w:eastAsia="Arial" w:hAnsi="Arial"/>
          <w:sz w:val="9"/>
          <w:szCs w:val="9"/>
          <w:color w:val="auto"/>
        </w:rPr>
        <w:t>Amounts represent the applicable named executive officer’s performance bonus earned for fiscal years 2021 and 2022, as applicable, as described below under the subsection titled “—Non-Equity Incentive Plan Compensation.”</w:t>
      </w:r>
    </w:p>
    <w:p>
      <w:pPr>
        <w:spacing w:after="0" w:line="66" w:lineRule="exact"/>
        <w:rPr>
          <w:rFonts w:ascii="Arial" w:cs="Arial" w:eastAsia="Arial" w:hAnsi="Arial"/>
          <w:sz w:val="14"/>
          <w:szCs w:val="14"/>
          <w:color w:val="auto"/>
          <w:vertAlign w:val="superscript"/>
        </w:rPr>
      </w:pPr>
    </w:p>
    <w:p>
      <w:pPr>
        <w:ind w:left="1720" w:right="1639" w:hanging="155"/>
        <w:spacing w:after="0" w:line="203" w:lineRule="auto"/>
        <w:tabs>
          <w:tab w:leader="none" w:pos="1720" w:val="left"/>
        </w:tabs>
        <w:numPr>
          <w:ilvl w:val="0"/>
          <w:numId w:val="89"/>
        </w:numPr>
        <w:rPr>
          <w:rFonts w:ascii="Arial" w:cs="Arial" w:eastAsia="Arial" w:hAnsi="Arial"/>
          <w:sz w:val="14"/>
          <w:szCs w:val="14"/>
          <w:color w:val="auto"/>
          <w:vertAlign w:val="superscript"/>
        </w:rPr>
      </w:pPr>
      <w:r>
        <w:rPr>
          <w:rFonts w:ascii="Arial" w:cs="Arial" w:eastAsia="Arial" w:hAnsi="Arial"/>
          <w:sz w:val="9"/>
          <w:szCs w:val="9"/>
          <w:color w:val="auto"/>
        </w:rPr>
        <w:t>Dr. Ma’s salary in 2022 was RMB 2,519,400. Conversion to U.S. dollars is based on the average monthly exchange rate of RMB 6.73 per U.S. dollar during fiscal year 2022.</w:t>
      </w:r>
    </w:p>
    <w:p>
      <w:pPr>
        <w:spacing w:after="0" w:line="66" w:lineRule="exact"/>
        <w:rPr>
          <w:rFonts w:ascii="Arial" w:cs="Arial" w:eastAsia="Arial" w:hAnsi="Arial"/>
          <w:sz w:val="14"/>
          <w:szCs w:val="14"/>
          <w:color w:val="auto"/>
          <w:vertAlign w:val="superscript"/>
        </w:rPr>
      </w:pPr>
    </w:p>
    <w:p>
      <w:pPr>
        <w:ind w:left="1720" w:right="1599" w:hanging="155"/>
        <w:spacing w:after="0" w:line="203" w:lineRule="auto"/>
        <w:tabs>
          <w:tab w:leader="none" w:pos="1720" w:val="left"/>
        </w:tabs>
        <w:numPr>
          <w:ilvl w:val="0"/>
          <w:numId w:val="89"/>
        </w:numPr>
        <w:rPr>
          <w:rFonts w:ascii="Arial" w:cs="Arial" w:eastAsia="Arial" w:hAnsi="Arial"/>
          <w:sz w:val="14"/>
          <w:szCs w:val="14"/>
          <w:color w:val="auto"/>
          <w:vertAlign w:val="superscript"/>
        </w:rPr>
      </w:pPr>
      <w:r>
        <w:rPr>
          <w:rFonts w:ascii="Arial" w:cs="Arial" w:eastAsia="Arial" w:hAnsi="Arial"/>
          <w:sz w:val="9"/>
          <w:szCs w:val="9"/>
          <w:color w:val="auto"/>
        </w:rPr>
        <w:t>Dr. Ma's performance bonus for fiscal year 2022 was RMB 808,244. Conversion to U.S. dollars is based on the average monthly exchange rate of RMB 6.73 per U.S. dollar during fiscal year 2022.</w:t>
      </w:r>
    </w:p>
    <w:p>
      <w:pPr>
        <w:spacing w:after="0" w:line="66" w:lineRule="exact"/>
        <w:rPr>
          <w:rFonts w:ascii="Arial" w:cs="Arial" w:eastAsia="Arial" w:hAnsi="Arial"/>
          <w:sz w:val="14"/>
          <w:szCs w:val="14"/>
          <w:color w:val="auto"/>
          <w:vertAlign w:val="superscript"/>
        </w:rPr>
      </w:pPr>
    </w:p>
    <w:p>
      <w:pPr>
        <w:ind w:left="1720" w:right="1619" w:hanging="155"/>
        <w:spacing w:after="0" w:line="203" w:lineRule="auto"/>
        <w:tabs>
          <w:tab w:leader="none" w:pos="1720" w:val="left"/>
        </w:tabs>
        <w:numPr>
          <w:ilvl w:val="0"/>
          <w:numId w:val="89"/>
        </w:numPr>
        <w:rPr>
          <w:rFonts w:ascii="Arial" w:cs="Arial" w:eastAsia="Arial" w:hAnsi="Arial"/>
          <w:sz w:val="14"/>
          <w:szCs w:val="14"/>
          <w:color w:val="auto"/>
          <w:vertAlign w:val="superscript"/>
        </w:rPr>
      </w:pPr>
      <w:r>
        <w:rPr>
          <w:rFonts w:ascii="Arial" w:cs="Arial" w:eastAsia="Arial" w:hAnsi="Arial"/>
          <w:sz w:val="9"/>
          <w:szCs w:val="9"/>
          <w:color w:val="auto"/>
        </w:rPr>
        <w:t>Amount represents transportation and meal allowances paid by us on behalf of Dr. Ma. The amount paid was RMB 20,500. Conversion to U.S. dollars is based on the average monthly exchange rate of RMB 6.73 per U.S. dollar during fiscal year 2022.</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Annual Base Salary</w:t>
      </w:r>
    </w:p>
    <w:p>
      <w:pPr>
        <w:spacing w:after="0" w:line="7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2022 annual base salary rates for our named executive officers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99"/>
              <w:spacing w:after="0"/>
              <w:rPr>
                <w:sz w:val="20"/>
                <w:szCs w:val="20"/>
                <w:color w:val="auto"/>
              </w:rPr>
            </w:pPr>
            <w:r>
              <w:rPr>
                <w:rFonts w:ascii="Arial" w:cs="Arial" w:eastAsia="Arial" w:hAnsi="Arial"/>
                <w:sz w:val="10"/>
                <w:szCs w:val="10"/>
                <w:b w:val="1"/>
                <w:bCs w:val="1"/>
                <w:color w:val="auto"/>
              </w:rPr>
              <w:t>2022 BASE</w:t>
            </w:r>
          </w:p>
        </w:tc>
      </w:tr>
      <w:tr>
        <w:trPr>
          <w:trHeight w:val="152"/>
        </w:trPr>
        <w:tc>
          <w:tcPr>
            <w:tcW w:w="494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980" w:type="dxa"/>
            <w:vAlign w:val="bottom"/>
            <w:gridSpan w:val="4"/>
          </w:tcPr>
          <w:p>
            <w:pPr>
              <w:jc w:val="right"/>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SALARY RATE</w:t>
            </w:r>
            <w:r>
              <w:rPr>
                <w:rFonts w:ascii="Arial" w:cs="Arial" w:eastAsia="Arial" w:hAnsi="Arial"/>
                <w:sz w:val="17"/>
                <w:szCs w:val="17"/>
                <w:b w:val="1"/>
                <w:bCs w:val="1"/>
                <w:color w:val="auto"/>
                <w:vertAlign w:val="subscript"/>
              </w:rPr>
              <w:t>​</w:t>
            </w:r>
          </w:p>
        </w:tc>
      </w:tr>
      <w:tr>
        <w:trPr>
          <w:trHeight w:val="20"/>
        </w:trPr>
        <w:tc>
          <w:tcPr>
            <w:tcW w:w="4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Raymond Stevens, Ph.D.</w:t>
            </w:r>
            <w:r>
              <w:rPr>
                <w:rFonts w:ascii="Arial" w:cs="Arial" w:eastAsia="Arial" w:hAnsi="Arial"/>
                <w:sz w:val="15"/>
                <w:szCs w:val="15"/>
                <w:color w:val="auto"/>
                <w:vertAlign w:val="superscript"/>
              </w:rPr>
              <w:t>(1)</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03"/>
        </w:trPr>
        <w:tc>
          <w:tcPr>
            <w:tcW w:w="4940" w:type="dxa"/>
            <w:vAlign w:val="bottom"/>
          </w:tcPr>
          <w:p>
            <w:pPr>
              <w:spacing w:after="0"/>
              <w:rPr>
                <w:sz w:val="20"/>
                <w:szCs w:val="20"/>
                <w:color w:val="auto"/>
              </w:rPr>
            </w:pPr>
            <w:r>
              <w:rPr>
                <w:rFonts w:ascii="Arial" w:cs="Arial" w:eastAsia="Arial" w:hAnsi="Arial"/>
                <w:sz w:val="12"/>
                <w:szCs w:val="12"/>
                <w:color w:val="auto"/>
              </w:rPr>
              <w:t>Mark Bach, M.D., Ph.D.</w:t>
            </w:r>
            <w:r>
              <w:rPr>
                <w:rFonts w:ascii="Arial" w:cs="Arial" w:eastAsia="Arial" w:hAnsi="Arial"/>
                <w:sz w:val="15"/>
                <w:szCs w:val="15"/>
                <w:color w:val="auto"/>
                <w:vertAlign w:val="superscript"/>
              </w:rPr>
              <w:t>(2)</w:t>
            </w:r>
          </w:p>
        </w:tc>
        <w:tc>
          <w:tcPr>
            <w:tcW w:w="380" w:type="dxa"/>
            <w:vAlign w:val="bottom"/>
            <w:gridSpan w:val="2"/>
          </w:tcPr>
          <w:p>
            <w:pPr>
              <w:jc w:val="right"/>
              <w:ind w:right="48"/>
              <w:spacing w:after="0"/>
              <w:rPr>
                <w:sz w:val="20"/>
                <w:szCs w:val="20"/>
                <w:color w:val="auto"/>
              </w:rPr>
            </w:pPr>
            <w:r>
              <w:rPr>
                <w:rFonts w:ascii="Arial" w:cs="Arial" w:eastAsia="Arial" w:hAnsi="Arial"/>
                <w:sz w:val="12"/>
                <w:szCs w:val="12"/>
                <w:color w:val="auto"/>
              </w:rPr>
              <w:t>​ ​​$</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468,650</w:t>
            </w:r>
            <w:r>
              <w:rPr>
                <w:rFonts w:ascii="Arial" w:cs="Arial" w:eastAsia="Arial" w:hAnsi="Arial"/>
                <w:sz w:val="12"/>
                <w:szCs w:val="12"/>
                <w:b w:val="1"/>
                <w:bCs w:val="1"/>
                <w:color w:val="auto"/>
              </w:rPr>
              <w:t>​</w:t>
            </w:r>
          </w:p>
        </w:tc>
      </w:tr>
      <w:tr>
        <w:trPr>
          <w:trHeight w:val="187"/>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Yingli Ma, Ph.D.</w:t>
            </w:r>
            <w:r>
              <w:rPr>
                <w:rFonts w:ascii="Arial" w:cs="Arial" w:eastAsia="Arial" w:hAnsi="Arial"/>
                <w:sz w:val="15"/>
                <w:szCs w:val="15"/>
                <w:color w:val="auto"/>
                <w:vertAlign w:val="superscript"/>
              </w:rPr>
              <w:t>(3)</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376,544</w:t>
            </w:r>
          </w:p>
        </w:tc>
        <w:tc>
          <w:tcPr>
            <w:tcW w:w="40" w:type="dxa"/>
            <w:vAlign w:val="bottom"/>
          </w:tcPr>
          <w:p>
            <w:pPr>
              <w:spacing w:after="0"/>
              <w:rPr>
                <w:sz w:val="16"/>
                <w:szCs w:val="16"/>
                <w:color w:val="auto"/>
              </w:rPr>
            </w:pPr>
          </w:p>
        </w:tc>
      </w:tr>
      <w:tr>
        <w:trPr>
          <w:trHeight w:val="152"/>
        </w:trPr>
        <w:tc>
          <w:tcPr>
            <w:tcW w:w="49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 ​​</w:t>
            </w:r>
          </w:p>
        </w:tc>
        <w:tc>
          <w:tcPr>
            <w:tcW w:w="560" w:type="dxa"/>
            <w:vAlign w:val="bottom"/>
            <w:tcBorders>
              <w:bottom w:val="single" w:sz="8" w:color="auto"/>
            </w:tcBorders>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4130675</wp:posOffset>
            </wp:positionH>
            <wp:positionV relativeFrom="paragraph">
              <wp:posOffset>-478155</wp:posOffset>
            </wp:positionV>
            <wp:extent cx="9842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8425" cy="6350"/>
                    </a:xfrm>
                    <a:prstGeom prst="rect">
                      <a:avLst/>
                    </a:prstGeom>
                    <a:noFill/>
                  </pic:spPr>
                </pic:pic>
              </a:graphicData>
            </a:graphic>
          </wp:anchor>
        </w:drawing>
      </w:r>
    </w:p>
    <w:p>
      <w:pPr>
        <w:spacing w:after="0" w:line="6" w:lineRule="exact"/>
        <w:rPr>
          <w:sz w:val="20"/>
          <w:szCs w:val="20"/>
          <w:color w:val="auto"/>
        </w:rPr>
      </w:pPr>
    </w:p>
    <w:p>
      <w:pPr>
        <w:ind w:left="1720" w:right="1739" w:hanging="155"/>
        <w:spacing w:after="0" w:line="203" w:lineRule="auto"/>
        <w:tabs>
          <w:tab w:leader="none" w:pos="1720" w:val="left"/>
        </w:tabs>
        <w:numPr>
          <w:ilvl w:val="0"/>
          <w:numId w:val="90"/>
        </w:numPr>
        <w:rPr>
          <w:rFonts w:ascii="Arial" w:cs="Arial" w:eastAsia="Arial" w:hAnsi="Arial"/>
          <w:sz w:val="14"/>
          <w:szCs w:val="14"/>
          <w:color w:val="auto"/>
          <w:vertAlign w:val="superscript"/>
        </w:rPr>
      </w:pPr>
      <w:r>
        <w:rPr>
          <w:rFonts w:ascii="Arial" w:cs="Arial" w:eastAsia="Arial" w:hAnsi="Arial"/>
          <w:sz w:val="9"/>
          <w:szCs w:val="9"/>
          <w:color w:val="auto"/>
        </w:rPr>
        <w:t>Dr. Stevens’ annual base salary rate was effective as of March 1, 2022. Dr. Stevens’ annual base salary rate was $424,000 from January 1, 2022 until February 28, 2022.</w:t>
      </w:r>
    </w:p>
    <w:p>
      <w:pPr>
        <w:spacing w:after="0" w:line="66" w:lineRule="exact"/>
        <w:rPr>
          <w:rFonts w:ascii="Arial" w:cs="Arial" w:eastAsia="Arial" w:hAnsi="Arial"/>
          <w:sz w:val="14"/>
          <w:szCs w:val="14"/>
          <w:color w:val="auto"/>
          <w:vertAlign w:val="superscript"/>
        </w:rPr>
      </w:pPr>
    </w:p>
    <w:p>
      <w:pPr>
        <w:ind w:left="1720" w:right="1679" w:hanging="155"/>
        <w:spacing w:after="0" w:line="203" w:lineRule="auto"/>
        <w:tabs>
          <w:tab w:leader="none" w:pos="1720" w:val="left"/>
        </w:tabs>
        <w:numPr>
          <w:ilvl w:val="0"/>
          <w:numId w:val="90"/>
        </w:numPr>
        <w:rPr>
          <w:rFonts w:ascii="Arial" w:cs="Arial" w:eastAsia="Arial" w:hAnsi="Arial"/>
          <w:sz w:val="14"/>
          <w:szCs w:val="14"/>
          <w:color w:val="auto"/>
          <w:vertAlign w:val="superscript"/>
        </w:rPr>
      </w:pPr>
      <w:r>
        <w:rPr>
          <w:rFonts w:ascii="Arial" w:cs="Arial" w:eastAsia="Arial" w:hAnsi="Arial"/>
          <w:sz w:val="9"/>
          <w:szCs w:val="9"/>
          <w:color w:val="auto"/>
        </w:rPr>
        <w:t>Dr. Bach’s annual base salary rate was effective as of March 1, 2022. Dr. Bach’s annual base salary rate was $455,000 from January 1, 2022 until February 28, 2022.</w:t>
      </w:r>
    </w:p>
    <w:p>
      <w:pPr>
        <w:spacing w:after="0" w:line="66" w:lineRule="exact"/>
        <w:rPr>
          <w:rFonts w:ascii="Arial" w:cs="Arial" w:eastAsia="Arial" w:hAnsi="Arial"/>
          <w:sz w:val="14"/>
          <w:szCs w:val="14"/>
          <w:color w:val="auto"/>
          <w:vertAlign w:val="superscript"/>
        </w:rPr>
      </w:pPr>
    </w:p>
    <w:p>
      <w:pPr>
        <w:ind w:left="1720" w:right="1599" w:hanging="155"/>
        <w:spacing w:after="0" w:line="215" w:lineRule="auto"/>
        <w:tabs>
          <w:tab w:leader="none" w:pos="1720" w:val="left"/>
        </w:tabs>
        <w:numPr>
          <w:ilvl w:val="0"/>
          <w:numId w:val="90"/>
        </w:numPr>
        <w:rPr>
          <w:rFonts w:ascii="Arial" w:cs="Arial" w:eastAsia="Arial" w:hAnsi="Arial"/>
          <w:sz w:val="14"/>
          <w:szCs w:val="14"/>
          <w:color w:val="auto"/>
          <w:vertAlign w:val="superscript"/>
        </w:rPr>
      </w:pPr>
      <w:r>
        <w:rPr>
          <w:rFonts w:ascii="Arial" w:cs="Arial" w:eastAsia="Arial" w:hAnsi="Arial"/>
          <w:sz w:val="9"/>
          <w:szCs w:val="9"/>
          <w:color w:val="auto"/>
        </w:rPr>
        <w:t>Dr. Ma’s annual base salary rate of RMB 2,533,680 (USD $376,544) was effective as of March 1, 2022. Previously, Dr. Ma’s annual base salary rate was RMB 2,448,000 (USD $363,810) from January 1, 2022 until February 28, 2022. All amounts reported herein were converted to U.S. dollars based on the average monthly exchange rate of RMB 6.73 per U.S. dollar during fiscal year 2022.</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184" w:name="page185"/>
    <w:bookmarkEnd w:id="18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In January 2023, based upon the recommendation of our independent compensation consultant, our board of directors approved the following base salaries for each of our named executive officers, which became effective on the date of the underwriting agreement related to this offering: Dr. Stevens, $605,000; Dr. Bach, $487,450; and Dr. Ma, RMB 2,676,930 (USD $382,420).</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Non-Equity Incentive Plan Compensation</w:t>
      </w:r>
    </w:p>
    <w:p>
      <w:pPr>
        <w:spacing w:after="0" w:line="65"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We seek to motivate and reward our executives for achievements relative to our corporate goals and expectations for each fiscal year. In 2022, Drs. Stevens, Bach and Ma were each eligible to receive an annual performance bonus based on the achievement of certain pre-established corporate performance goals determined by our board of directors (100% weighting for Dr. Stevens and 90% weighting for Drs. Bach and Ma) and, in the case of Drs. Bach and Ma, individual performance goals (10% weighting for Drs. Bach and Ma). Pursuant to the terms of his executive employment agreement, Dr. Stevens’ target bonus was equal to 33% of his annual base salary and could have been as high as 55% if the level of achievement exceeded expectations. Pursuant to the terms of his offer letter, Dr. Bach’s target bonus was equal to 35% of his annual base salary. Pursuant to the terms of the New Ma Employment Contract (as defined below under “—Agreements With Our Named Executive Officers”), Dr. Ma’s target bonus was equal to 35% of her annual base salary. In January 2023, our board of directors determined that the 2022 corporate goals were achieved at 90% overall, Dr. Stevens’ target bonus was determined to be 55% and that Drs. Bach and Ma each achieved 100% of their individual performance goals. As a result, our board of directors approved 2022 annual performance bonuses for each of our named executive officers, as reflected in the “Non-Equity Incentive Plan Compensation” column of the Summary Compensation Table above.</w:t>
      </w:r>
    </w:p>
    <w:p>
      <w:pPr>
        <w:spacing w:after="0" w:line="79" w:lineRule="exact"/>
        <w:rPr>
          <w:sz w:val="20"/>
          <w:szCs w:val="20"/>
          <w:color w:val="auto"/>
        </w:rPr>
      </w:pPr>
    </w:p>
    <w:p>
      <w:pPr>
        <w:ind w:left="1560" w:right="1679"/>
        <w:spacing w:after="0" w:line="271" w:lineRule="auto"/>
        <w:rPr>
          <w:sz w:val="20"/>
          <w:szCs w:val="20"/>
          <w:color w:val="auto"/>
        </w:rPr>
      </w:pPr>
      <w:r>
        <w:rPr>
          <w:rFonts w:ascii="Arial" w:cs="Arial" w:eastAsia="Arial" w:hAnsi="Arial"/>
          <w:sz w:val="12"/>
          <w:szCs w:val="12"/>
          <w:color w:val="auto"/>
        </w:rPr>
        <w:t>In January 2023, based upon the recommendation of our independent compensation consultant, our board of directors approved the following target bonus amounts for each of our named executive officers, expressed as a percentage of annual base salary, which became effective on the date of the underwriting agreement related to this offering: Dr. Stevens, 50%; Dr. Bach, 40%; and Dr. Ma, 40%.</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Equity-Based Incentive Awards</w:t>
      </w:r>
    </w:p>
    <w:p>
      <w:pPr>
        <w:spacing w:after="0" w:line="65" w:lineRule="exact"/>
        <w:rPr>
          <w:sz w:val="20"/>
          <w:szCs w:val="20"/>
          <w:color w:val="auto"/>
        </w:rPr>
      </w:pPr>
    </w:p>
    <w:p>
      <w:pPr>
        <w:ind w:left="1560" w:right="1779"/>
        <w:spacing w:after="0" w:line="272" w:lineRule="auto"/>
        <w:rPr>
          <w:sz w:val="20"/>
          <w:szCs w:val="20"/>
          <w:color w:val="auto"/>
        </w:rPr>
      </w:pPr>
      <w:r>
        <w:rPr>
          <w:rFonts w:ascii="Arial" w:cs="Arial" w:eastAsia="Arial" w:hAnsi="Arial"/>
          <w:sz w:val="12"/>
          <w:szCs w:val="12"/>
          <w:color w:val="auto"/>
        </w:rPr>
        <w:t>Our equity-based incentive awards are designed to align our interests and those of our shareholders with those of our employees and consultants, including our executive officers. Our board of directors or an authorized committee thereof is responsible for approving equity grants.</w:t>
      </w:r>
    </w:p>
    <w:p>
      <w:pPr>
        <w:spacing w:after="0" w:line="72"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We have generally used share options and restricted share awards as an incentive for long-term compensation to our executive officers because share options allow our executive officers to realize value from this form of equity compensation only if our share price increases, and restricted share awards align the interests of our executive officers with the interests of our shareholders generally. Certain share options that we have granted to our executive officers permit “early exercise,” whereby the executive officer can purchase shares subject to the share option prior to vesting, subject to our right of repurchase which lapses in accordance with the vesting schedule of the share option. Similarly, ordinary shares issued pursuant to restricted share awards are subject to our right of repurchase which lapses in accordance with the vesting schedule of the restricted share award.</w:t>
      </w:r>
    </w:p>
    <w:p>
      <w:pPr>
        <w:spacing w:after="0" w:line="80"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We may grant equity awards at such times as our board of directors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73"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All share options are granted with an exercise price per share that is no less than the fair market value of one ordinary share on the date of grant of such award. Our share options generally vest over a four-year period. Equity awards granted to our named executive officers may be subject to acceleration of vesting and exercisability under certain termination and change in control events, as described in more detail below under the subsections titled “—Potential Payments Upon Termination or Change in Control” and “— Employee Benefit Plans.”</w:t>
      </w:r>
    </w:p>
    <w:p>
      <w:pPr>
        <w:spacing w:after="0" w:line="79"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On January 20, 2022, in connection with Dr. Ma’s commencement of employment with us, we granted</w:t>
      </w:r>
    </w:p>
    <w:p>
      <w:pPr>
        <w:spacing w:after="0" w:line="23"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Dr. Ma a share option to purchase 400,000 ordinary shares with an exercise price of  $2.60 per share and a vesting commencement date of May 11, 2021. Dr. Ma’s share option vests as follows: one-fourth of the shares subject</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5" w:name="page186"/>
    <w:bookmarkEnd w:id="18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color w:val="auto"/>
        </w:rPr>
        <w:t>to the share option vest on the first anniversary of the vesting commencement date, and the remaining shares vest in 36 equal monthly installments thereafter, subject to Dr. Ma’s continuous service through each such vesting date.</w:t>
      </w:r>
    </w:p>
    <w:p>
      <w:pPr>
        <w:spacing w:after="0" w:line="74"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In January 2023, based upon the recommendation of our independent compensation consultant, our board of directors approved the following share options to each of our named executive officers, which will be granted under the 2023 Equity Incentive Plan, or the 2023 Plan, effective upon the execution of the underwriting agreement related to this offering: Dr. Stevens, 1,600,000 ordinary shares; Dr. Bach, 450,000 ordinary shares; and Dr. Ma, 250,000 ordinary shares. The exercise price per share of these share options will be equal to the fair market value of each ordinary share, based on the price at which the ADSs are offered by the underwriters in this offering. Each share option will vest: over four years, subject to the executive’s continuous service through each vesting date and, for Drs. Bach and Ma, subject to achievement of certain clinical milestones in the first year following grant. The options are subject to acceleration of vesting and exercisability under certain circumstances.</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Outstanding Equity Awards as of December 31, 2022</w:t>
      </w:r>
    </w:p>
    <w:p>
      <w:pPr>
        <w:spacing w:after="0" w:line="6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following table presents the outstanding equity awards held by each named executive officer as of</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97155</wp:posOffset>
            </wp:positionV>
            <wp:extent cx="415671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156710" cy="6350"/>
                    </a:xfrm>
                    <a:prstGeom prst="rect">
                      <a:avLst/>
                    </a:prstGeom>
                    <a:noFill/>
                  </pic:spPr>
                </pic:pic>
              </a:graphicData>
            </a:graphic>
          </wp:anchor>
        </w:drawing>
      </w:r>
    </w:p>
    <w:p>
      <w:pPr>
        <w:spacing w:after="0" w:line="271"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1380" w:type="dxa"/>
            <w:vAlign w:val="bottom"/>
          </w:tcPr>
          <w:p>
            <w:pPr>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rPr>
              <w:t>OPTION AWARDS</w:t>
            </w:r>
            <w:r>
              <w:rPr>
                <w:rFonts w:ascii="Arial" w:cs="Arial" w:eastAsia="Arial" w:hAnsi="Arial"/>
                <w:sz w:val="12"/>
                <w:szCs w:val="12"/>
                <w:b w:val="1"/>
                <w:bCs w:val="1"/>
                <w:color w:val="auto"/>
                <w:vertAlign w:val="superscript"/>
              </w:rPr>
              <w:t>(1)</w:t>
            </w: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0"/>
                <w:szCs w:val="10"/>
                <w:b w:val="1"/>
                <w:bCs w:val="1"/>
                <w:color w:val="auto"/>
              </w:rPr>
              <w:t>SHARE AWARDS</w:t>
            </w:r>
            <w:r>
              <w:rPr>
                <w:rFonts w:ascii="Arial" w:cs="Arial" w:eastAsia="Arial" w:hAnsi="Arial"/>
                <w:sz w:val="12"/>
                <w:szCs w:val="12"/>
                <w:b w:val="1"/>
                <w:bCs w:val="1"/>
                <w:color w:val="auto"/>
                <w:vertAlign w:val="superscript"/>
              </w:rPr>
              <w:t>(1)</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left="566"/>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11"/>
                <w:szCs w:val="11"/>
                <w:color w:val="auto"/>
              </w:rPr>
            </w:pPr>
          </w:p>
        </w:tc>
        <w:tc>
          <w:tcPr>
            <w:tcW w:w="680" w:type="dxa"/>
            <w:vAlign w:val="bottom"/>
          </w:tcPr>
          <w:p>
            <w:pPr>
              <w:jc w:val="center"/>
              <w:ind w:right="44"/>
              <w:spacing w:after="0"/>
              <w:rPr>
                <w:sz w:val="20"/>
                <w:szCs w:val="20"/>
                <w:color w:val="auto"/>
              </w:rPr>
            </w:pPr>
            <w:r>
              <w:rPr>
                <w:rFonts w:ascii="Arial" w:cs="Arial" w:eastAsia="Arial" w:hAnsi="Arial"/>
                <w:sz w:val="10"/>
                <w:szCs w:val="10"/>
                <w:b w:val="1"/>
                <w:bCs w:val="1"/>
                <w:color w:val="auto"/>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jc w:val="center"/>
              <w:ind w:left="33"/>
              <w:spacing w:after="0"/>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11"/>
                <w:szCs w:val="11"/>
                <w:color w:val="auto"/>
              </w:rPr>
            </w:pPr>
          </w:p>
        </w:tc>
        <w:tc>
          <w:tcPr>
            <w:tcW w:w="900" w:type="dxa"/>
            <w:vAlign w:val="bottom"/>
            <w:gridSpan w:val="2"/>
          </w:tcPr>
          <w:p>
            <w:pPr>
              <w:jc w:val="center"/>
              <w:ind w:right="22"/>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left="566"/>
              <w:spacing w:after="0"/>
              <w:rPr>
                <w:sz w:val="20"/>
                <w:szCs w:val="20"/>
                <w:color w:val="auto"/>
              </w:rPr>
            </w:pPr>
            <w:r>
              <w:rPr>
                <w:rFonts w:ascii="Arial" w:cs="Arial" w:eastAsia="Arial" w:hAnsi="Arial"/>
                <w:sz w:val="10"/>
                <w:szCs w:val="10"/>
                <w:b w:val="1"/>
                <w:bCs w:val="1"/>
                <w:color w:val="auto"/>
              </w:rPr>
              <w:t>SHARES OR</w:t>
            </w:r>
          </w:p>
        </w:tc>
        <w:tc>
          <w:tcPr>
            <w:tcW w:w="80" w:type="dxa"/>
            <w:vAlign w:val="bottom"/>
          </w:tcPr>
          <w:p>
            <w:pPr>
              <w:spacing w:after="0"/>
              <w:rPr>
                <w:sz w:val="11"/>
                <w:szCs w:val="11"/>
                <w:color w:val="auto"/>
              </w:rPr>
            </w:pPr>
          </w:p>
        </w:tc>
        <w:tc>
          <w:tcPr>
            <w:tcW w:w="680" w:type="dxa"/>
            <w:vAlign w:val="bottom"/>
          </w:tcPr>
          <w:p>
            <w:pPr>
              <w:jc w:val="center"/>
              <w:ind w:right="44"/>
              <w:spacing w:after="0"/>
              <w:rPr>
                <w:sz w:val="20"/>
                <w:szCs w:val="20"/>
                <w:color w:val="auto"/>
              </w:rPr>
            </w:pPr>
            <w:r>
              <w:rPr>
                <w:rFonts w:ascii="Arial" w:cs="Arial" w:eastAsia="Arial" w:hAnsi="Arial"/>
                <w:sz w:val="10"/>
                <w:szCs w:val="10"/>
                <w:b w:val="1"/>
                <w:bCs w:val="1"/>
                <w:color w:val="auto"/>
              </w:rPr>
              <w:t>VALUE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jc w:val="center"/>
              <w:ind w:left="33"/>
              <w:spacing w:after="0"/>
              <w:rPr>
                <w:sz w:val="20"/>
                <w:szCs w:val="20"/>
                <w:color w:val="auto"/>
              </w:rPr>
            </w:pPr>
            <w:r>
              <w:rPr>
                <w:rFonts w:ascii="Arial" w:cs="Arial" w:eastAsia="Arial" w:hAnsi="Arial"/>
                <w:sz w:val="10"/>
                <w:szCs w:val="10"/>
                <w:b w:val="1"/>
                <w:bCs w:val="1"/>
                <w:color w:val="auto"/>
              </w:rPr>
              <w:t>SECURITIES</w:t>
            </w:r>
          </w:p>
        </w:tc>
        <w:tc>
          <w:tcPr>
            <w:tcW w:w="120" w:type="dxa"/>
            <w:vAlign w:val="bottom"/>
          </w:tcPr>
          <w:p>
            <w:pPr>
              <w:spacing w:after="0"/>
              <w:rPr>
                <w:sz w:val="11"/>
                <w:szCs w:val="11"/>
                <w:color w:val="auto"/>
              </w:rPr>
            </w:pPr>
          </w:p>
        </w:tc>
        <w:tc>
          <w:tcPr>
            <w:tcW w:w="900" w:type="dxa"/>
            <w:vAlign w:val="bottom"/>
            <w:gridSpan w:val="2"/>
          </w:tcPr>
          <w:p>
            <w:pPr>
              <w:jc w:val="center"/>
              <w:ind w:right="22"/>
              <w:spacing w:after="0"/>
              <w:rPr>
                <w:sz w:val="20"/>
                <w:szCs w:val="20"/>
                <w:color w:val="auto"/>
              </w:rPr>
            </w:pPr>
            <w:r>
              <w:rPr>
                <w:rFonts w:ascii="Arial" w:cs="Arial" w:eastAsia="Arial" w:hAnsi="Arial"/>
                <w:sz w:val="10"/>
                <w:szCs w:val="10"/>
                <w:b w:val="1"/>
                <w:bCs w:val="1"/>
                <w:color w:val="auto"/>
              </w:rPr>
              <w:t>SECURITIES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ind w:right="24"/>
              <w:spacing w:after="0"/>
              <w:rPr>
                <w:sz w:val="20"/>
                <w:szCs w:val="20"/>
                <w:color w:val="auto"/>
              </w:rPr>
            </w:pPr>
            <w:r>
              <w:rPr>
                <w:rFonts w:ascii="Arial" w:cs="Arial" w:eastAsia="Arial" w:hAnsi="Arial"/>
                <w:sz w:val="10"/>
                <w:szCs w:val="10"/>
                <w:b w:val="1"/>
                <w:bCs w:val="1"/>
                <w:color w:val="auto"/>
              </w:rPr>
              <w:t>UNITS OF</w:t>
            </w:r>
          </w:p>
        </w:tc>
        <w:tc>
          <w:tcPr>
            <w:tcW w:w="760" w:type="dxa"/>
            <w:vAlign w:val="bottom"/>
            <w:gridSpan w:val="2"/>
          </w:tcPr>
          <w:p>
            <w:pPr>
              <w:jc w:val="center"/>
              <w:spacing w:after="0"/>
              <w:rPr>
                <w:sz w:val="20"/>
                <w:szCs w:val="20"/>
                <w:color w:val="auto"/>
              </w:rPr>
            </w:pPr>
            <w:r>
              <w:rPr>
                <w:rFonts w:ascii="Arial" w:cs="Arial" w:eastAsia="Arial" w:hAnsi="Arial"/>
                <w:sz w:val="10"/>
                <w:szCs w:val="10"/>
                <w:b w:val="1"/>
                <w:bCs w:val="1"/>
                <w:color w:val="auto"/>
              </w:rPr>
              <w:t>SHARES 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jc w:val="center"/>
              <w:ind w:left="13"/>
              <w:spacing w:after="0"/>
              <w:rPr>
                <w:sz w:val="20"/>
                <w:szCs w:val="20"/>
                <w:color w:val="auto"/>
              </w:rPr>
            </w:pPr>
            <w:r>
              <w:rPr>
                <w:rFonts w:ascii="Arial" w:cs="Arial" w:eastAsia="Arial" w:hAnsi="Arial"/>
                <w:sz w:val="10"/>
                <w:szCs w:val="10"/>
                <w:b w:val="1"/>
                <w:bCs w:val="1"/>
                <w:color w:val="auto"/>
              </w:rPr>
              <w:t>UNDERLYING</w:t>
            </w:r>
          </w:p>
        </w:tc>
        <w:tc>
          <w:tcPr>
            <w:tcW w:w="120" w:type="dxa"/>
            <w:vAlign w:val="bottom"/>
          </w:tcPr>
          <w:p>
            <w:pPr>
              <w:spacing w:after="0"/>
              <w:rPr>
                <w:sz w:val="11"/>
                <w:szCs w:val="11"/>
                <w:color w:val="auto"/>
              </w:rPr>
            </w:pPr>
          </w:p>
        </w:tc>
        <w:tc>
          <w:tcPr>
            <w:tcW w:w="900" w:type="dxa"/>
            <w:vAlign w:val="bottom"/>
            <w:gridSpan w:val="2"/>
          </w:tcPr>
          <w:p>
            <w:pPr>
              <w:jc w:val="center"/>
              <w:ind w:right="2"/>
              <w:spacing w:after="0"/>
              <w:rPr>
                <w:sz w:val="20"/>
                <w:szCs w:val="20"/>
                <w:color w:val="auto"/>
              </w:rPr>
            </w:pPr>
            <w:r>
              <w:rPr>
                <w:rFonts w:ascii="Arial" w:cs="Arial" w:eastAsia="Arial" w:hAnsi="Arial"/>
                <w:sz w:val="10"/>
                <w:szCs w:val="10"/>
                <w:b w:val="1"/>
                <w:bCs w:val="1"/>
                <w:color w:val="auto"/>
              </w:rPr>
              <w:t>UNDERLYING</w:t>
            </w:r>
          </w:p>
        </w:tc>
        <w:tc>
          <w:tcPr>
            <w:tcW w:w="8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0"/>
                <w:szCs w:val="10"/>
                <w:b w:val="1"/>
                <w:bCs w:val="1"/>
                <w:color w:val="auto"/>
              </w:rPr>
              <w:t>OPTION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ind w:right="4"/>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11"/>
                <w:szCs w:val="11"/>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rPr>
              <w:t>UNITS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3"/>
          </w:tcPr>
          <w:p>
            <w:pPr>
              <w:jc w:val="center"/>
              <w:ind w:right="2"/>
              <w:spacing w:after="0"/>
              <w:rPr>
                <w:sz w:val="20"/>
                <w:szCs w:val="20"/>
                <w:color w:val="auto"/>
              </w:rPr>
            </w:pPr>
            <w:r>
              <w:rPr>
                <w:rFonts w:ascii="Arial" w:cs="Arial" w:eastAsia="Arial" w:hAnsi="Arial"/>
                <w:sz w:val="10"/>
                <w:szCs w:val="10"/>
                <w:b w:val="1"/>
                <w:bCs w:val="1"/>
                <w:color w:val="auto"/>
              </w:rPr>
              <w:t>UNEXERCISED</w:t>
            </w:r>
          </w:p>
        </w:tc>
        <w:tc>
          <w:tcPr>
            <w:tcW w:w="900" w:type="dxa"/>
            <w:vAlign w:val="bottom"/>
            <w:gridSpan w:val="2"/>
          </w:tcPr>
          <w:p>
            <w:pPr>
              <w:jc w:val="center"/>
              <w:ind w:right="2"/>
              <w:spacing w:after="0"/>
              <w:rPr>
                <w:sz w:val="20"/>
                <w:szCs w:val="20"/>
                <w:color w:val="auto"/>
              </w:rPr>
            </w:pPr>
            <w:r>
              <w:rPr>
                <w:rFonts w:ascii="Arial" w:cs="Arial" w:eastAsia="Arial" w:hAnsi="Arial"/>
                <w:sz w:val="10"/>
                <w:szCs w:val="10"/>
                <w:b w:val="1"/>
                <w:bCs w:val="1"/>
                <w:color w:val="auto"/>
              </w:rPr>
              <w:t>UNEXERCISED</w:t>
            </w:r>
          </w:p>
        </w:tc>
        <w:tc>
          <w:tcPr>
            <w:tcW w:w="640" w:type="dxa"/>
            <w:vAlign w:val="bottom"/>
            <w:gridSpan w:val="3"/>
          </w:tcPr>
          <w:p>
            <w:pPr>
              <w:jc w:val="center"/>
              <w:spacing w:after="0"/>
              <w:rPr>
                <w:sz w:val="20"/>
                <w:szCs w:val="20"/>
                <w:color w:val="auto"/>
              </w:rPr>
            </w:pPr>
            <w:r>
              <w:rPr>
                <w:rFonts w:ascii="Arial" w:cs="Arial" w:eastAsia="Arial" w:hAnsi="Arial"/>
                <w:sz w:val="10"/>
                <w:szCs w:val="10"/>
                <w:b w:val="1"/>
                <w:bCs w:val="1"/>
                <w:color w:val="auto"/>
              </w:rPr>
              <w:t>EXERCISE</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ind w:right="24"/>
              <w:spacing w:after="0"/>
              <w:rPr>
                <w:sz w:val="20"/>
                <w:szCs w:val="20"/>
                <w:color w:val="auto"/>
              </w:rPr>
            </w:pPr>
            <w:r>
              <w:rPr>
                <w:rFonts w:ascii="Arial" w:cs="Arial" w:eastAsia="Arial" w:hAnsi="Arial"/>
                <w:sz w:val="10"/>
                <w:szCs w:val="10"/>
                <w:b w:val="1"/>
                <w:bCs w:val="1"/>
                <w:color w:val="auto"/>
              </w:rPr>
              <w:t>THAT</w:t>
            </w:r>
          </w:p>
        </w:tc>
        <w:tc>
          <w:tcPr>
            <w:tcW w:w="760" w:type="dxa"/>
            <w:vAlign w:val="bottom"/>
            <w:gridSpan w:val="2"/>
          </w:tcPr>
          <w:p>
            <w:pPr>
              <w:jc w:val="center"/>
              <w:spacing w:after="0"/>
              <w:rPr>
                <w:sz w:val="20"/>
                <w:szCs w:val="20"/>
                <w:color w:val="auto"/>
              </w:rPr>
            </w:pPr>
            <w:r>
              <w:rPr>
                <w:rFonts w:ascii="Arial" w:cs="Arial" w:eastAsia="Arial" w:hAnsi="Arial"/>
                <w:sz w:val="10"/>
                <w:szCs w:val="10"/>
                <w:b w:val="1"/>
                <w:bCs w:val="1"/>
                <w:color w:val="auto"/>
              </w:rPr>
              <w:t>STOCK THAT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ind w:right="42"/>
              <w:spacing w:after="0"/>
              <w:rPr>
                <w:sz w:val="20"/>
                <w:szCs w:val="20"/>
                <w:color w:val="auto"/>
              </w:rPr>
            </w:pPr>
            <w:r>
              <w:rPr>
                <w:rFonts w:ascii="Arial" w:cs="Arial" w:eastAsia="Arial" w:hAnsi="Arial"/>
                <w:sz w:val="10"/>
                <w:szCs w:val="10"/>
                <w:b w:val="1"/>
                <w:bCs w:val="1"/>
                <w:color w:val="auto"/>
              </w:rPr>
              <w:t>OPTIONS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162"/>
              <w:spacing w:after="0"/>
              <w:rPr>
                <w:sz w:val="20"/>
                <w:szCs w:val="20"/>
                <w:color w:val="auto"/>
              </w:rPr>
            </w:pPr>
            <w:r>
              <w:rPr>
                <w:rFonts w:ascii="Arial" w:cs="Arial" w:eastAsia="Arial" w:hAnsi="Arial"/>
                <w:sz w:val="10"/>
                <w:szCs w:val="10"/>
                <w:b w:val="1"/>
                <w:bCs w:val="1"/>
                <w:color w:val="auto"/>
              </w:rPr>
              <w:t>OPTIONS</w:t>
            </w:r>
          </w:p>
        </w:tc>
        <w:tc>
          <w:tcPr>
            <w:tcW w:w="640" w:type="dxa"/>
            <w:vAlign w:val="bottom"/>
            <w:gridSpan w:val="3"/>
          </w:tcPr>
          <w:p>
            <w:pPr>
              <w:jc w:val="center"/>
              <w:spacing w:after="0"/>
              <w:rPr>
                <w:sz w:val="20"/>
                <w:szCs w:val="20"/>
                <w:color w:val="auto"/>
              </w:rPr>
            </w:pPr>
            <w:r>
              <w:rPr>
                <w:rFonts w:ascii="Arial" w:cs="Arial" w:eastAsia="Arial" w:hAnsi="Arial"/>
                <w:sz w:val="10"/>
                <w:szCs w:val="10"/>
                <w:b w:val="1"/>
                <w:bCs w:val="1"/>
                <w:color w:val="auto"/>
              </w:rPr>
              <w:t>PRICE PER</w:t>
            </w:r>
          </w:p>
        </w:tc>
        <w:tc>
          <w:tcPr>
            <w:tcW w:w="100" w:type="dxa"/>
            <w:vAlign w:val="bottom"/>
          </w:tcPr>
          <w:p>
            <w:pPr>
              <w:spacing w:after="0"/>
              <w:rPr>
                <w:sz w:val="11"/>
                <w:szCs w:val="11"/>
                <w:color w:val="auto"/>
              </w:rPr>
            </w:pPr>
          </w:p>
        </w:tc>
        <w:tc>
          <w:tcPr>
            <w:tcW w:w="680" w:type="dxa"/>
            <w:vAlign w:val="bottom"/>
          </w:tcPr>
          <w:p>
            <w:pPr>
              <w:jc w:val="right"/>
              <w:ind w:right="146"/>
              <w:spacing w:after="0"/>
              <w:rPr>
                <w:sz w:val="20"/>
                <w:szCs w:val="20"/>
                <w:color w:val="auto"/>
              </w:rPr>
            </w:pPr>
            <w:r>
              <w:rPr>
                <w:rFonts w:ascii="Arial" w:cs="Arial" w:eastAsia="Arial" w:hAnsi="Arial"/>
                <w:sz w:val="10"/>
                <w:szCs w:val="10"/>
                <w:b w:val="1"/>
                <w:bCs w:val="1"/>
                <w:color w:val="auto"/>
              </w:rPr>
              <w:t>OPTION</w:t>
            </w:r>
          </w:p>
        </w:tc>
        <w:tc>
          <w:tcPr>
            <w:tcW w:w="640" w:type="dxa"/>
            <w:vAlign w:val="bottom"/>
          </w:tcPr>
          <w:p>
            <w:pPr>
              <w:jc w:val="center"/>
              <w:ind w:right="24"/>
              <w:spacing w:after="0"/>
              <w:rPr>
                <w:sz w:val="20"/>
                <w:szCs w:val="20"/>
                <w:color w:val="auto"/>
              </w:rPr>
            </w:pPr>
            <w:r>
              <w:rPr>
                <w:rFonts w:ascii="Arial" w:cs="Arial" w:eastAsia="Arial" w:hAnsi="Arial"/>
                <w:sz w:val="10"/>
                <w:szCs w:val="10"/>
                <w:b w:val="1"/>
                <w:bCs w:val="1"/>
                <w:color w:val="auto"/>
              </w:rPr>
              <w:t>HAVE NOT</w:t>
            </w:r>
          </w:p>
        </w:tc>
        <w:tc>
          <w:tcPr>
            <w:tcW w:w="80" w:type="dxa"/>
            <w:vAlign w:val="bottom"/>
          </w:tcPr>
          <w:p>
            <w:pPr>
              <w:spacing w:after="0"/>
              <w:rPr>
                <w:sz w:val="11"/>
                <w:szCs w:val="11"/>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rPr>
              <w:t>HAVE NOT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0"/>
                <w:szCs w:val="10"/>
                <w:b w:val="1"/>
                <w:bCs w:val="1"/>
                <w:color w:val="auto"/>
              </w:rPr>
              <w:t>GRANT</w:t>
            </w:r>
          </w:p>
        </w:tc>
        <w:tc>
          <w:tcPr>
            <w:tcW w:w="1840" w:type="dxa"/>
            <w:vAlign w:val="bottom"/>
            <w:gridSpan w:val="5"/>
          </w:tcPr>
          <w:p>
            <w:pPr>
              <w:ind w:left="60"/>
              <w:spacing w:after="0"/>
              <w:rPr>
                <w:sz w:val="20"/>
                <w:szCs w:val="20"/>
                <w:color w:val="auto"/>
              </w:rPr>
            </w:pPr>
            <w:r>
              <w:rPr>
                <w:rFonts w:ascii="Arial" w:cs="Arial" w:eastAsia="Arial" w:hAnsi="Arial"/>
                <w:sz w:val="10"/>
                <w:szCs w:val="10"/>
                <w:b w:val="1"/>
                <w:bCs w:val="1"/>
                <w:color w:val="auto"/>
              </w:rPr>
              <w:t>EXERCISABLE UNEXERCISABLE</w:t>
            </w:r>
          </w:p>
        </w:tc>
        <w:tc>
          <w:tcPr>
            <w:tcW w:w="8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0"/>
                <w:szCs w:val="10"/>
                <w:b w:val="1"/>
                <w:bCs w:val="1"/>
                <w:color w:val="auto"/>
              </w:rPr>
              <w:t>SHARE</w:t>
            </w:r>
          </w:p>
        </w:tc>
        <w:tc>
          <w:tcPr>
            <w:tcW w:w="780" w:type="dxa"/>
            <w:vAlign w:val="bottom"/>
            <w:gridSpan w:val="2"/>
          </w:tcPr>
          <w:p>
            <w:pPr>
              <w:jc w:val="right"/>
              <w:ind w:right="26"/>
              <w:spacing w:after="0"/>
              <w:rPr>
                <w:sz w:val="20"/>
                <w:szCs w:val="20"/>
                <w:color w:val="auto"/>
              </w:rPr>
            </w:pPr>
            <w:r>
              <w:rPr>
                <w:rFonts w:ascii="Arial" w:cs="Arial" w:eastAsia="Arial" w:hAnsi="Arial"/>
                <w:sz w:val="10"/>
                <w:szCs w:val="10"/>
                <w:b w:val="1"/>
                <w:bCs w:val="1"/>
                <w:color w:val="auto"/>
              </w:rPr>
              <w:t>EXPIRATION</w:t>
            </w:r>
          </w:p>
        </w:tc>
        <w:tc>
          <w:tcPr>
            <w:tcW w:w="640" w:type="dxa"/>
            <w:vAlign w:val="bottom"/>
          </w:tcPr>
          <w:p>
            <w:pPr>
              <w:jc w:val="center"/>
              <w:ind w:right="24"/>
              <w:spacing w:after="0"/>
              <w:rPr>
                <w:sz w:val="20"/>
                <w:szCs w:val="20"/>
                <w:color w:val="auto"/>
              </w:rPr>
            </w:pPr>
            <w:r>
              <w:rPr>
                <w:rFonts w:ascii="Arial" w:cs="Arial" w:eastAsia="Arial" w:hAnsi="Arial"/>
                <w:sz w:val="10"/>
                <w:szCs w:val="10"/>
                <w:b w:val="1"/>
                <w:bCs w:val="1"/>
                <w:color w:val="auto"/>
              </w:rPr>
              <w:t>VESTED</w:t>
            </w:r>
          </w:p>
        </w:tc>
        <w:tc>
          <w:tcPr>
            <w:tcW w:w="80" w:type="dxa"/>
            <w:vAlign w:val="bottom"/>
          </w:tcPr>
          <w:p>
            <w:pPr>
              <w:spacing w:after="0"/>
              <w:rPr>
                <w:sz w:val="11"/>
                <w:szCs w:val="11"/>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rPr>
              <w:t>VESTED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Borders>
              <w:bottom w:val="single" w:sz="8" w:color="auto"/>
            </w:tcBorders>
          </w:tcPr>
          <w:p>
            <w:pPr>
              <w:spacing w:after="0" w:line="152"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DATE</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0"/>
                <w:szCs w:val="10"/>
                <w:b w:val="1"/>
                <w:bCs w:val="1"/>
                <w:color w:val="auto"/>
              </w:rPr>
              <w:t>DATE</w:t>
            </w:r>
            <w:r>
              <w:rPr>
                <w:rFonts w:ascii="Arial" w:cs="Arial" w:eastAsia="Arial" w:hAnsi="Arial"/>
                <w:sz w:val="16"/>
                <w:szCs w:val="16"/>
                <w:b w:val="1"/>
                <w:bCs w:val="1"/>
                <w:color w:val="auto"/>
                <w:vertAlign w:val="subscript"/>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(3)</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57"/>
        </w:trPr>
        <w:tc>
          <w:tcPr>
            <w:tcW w:w="13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80" w:type="dxa"/>
            <w:vAlign w:val="bottom"/>
            <w:shd w:val="clear" w:color="auto" w:fill="CCEEFF"/>
          </w:tcPr>
          <w:p>
            <w:pPr>
              <w:ind w:left="40"/>
              <w:spacing w:after="0" w:line="58" w:lineRule="exact"/>
              <w:rPr>
                <w:sz w:val="20"/>
                <w:szCs w:val="20"/>
                <w:color w:val="auto"/>
              </w:rPr>
            </w:pPr>
            <w:r>
              <w:rPr>
                <w:rFonts w:ascii="Arial" w:cs="Arial" w:eastAsia="Arial" w:hAnsi="Arial"/>
                <w:sz w:val="6"/>
                <w:szCs w:val="6"/>
                <w:color w:val="auto"/>
              </w:rPr>
              <w:t>(4)</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163,641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2,454,615</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6"/>
        </w:trPr>
        <w:tc>
          <w:tcPr>
            <w:tcW w:w="208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color w:val="auto"/>
              </w:rPr>
              <w:t>Raymond Stevens, Ph.D. ​4/29/2019​ ​​</w:t>
            </w:r>
          </w:p>
        </w:tc>
        <w:tc>
          <w:tcPr>
            <w:tcW w:w="64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80" w:type="dxa"/>
            <w:vAlign w:val="bottom"/>
            <w:vMerge w:val="restart"/>
          </w:tcPr>
          <w:p>
            <w:pPr>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6"/>
                <w:szCs w:val="6"/>
                <w:color w:val="auto"/>
              </w:rPr>
            </w:pPr>
          </w:p>
        </w:tc>
        <w:tc>
          <w:tcPr>
            <w:tcW w:w="180" w:type="dxa"/>
            <w:vAlign w:val="bottom"/>
          </w:tcPr>
          <w:p>
            <w:pPr>
              <w:ind w:left="40"/>
              <w:spacing w:after="0" w:line="78" w:lineRule="exact"/>
              <w:rPr>
                <w:sz w:val="20"/>
                <w:szCs w:val="20"/>
                <w:color w:val="auto"/>
              </w:rPr>
            </w:pPr>
            <w:r>
              <w:rPr>
                <w:rFonts w:ascii="Arial" w:cs="Arial" w:eastAsia="Arial" w:hAnsi="Arial"/>
                <w:sz w:val="8"/>
                <w:szCs w:val="8"/>
                <w:color w:val="auto"/>
              </w:rPr>
              <w:t>(5)</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60"/>
              <w:spacing w:after="0"/>
              <w:rPr>
                <w:sz w:val="20"/>
                <w:szCs w:val="20"/>
                <w:color w:val="auto"/>
              </w:rPr>
            </w:pPr>
            <w:r>
              <w:rPr>
                <w:rFonts w:ascii="Arial" w:cs="Arial" w:eastAsia="Arial" w:hAnsi="Arial"/>
                <w:sz w:val="12"/>
                <w:szCs w:val="12"/>
                <w:color w:val="auto"/>
              </w:rPr>
              <w:t>0.39</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1/21/2030</w:t>
            </w:r>
            <w:r>
              <w:rPr>
                <w:rFonts w:ascii="Arial" w:cs="Arial" w:eastAsia="Arial" w:hAnsi="Arial"/>
                <w:sz w:val="12"/>
                <w:szCs w:val="12"/>
                <w:b w:val="1"/>
                <w:bCs w:val="1"/>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1380" w:type="dxa"/>
            <w:vAlign w:val="bottom"/>
            <w:vMerge w:val="continue"/>
          </w:tcPr>
          <w:p>
            <w:pPr>
              <w:spacing w:after="0"/>
              <w:rPr>
                <w:sz w:val="9"/>
                <w:szCs w:val="9"/>
                <w:color w:val="auto"/>
              </w:rPr>
            </w:pPr>
          </w:p>
        </w:tc>
        <w:tc>
          <w:tcPr>
            <w:tcW w:w="700" w:type="dxa"/>
            <w:vAlign w:val="bottom"/>
            <w:gridSpan w:val="2"/>
          </w:tcPr>
          <w:p>
            <w:pPr>
              <w:ind w:left="20"/>
              <w:spacing w:after="0" w:line="106" w:lineRule="exact"/>
              <w:rPr>
                <w:sz w:val="20"/>
                <w:szCs w:val="20"/>
                <w:color w:val="auto"/>
              </w:rPr>
            </w:pPr>
            <w:r>
              <w:rPr>
                <w:rFonts w:ascii="Arial" w:cs="Arial" w:eastAsia="Arial" w:hAnsi="Arial"/>
                <w:sz w:val="12"/>
                <w:szCs w:val="12"/>
                <w:color w:val="auto"/>
              </w:rPr>
              <w:t>​1/22/2020​ ​​</w:t>
            </w:r>
          </w:p>
        </w:tc>
        <w:tc>
          <w:tcPr>
            <w:tcW w:w="6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6"/>
                <w:szCs w:val="6"/>
                <w:color w:val="auto"/>
              </w:rPr>
            </w:pPr>
          </w:p>
        </w:tc>
        <w:tc>
          <w:tcPr>
            <w:tcW w:w="180" w:type="dxa"/>
            <w:vAlign w:val="bottom"/>
            <w:shd w:val="clear" w:color="auto" w:fill="CCEEFF"/>
          </w:tcPr>
          <w:p>
            <w:pPr>
              <w:ind w:left="40"/>
              <w:spacing w:after="0" w:line="78" w:lineRule="exact"/>
              <w:rPr>
                <w:sz w:val="20"/>
                <w:szCs w:val="20"/>
                <w:color w:val="auto"/>
              </w:rPr>
            </w:pPr>
            <w:r>
              <w:rPr>
                <w:rFonts w:ascii="Arial" w:cs="Arial" w:eastAsia="Arial" w:hAnsi="Arial"/>
                <w:sz w:val="8"/>
                <w:szCs w:val="8"/>
                <w:color w:val="auto"/>
              </w:rPr>
              <w:t>(6)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258,159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280,608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0.48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1/21/2031</w:t>
            </w:r>
            <w:r>
              <w:rPr>
                <w:rFonts w:ascii="Arial" w:cs="Arial" w:eastAsia="Arial" w:hAnsi="Arial"/>
                <w:sz w:val="12"/>
                <w:szCs w:val="12"/>
                <w:b w:val="1"/>
                <w:bCs w:val="1"/>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6"/>
        </w:trPr>
        <w:tc>
          <w:tcPr>
            <w:tcW w:w="1380" w:type="dxa"/>
            <w:vAlign w:val="bottom"/>
            <w:vMerge w:val="continue"/>
            <w:shd w:val="clear" w:color="auto" w:fill="CCEEFF"/>
          </w:tcPr>
          <w:p>
            <w:pPr>
              <w:spacing w:after="0"/>
              <w:rPr>
                <w:sz w:val="9"/>
                <w:szCs w:val="9"/>
                <w:color w:val="auto"/>
              </w:rPr>
            </w:pPr>
          </w:p>
        </w:tc>
        <w:tc>
          <w:tcPr>
            <w:tcW w:w="70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color w:val="auto"/>
              </w:rPr>
              <w:t>​1/22/2021​ ​​</w:t>
            </w:r>
          </w:p>
        </w:tc>
        <w:tc>
          <w:tcPr>
            <w:tcW w:w="64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80" w:type="dxa"/>
            <w:vAlign w:val="bottom"/>
            <w:vMerge w:val="restart"/>
          </w:tcPr>
          <w:p>
            <w:pPr>
              <w:spacing w:after="0"/>
              <w:rPr>
                <w:sz w:val="20"/>
                <w:szCs w:val="20"/>
                <w:color w:val="auto"/>
              </w:rPr>
            </w:pPr>
            <w:r>
              <w:rPr>
                <w:rFonts w:ascii="Arial" w:cs="Arial" w:eastAsia="Arial" w:hAnsi="Arial"/>
                <w:sz w:val="12"/>
                <w:szCs w:val="12"/>
                <w:color w:val="auto"/>
              </w:rPr>
              <w:t>Mark Bach, M.D., Ph.D.</w:t>
            </w:r>
          </w:p>
        </w:tc>
        <w:tc>
          <w:tcPr>
            <w:tcW w:w="520" w:type="dxa"/>
            <w:vAlign w:val="bottom"/>
          </w:tcPr>
          <w:p>
            <w:pPr>
              <w:spacing w:after="0"/>
              <w:rPr>
                <w:sz w:val="6"/>
                <w:szCs w:val="6"/>
                <w:color w:val="auto"/>
              </w:rPr>
            </w:pPr>
          </w:p>
        </w:tc>
        <w:tc>
          <w:tcPr>
            <w:tcW w:w="180" w:type="dxa"/>
            <w:vAlign w:val="bottom"/>
          </w:tcPr>
          <w:p>
            <w:pPr>
              <w:ind w:left="40"/>
              <w:spacing w:after="0" w:line="78" w:lineRule="exact"/>
              <w:rPr>
                <w:sz w:val="20"/>
                <w:szCs w:val="20"/>
                <w:color w:val="auto"/>
              </w:rPr>
            </w:pPr>
            <w:r>
              <w:rPr>
                <w:rFonts w:ascii="Arial" w:cs="Arial" w:eastAsia="Arial" w:hAnsi="Arial"/>
                <w:sz w:val="8"/>
                <w:szCs w:val="8"/>
                <w:color w:val="auto"/>
              </w:rPr>
              <w:t>(7)</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218,103</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82"/>
              <w:spacing w:after="0"/>
              <w:rPr>
                <w:sz w:val="20"/>
                <w:szCs w:val="20"/>
                <w:color w:val="auto"/>
              </w:rPr>
            </w:pPr>
            <w:r>
              <w:rPr>
                <w:rFonts w:ascii="Arial" w:cs="Arial" w:eastAsia="Arial" w:hAnsi="Arial"/>
                <w:sz w:val="12"/>
                <w:szCs w:val="12"/>
                <w:color w:val="auto"/>
              </w:rPr>
              <w:t>363,507</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60"/>
              <w:spacing w:after="0"/>
              <w:rPr>
                <w:sz w:val="20"/>
                <w:szCs w:val="20"/>
                <w:color w:val="auto"/>
              </w:rPr>
            </w:pPr>
            <w:r>
              <w:rPr>
                <w:rFonts w:ascii="Arial" w:cs="Arial" w:eastAsia="Arial" w:hAnsi="Arial"/>
                <w:sz w:val="12"/>
                <w:szCs w:val="12"/>
                <w:color w:val="auto"/>
              </w:rPr>
              <w:t>1.21</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9/22/2031</w:t>
            </w:r>
            <w:r>
              <w:rPr>
                <w:rFonts w:ascii="Arial" w:cs="Arial" w:eastAsia="Arial" w:hAnsi="Arial"/>
                <w:sz w:val="12"/>
                <w:szCs w:val="12"/>
                <w:b w:val="1"/>
                <w:bCs w:val="1"/>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1380" w:type="dxa"/>
            <w:vAlign w:val="bottom"/>
            <w:vMerge w:val="continue"/>
          </w:tcPr>
          <w:p>
            <w:pPr>
              <w:spacing w:after="0"/>
              <w:rPr>
                <w:sz w:val="9"/>
                <w:szCs w:val="9"/>
                <w:color w:val="auto"/>
              </w:rPr>
            </w:pPr>
          </w:p>
        </w:tc>
        <w:tc>
          <w:tcPr>
            <w:tcW w:w="700" w:type="dxa"/>
            <w:vAlign w:val="bottom"/>
            <w:gridSpan w:val="2"/>
          </w:tcPr>
          <w:p>
            <w:pPr>
              <w:ind w:left="20"/>
              <w:spacing w:after="0" w:line="106" w:lineRule="exact"/>
              <w:rPr>
                <w:sz w:val="20"/>
                <w:szCs w:val="20"/>
                <w:color w:val="auto"/>
              </w:rPr>
            </w:pPr>
            <w:r>
              <w:rPr>
                <w:rFonts w:ascii="Arial" w:cs="Arial" w:eastAsia="Arial" w:hAnsi="Arial"/>
                <w:sz w:val="12"/>
                <w:szCs w:val="12"/>
                <w:color w:val="auto"/>
              </w:rPr>
              <w:t>​9/23/2021​ ​​</w:t>
            </w:r>
          </w:p>
        </w:tc>
        <w:tc>
          <w:tcPr>
            <w:tcW w:w="6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Yingli Ma, Ph.D.</w:t>
            </w:r>
          </w:p>
        </w:tc>
        <w:tc>
          <w:tcPr>
            <w:tcW w:w="7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2"/>
                <w:szCs w:val="12"/>
                <w:color w:val="auto"/>
              </w:rPr>
              <w:t>​1/20/2022</w:t>
            </w:r>
            <w:r>
              <w:rPr>
                <w:rFonts w:ascii="Arial" w:cs="Arial" w:eastAsia="Arial" w:hAnsi="Arial"/>
                <w:sz w:val="15"/>
                <w:szCs w:val="15"/>
                <w:color w:val="auto"/>
                <w:vertAlign w:val="superscript"/>
              </w:rPr>
              <w:t>(8)</w:t>
            </w: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158,333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241,667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1/19/2032​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6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720" w:right="1759" w:hanging="155"/>
        <w:spacing w:after="0" w:line="203" w:lineRule="auto"/>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All of the share option and share awards were granted under the 2019 Plan, the terms of which plan is described below under “—Employee Benefit Plans—2019 Equity Incentive Plan.”</w:t>
      </w:r>
    </w:p>
    <w:p>
      <w:pPr>
        <w:spacing w:after="0" w:line="47" w:lineRule="exact"/>
        <w:rPr>
          <w:rFonts w:ascii="Arial" w:cs="Arial" w:eastAsia="Arial" w:hAnsi="Arial"/>
          <w:sz w:val="14"/>
          <w:szCs w:val="14"/>
          <w:color w:val="auto"/>
          <w:vertAlign w:val="superscript"/>
        </w:rPr>
      </w:pPr>
    </w:p>
    <w:p>
      <w:pPr>
        <w:ind w:left="1720" w:right="1799" w:hanging="155"/>
        <w:spacing w:after="0" w:line="203" w:lineRule="auto"/>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All of the share option awards were granted with a per share exercise price equal to the fair market value of ordinary shares on the date of grant, as determined in good faith by our board of directors or compensation committee.</w:t>
      </w:r>
    </w:p>
    <w:p>
      <w:pPr>
        <w:spacing w:after="0" w:line="13" w:lineRule="exact"/>
        <w:rPr>
          <w:rFonts w:ascii="Arial" w:cs="Arial" w:eastAsia="Arial" w:hAnsi="Arial"/>
          <w:sz w:val="14"/>
          <w:szCs w:val="14"/>
          <w:color w:val="auto"/>
          <w:vertAlign w:val="superscript"/>
        </w:rPr>
      </w:pPr>
    </w:p>
    <w:p>
      <w:pPr>
        <w:ind w:left="1720" w:hanging="155"/>
        <w:spacing w:after="0"/>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The market value was computed using $15.00 per share, the initial public offering price.</w:t>
      </w:r>
    </w:p>
    <w:p>
      <w:pPr>
        <w:spacing w:after="0" w:line="56" w:lineRule="exact"/>
        <w:rPr>
          <w:rFonts w:ascii="Arial" w:cs="Arial" w:eastAsia="Arial" w:hAnsi="Arial"/>
          <w:sz w:val="14"/>
          <w:szCs w:val="14"/>
          <w:color w:val="auto"/>
          <w:vertAlign w:val="superscript"/>
        </w:rPr>
      </w:pPr>
    </w:p>
    <w:p>
      <w:pPr>
        <w:ind w:left="1720" w:right="1639" w:hanging="155"/>
        <w:spacing w:after="0" w:line="226" w:lineRule="auto"/>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This restricted share award is subject to the terms of the share restriction agreement, dated April 29, 2019, with Dr. Stevens. One-fourth of the shares subject to the restricted share repurchase right vested and were released on April 29, 2020 and the remaining shares subject to the repurchase right vest and release in 36 equal monthly installments thereafter, subject to continued service through each such vesting date. In the event of a “change in control” (as​ defined in Dr. Stevens' share restriction agreement), the repurchase right will lapse and all of the then-unvested restricted shares subject to the repurchase right will automatically become fully vested.</w:t>
      </w:r>
    </w:p>
    <w:p>
      <w:pPr>
        <w:spacing w:after="0" w:line="58" w:lineRule="exact"/>
        <w:rPr>
          <w:rFonts w:ascii="Arial" w:cs="Arial" w:eastAsia="Arial" w:hAnsi="Arial"/>
          <w:sz w:val="14"/>
          <w:szCs w:val="14"/>
          <w:color w:val="auto"/>
          <w:vertAlign w:val="superscript"/>
        </w:rPr>
      </w:pPr>
    </w:p>
    <w:p>
      <w:pPr>
        <w:ind w:left="1720" w:right="1619" w:hanging="155"/>
        <w:spacing w:after="0" w:line="215" w:lineRule="auto"/>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One-fourth of the shares subject to the share option vested on May 16, 2020 and the remaining shares subject to the option vest in 36 equal monthly installments thereafter, subject to continued service through each such vesting date. The option is also subject to early exercise and is immediately exercisable as of the grant date.</w:t>
      </w:r>
    </w:p>
    <w:p>
      <w:pPr>
        <w:spacing w:after="0" w:line="13" w:lineRule="exact"/>
        <w:rPr>
          <w:rFonts w:ascii="Arial" w:cs="Arial" w:eastAsia="Arial" w:hAnsi="Arial"/>
          <w:sz w:val="14"/>
          <w:szCs w:val="14"/>
          <w:color w:val="auto"/>
          <w:vertAlign w:val="superscript"/>
        </w:rPr>
      </w:pPr>
    </w:p>
    <w:p>
      <w:pPr>
        <w:ind w:left="1720" w:hanging="155"/>
        <w:spacing w:after="0"/>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The shares subject to the share option vest in 48 equal monthly installments, subject to continued service through each such vesting date.</w:t>
      </w:r>
    </w:p>
    <w:p>
      <w:pPr>
        <w:spacing w:after="0" w:line="51" w:lineRule="exact"/>
        <w:rPr>
          <w:rFonts w:ascii="Arial" w:cs="Arial" w:eastAsia="Arial" w:hAnsi="Arial"/>
          <w:sz w:val="14"/>
          <w:szCs w:val="14"/>
          <w:color w:val="auto"/>
          <w:vertAlign w:val="superscript"/>
        </w:rPr>
      </w:pPr>
    </w:p>
    <w:p>
      <w:pPr>
        <w:ind w:left="1720" w:right="1699" w:hanging="155"/>
        <w:spacing w:after="0" w:line="198" w:lineRule="auto"/>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One-fourth of the shares subject to the share option vested on June 21, 2022 and the remaining shares subject to the option vest in 36 equal monthly installments thereafter, subject to continued service through each such vesting date.</w:t>
      </w:r>
    </w:p>
    <w:p>
      <w:pPr>
        <w:spacing w:after="0" w:line="57" w:lineRule="exact"/>
        <w:rPr>
          <w:rFonts w:ascii="Arial" w:cs="Arial" w:eastAsia="Arial" w:hAnsi="Arial"/>
          <w:sz w:val="14"/>
          <w:szCs w:val="14"/>
          <w:color w:val="auto"/>
          <w:vertAlign w:val="superscript"/>
        </w:rPr>
      </w:pPr>
    </w:p>
    <w:p>
      <w:pPr>
        <w:ind w:left="1720" w:right="1719" w:hanging="155"/>
        <w:spacing w:after="0" w:line="203" w:lineRule="auto"/>
        <w:tabs>
          <w:tab w:leader="none" w:pos="1720" w:val="left"/>
        </w:tabs>
        <w:numPr>
          <w:ilvl w:val="0"/>
          <w:numId w:val="91"/>
        </w:numPr>
        <w:rPr>
          <w:rFonts w:ascii="Arial" w:cs="Arial" w:eastAsia="Arial" w:hAnsi="Arial"/>
          <w:sz w:val="14"/>
          <w:szCs w:val="14"/>
          <w:color w:val="auto"/>
          <w:vertAlign w:val="superscript"/>
        </w:rPr>
      </w:pPr>
      <w:r>
        <w:rPr>
          <w:rFonts w:ascii="Arial" w:cs="Arial" w:eastAsia="Arial" w:hAnsi="Arial"/>
          <w:sz w:val="9"/>
          <w:szCs w:val="9"/>
          <w:color w:val="auto"/>
        </w:rPr>
        <w:t>One-fourth of the shares subject to the share option vested on May 11, 2022 and the remaining shares subject to the option vest in 36 equal monthly installments thereafter, subject to continued service through each such vesting date.</w:t>
      </w:r>
    </w:p>
    <w:p>
      <w:pPr>
        <w:spacing w:after="0" w:line="101" w:lineRule="exact"/>
        <w:rPr>
          <w:sz w:val="20"/>
          <w:szCs w:val="20"/>
          <w:color w:val="auto"/>
        </w:rPr>
      </w:pPr>
    </w:p>
    <w:p>
      <w:pPr>
        <w:ind w:left="1560" w:right="1779"/>
        <w:spacing w:after="0" w:line="288" w:lineRule="auto"/>
        <w:rPr>
          <w:sz w:val="20"/>
          <w:szCs w:val="20"/>
          <w:color w:val="auto"/>
        </w:rPr>
      </w:pPr>
      <w:r>
        <w:rPr>
          <w:rFonts w:ascii="Arial" w:cs="Arial" w:eastAsia="Arial" w:hAnsi="Arial"/>
          <w:sz w:val="12"/>
          <w:szCs w:val="12"/>
          <w:color w:val="auto"/>
        </w:rPr>
        <w:t>Share options held by certain of our named executive officers are eligible for accelerated vesting under specified circumstances. See the subsection titled “—Potential Payments Upon Termination or Change in Control” below for a description of such potential acceleration.</w:t>
      </w:r>
    </w:p>
    <w:p>
      <w:pPr>
        <w:spacing w:after="0" w:line="74"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We did not materially modify any outstanding equity awards held by our named executive officers in 2022.</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6" w:name="page187"/>
    <w:bookmarkEnd w:id="18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Emerging Growth Company Status</w:t>
      </w:r>
    </w:p>
    <w:p>
      <w:pPr>
        <w:spacing w:after="0" w:line="65"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Act.</w:t>
      </w:r>
    </w:p>
    <w:p>
      <w:pPr>
        <w:spacing w:after="0" w:line="13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Nonqualified Deferred Compensation</w:t>
      </w:r>
    </w:p>
    <w:p>
      <w:pPr>
        <w:spacing w:after="0" w:line="55"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We do not maintain nonqualified defined contribution plans or other nonqualified deferred compensation plans. Our board of directors may elect to provide our officers and other employees with nonqualified defined contribution or other nonqualified deferred compensation benefits in the future if it determines that doing so is in our best interests.</w:t>
      </w:r>
    </w:p>
    <w:p>
      <w:pPr>
        <w:spacing w:after="0" w:line="13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Employment Arrangements With Our Named Executive Officers</w:t>
      </w:r>
    </w:p>
    <w:p>
      <w:pPr>
        <w:spacing w:after="0" w:line="55"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Below are descriptions of our employment arrangements with our named executive officers. For a discussion of the severance pay and other benefits to be provided in connection with a termination of employment and/or a change in control under the arrangements with our named executive officers, see the subsection titled “—Potential Payments Upon Termination or Change in Control” below.</w:t>
      </w:r>
    </w:p>
    <w:p>
      <w:pPr>
        <w:spacing w:after="0" w:line="73"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 xml:space="preserve">Raymond Stevens, Ph.D. </w:t>
      </w:r>
      <w:r>
        <w:rPr>
          <w:rFonts w:ascii="Arial" w:cs="Arial" w:eastAsia="Arial" w:hAnsi="Arial"/>
          <w:sz w:val="12"/>
          <w:szCs w:val="12"/>
          <w:color w:val="auto"/>
        </w:rPr>
        <w:t>We entered into an executive employment agreement with Dr. Stevens in</w:t>
      </w:r>
    </w:p>
    <w:p>
      <w:pPr>
        <w:spacing w:after="0" w:line="23"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May 2019, which governs the current terms of his employment with us. The agreement has no specific term and provides for at-will employment. Pursuant to the agreement, Dr. Stevens is entitled to an annual base salary and is eligible to receive an annual performance bonus with a target equal to a pre-determined percentage of his annual base salary, based on the achievement of certain corporate and individual objectives as determined by our board of directors. Dr. Stevens’ agreement also provides for certain severance benefits which will be superseded by the Severance Plan (as defined below), as described below under “—Potential Payments Upon Termination or Change in Control.”</w:t>
      </w:r>
    </w:p>
    <w:p>
      <w:pPr>
        <w:spacing w:after="0" w:line="71"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i w:val="1"/>
          <w:iCs w:val="1"/>
          <w:color w:val="auto"/>
        </w:rPr>
        <w:t xml:space="preserve">Mark Bach, M.D., Ph.D. </w:t>
      </w:r>
      <w:r>
        <w:rPr>
          <w:rFonts w:ascii="Arial" w:cs="Arial" w:eastAsia="Arial" w:hAnsi="Arial"/>
          <w:sz w:val="12"/>
          <w:szCs w:val="12"/>
          <w:color w:val="auto"/>
        </w:rPr>
        <w:t>We entered into an offer letter with Dr. Bach in April 2021, which governs the current</w:t>
      </w:r>
      <w:r>
        <w:rPr>
          <w:rFonts w:ascii="Arial" w:cs="Arial" w:eastAsia="Arial" w:hAnsi="Arial"/>
          <w:sz w:val="12"/>
          <w:szCs w:val="12"/>
          <w:i w:val="1"/>
          <w:iCs w:val="1"/>
          <w:color w:val="auto"/>
        </w:rPr>
        <w:t xml:space="preserve"> </w:t>
      </w:r>
      <w:r>
        <w:rPr>
          <w:rFonts w:ascii="Arial" w:cs="Arial" w:eastAsia="Arial" w:hAnsi="Arial"/>
          <w:sz w:val="12"/>
          <w:szCs w:val="12"/>
          <w:color w:val="auto"/>
        </w:rPr>
        <w:t>terms of his employment with us. The agreement has no specific term and provides for at-will employment. Pursuant to the offer letter, Dr. Bach is entitled to an annual base salary and is eligible to receive an annual performance bonus with a target equal to a pre-determined percentage of his annual base salary, based on the achievement of certain corporate and individual objectives as determined by our board of directors.</w:t>
      </w:r>
    </w:p>
    <w:p>
      <w:pPr>
        <w:ind w:left="1560" w:right="1639"/>
        <w:spacing w:after="0" w:line="271" w:lineRule="auto"/>
        <w:rPr>
          <w:sz w:val="20"/>
          <w:szCs w:val="20"/>
          <w:color w:val="auto"/>
        </w:rPr>
      </w:pPr>
      <w:r>
        <w:rPr>
          <w:rFonts w:ascii="Arial" w:cs="Arial" w:eastAsia="Arial" w:hAnsi="Arial"/>
          <w:sz w:val="12"/>
          <w:szCs w:val="12"/>
          <w:color w:val="auto"/>
        </w:rPr>
        <w:t>Dr. Bach’s offer letter also provides for certain severance benefits which will be superseded by the Severance Plan, as described below under “—Potential Payments Upon Termination or Change in Control.”</w:t>
      </w:r>
    </w:p>
    <w:p>
      <w:pPr>
        <w:spacing w:after="0" w:line="73" w:lineRule="exact"/>
        <w:rPr>
          <w:sz w:val="20"/>
          <w:szCs w:val="20"/>
          <w:color w:val="auto"/>
        </w:rPr>
      </w:pPr>
    </w:p>
    <w:p>
      <w:pPr>
        <w:ind w:left="1560" w:right="1659"/>
        <w:spacing w:after="0" w:line="261" w:lineRule="auto"/>
        <w:rPr>
          <w:sz w:val="20"/>
          <w:szCs w:val="20"/>
          <w:color w:val="auto"/>
        </w:rPr>
      </w:pPr>
      <w:r>
        <w:rPr>
          <w:rFonts w:ascii="Arial" w:cs="Arial" w:eastAsia="Arial" w:hAnsi="Arial"/>
          <w:sz w:val="12"/>
          <w:szCs w:val="12"/>
          <w:i w:val="1"/>
          <w:iCs w:val="1"/>
          <w:color w:val="auto"/>
        </w:rPr>
        <w:t>Yingli Ma, Ph.D</w:t>
      </w:r>
      <w:r>
        <w:rPr>
          <w:rFonts w:ascii="Arial" w:cs="Arial" w:eastAsia="Arial" w:hAnsi="Arial"/>
          <w:sz w:val="12"/>
          <w:szCs w:val="12"/>
          <w:color w:val="auto"/>
        </w:rPr>
        <w:t>. We entered into a new employment contract with Dr. Ma in November 2022 in connection</w:t>
      </w:r>
      <w:r>
        <w:rPr>
          <w:rFonts w:ascii="Arial" w:cs="Arial" w:eastAsia="Arial" w:hAnsi="Arial"/>
          <w:sz w:val="12"/>
          <w:szCs w:val="12"/>
          <w:i w:val="1"/>
          <w:iCs w:val="1"/>
          <w:color w:val="auto"/>
        </w:rPr>
        <w:t xml:space="preserve"> </w:t>
      </w:r>
      <w:r>
        <w:rPr>
          <w:rFonts w:ascii="Arial" w:cs="Arial" w:eastAsia="Arial" w:hAnsi="Arial"/>
          <w:sz w:val="12"/>
          <w:szCs w:val="12"/>
          <w:color w:val="auto"/>
        </w:rPr>
        <w:t>with her appointment to serve as our Chief Technology Officer (referred to herein as the New Ma Employment Contract), which governs the current terms of her employment with us and which superseded and replaced the original employment contract we entered into with Dr. Ma in May 2021 (referred to herein as the Original Ma Employment Contract). Under the New Ma Employment Contract, Dr. Ma’s term of employment is for a fixed term, beginning on November 1, 2022 and ending on May 10, 2024. Pursuant to the New Ma Employment Contract, Dr. Ma is entitled to an annual base salary and is eligible to receive an annual performance bonus with a target equal to a pre-determined percentage of her annual base salary, based on the achievement of certain corporate and individual objectives as determined by our board of directors. In addition, on January 20, 2022, pursuant to the terms of the Original Ma Employment Contract, Dr. Ma was granted an initial share option to purchase 400,000 ordinary shares, as further described above under “—Equity-Based Incentive Awards.” The New Ma Employment Contract also provides for certain notice requirements, in accordance with applicable law.</w:t>
      </w:r>
    </w:p>
    <w:p>
      <w:pPr>
        <w:spacing w:after="0" w:line="1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Potential Payments Upon Termination or Change in Control</w:t>
      </w:r>
    </w:p>
    <w:p>
      <w:pPr>
        <w:spacing w:after="0" w:line="55" w:lineRule="exact"/>
        <w:rPr>
          <w:sz w:val="20"/>
          <w:szCs w:val="20"/>
          <w:color w:val="auto"/>
        </w:rPr>
      </w:pPr>
    </w:p>
    <w:p>
      <w:pPr>
        <w:ind w:left="1560" w:right="1739"/>
        <w:spacing w:after="0" w:line="270" w:lineRule="auto"/>
        <w:rPr>
          <w:sz w:val="20"/>
          <w:szCs w:val="20"/>
          <w:color w:val="auto"/>
        </w:rPr>
      </w:pPr>
      <w:r>
        <w:rPr>
          <w:rFonts w:ascii="Arial" w:cs="Arial" w:eastAsia="Arial" w:hAnsi="Arial"/>
          <w:sz w:val="12"/>
          <w:szCs w:val="12"/>
          <w:color w:val="auto"/>
        </w:rPr>
        <w:t>Regardless of the manner in which a named executive officer’s service terminates, each named executive officer is entitled to receive amounts earned during his or her term of service, such as unpaid salary, as applicable. In addition, Drs. Stevens and Bach are entitled to certain severance benefits under their executive employment agreement and offer letter, respectively, subject to their execution of a release of claims, return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7" w:name="page188"/>
    <w:bookmarkEnd w:id="18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of all company property, compliance with post-termination obligations and resignation from all positions with us; such benefits will be superseded by the Severance Plan, as described below. Dr. Ma, a PRC citizen, is subject to certain notice requirements, as described below.</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Employment Arrangements</w:t>
      </w:r>
    </w:p>
    <w:p>
      <w:pPr>
        <w:spacing w:after="0" w:line="34" w:lineRule="exact"/>
        <w:rPr>
          <w:sz w:val="20"/>
          <w:szCs w:val="20"/>
          <w:color w:val="auto"/>
        </w:rPr>
      </w:pPr>
    </w:p>
    <w:p>
      <w:pPr>
        <w:ind w:left="1560" w:right="1679"/>
        <w:spacing w:after="0" w:line="261" w:lineRule="auto"/>
        <w:rPr>
          <w:sz w:val="20"/>
          <w:szCs w:val="20"/>
          <w:color w:val="auto"/>
        </w:rPr>
      </w:pPr>
      <w:r>
        <w:rPr>
          <w:rFonts w:ascii="Arial" w:cs="Arial" w:eastAsia="Arial" w:hAnsi="Arial"/>
          <w:sz w:val="12"/>
          <w:szCs w:val="12"/>
          <w:color w:val="auto"/>
        </w:rPr>
        <w:t>Dr. Stevens’ executive employment agreement and Dr. Bach’s offer letter each provide that, if the named executive officer’s employment is terminated by us without “cause”(other than as a result of death or disability) or if the named executive officer resigns for “good reason” ​(each as defined in their respective executive employment agreement or offer letter, as applicable) outside of the “change in control period” ​(as defined below), he will be entitled to receive (i) continued payment of his then-current base salary for</w:t>
      </w:r>
    </w:p>
    <w:p>
      <w:pPr>
        <w:ind w:left="1560" w:right="1679"/>
        <w:spacing w:after="0" w:line="262" w:lineRule="auto"/>
        <w:rPr>
          <w:sz w:val="20"/>
          <w:szCs w:val="20"/>
          <w:color w:val="auto"/>
        </w:rPr>
      </w:pPr>
      <w:r>
        <w:rPr>
          <w:rFonts w:ascii="Arial" w:cs="Arial" w:eastAsia="Arial" w:hAnsi="Arial"/>
          <w:sz w:val="12"/>
          <w:szCs w:val="12"/>
          <w:color w:val="auto"/>
        </w:rPr>
        <w:t>six months, (ii) for Dr. Stevens only, 50% of his annual bonus target for the year in which his involuntary termination occurs, (iii) payment for the preceding calendar year’s annual bonus payment if the termination or resignation occurred prior to the receipt of such preceding calendar year’s annual bonus payment (any such bonus payment referred to herein as the prior year bonus), (iv) premiums for COBRA continuation health coverage for up to six months, and (v) the unvested equity awards then held by named executive officer will accelerate vesting as if he had provided an additional six months of continued services following the date of separation.</w:t>
      </w:r>
    </w:p>
    <w:p>
      <w:pPr>
        <w:spacing w:after="0" w:line="80"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In addition, pursuant to Dr. Stevens’ executive employment agreement and Dr. Bach’s offer letter, in the</w:t>
      </w:r>
    </w:p>
    <w:p>
      <w:pPr>
        <w:spacing w:after="0" w:line="19" w:lineRule="exact"/>
        <w:rPr>
          <w:sz w:val="20"/>
          <w:szCs w:val="20"/>
          <w:color w:val="auto"/>
        </w:rPr>
      </w:pPr>
    </w:p>
    <w:p>
      <w:pPr>
        <w:ind w:left="1560" w:right="1639"/>
        <w:spacing w:after="0" w:line="260" w:lineRule="auto"/>
        <w:rPr>
          <w:sz w:val="20"/>
          <w:szCs w:val="20"/>
          <w:color w:val="auto"/>
        </w:rPr>
      </w:pPr>
      <w:r>
        <w:rPr>
          <w:rFonts w:ascii="Arial" w:cs="Arial" w:eastAsia="Arial" w:hAnsi="Arial"/>
          <w:sz w:val="12"/>
          <w:szCs w:val="12"/>
          <w:color w:val="auto"/>
        </w:rPr>
        <w:t>event their employment is terminated by us without “cause” (other​ than as a result of death or disability) or they resign for “good reason” ​(each as defined in their respective executive employment agreement or offer letter, as applicable) either three months prior to or within 12 months immediately following the consummation of a change in control (such period referred to herein as the change in control period), in lieu of the severance described above, they will be entitled to receive (i) a severance payment in the amount equal to their annual base salary plus their annual bonus target for the year in which their involuntary termination occurs, (ii) their prior year bonus, if applicable, (iii) premiums for COBRA continuation health coverage for up to 12 months, and (iv) the unvested equity awards then held by the named executive officer will become fully vested and immediately exercisable.</w:t>
      </w:r>
    </w:p>
    <w:p>
      <w:pPr>
        <w:spacing w:after="0" w:line="74" w:lineRule="exact"/>
        <w:rPr>
          <w:sz w:val="20"/>
          <w:szCs w:val="20"/>
          <w:color w:val="auto"/>
        </w:rPr>
      </w:pPr>
    </w:p>
    <w:p>
      <w:pPr>
        <w:ind w:left="1560" w:right="1719"/>
        <w:spacing w:after="0" w:line="271" w:lineRule="auto"/>
        <w:rPr>
          <w:sz w:val="20"/>
          <w:szCs w:val="20"/>
          <w:color w:val="auto"/>
        </w:rPr>
      </w:pPr>
      <w:r>
        <w:rPr>
          <w:rFonts w:ascii="Arial" w:cs="Arial" w:eastAsia="Arial" w:hAnsi="Arial"/>
          <w:sz w:val="12"/>
          <w:szCs w:val="12"/>
          <w:color w:val="auto"/>
        </w:rPr>
        <w:t xml:space="preserve">Further, in the event of either Dr. Stevens’ or Dr. Bach’s termination due to death or disability, they (or their heirs or estate, as applicable) will receive (i) their target annual bonus for the year in which the separation from service occurs, prorated for the number of days elapsed in the calendar year prior to the separation from service, </w:t>
      </w:r>
      <w:r>
        <w:rPr>
          <w:rFonts w:ascii="Arial" w:cs="Arial" w:eastAsia="Arial" w:hAnsi="Arial"/>
          <w:sz w:val="12"/>
          <w:szCs w:val="12"/>
          <w:i w:val="1"/>
          <w:iCs w:val="1"/>
          <w:color w:val="auto"/>
        </w:rPr>
        <w:t>plus</w:t>
      </w:r>
      <w:r>
        <w:rPr>
          <w:rFonts w:ascii="Arial" w:cs="Arial" w:eastAsia="Arial" w:hAnsi="Arial"/>
          <w:sz w:val="12"/>
          <w:szCs w:val="12"/>
          <w:color w:val="auto"/>
        </w:rPr>
        <w:t xml:space="preserve"> (ii) their prior year bonus, if applicable.</w:t>
      </w:r>
    </w:p>
    <w:p>
      <w:pPr>
        <w:spacing w:after="0" w:line="73"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Dr. Ma is subject to certain notice requirements pursuant to the New Ma Employment Contract. In the event of Dr. Ma’s resignation, she must provide at least 30 days’ written notice to the company, which period may be waived by us if requested or if otherwise deemed necessary. We may terminate the New Ma Employment Contract on any ground and in any circumstance permitted by applicable law, and we will provide prior notice or pay in lieu of notice if and as required under applicable law.</w:t>
      </w:r>
    </w:p>
    <w:p>
      <w:pPr>
        <w:spacing w:after="0" w:line="75"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Our named executive officers’ share options granted prior to the execution of the underwriting agreement for this offering are subject to the terms of the 2019 Plan; a description of the termination and change in control provisions in the 2019 Plan and share options granted thereunder is provided below under “—Employee Benefit Plans.” Dr. Stevens’ restricted shares are subject to potential vesting acceleration upon a “change in control” (as​ defined in Dr. Stevens' share restriction agreement evidencing his restricted shares), as described above in the Outstanding Equity Awards as of December 31, 2022 table.</w:t>
      </w:r>
    </w:p>
    <w:p>
      <w:pPr>
        <w:spacing w:after="0" w:line="13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Severance Plan</w:t>
      </w:r>
    </w:p>
    <w:p>
      <w:pPr>
        <w:spacing w:after="0" w:line="34"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color w:val="auto"/>
        </w:rPr>
        <w:t>In January 2023, in connection with this offering, the board of directors approved a Severance and Change in Control Plan, or the Severance Plan, pursuant to which each of our named executive officers will become eligible to receive benefits under the terms of such plan. The Severance Plan became effective upon the execution of the underwriting agreement related to this offering and supersedes the severance provisions in Dr. Stevens’ and Dr. Bach’s executive employment agreement and offer letter, respectively. The Severance Plan provides for severance and/or change in control benefits to our named executive officers upon (i) a “change in control termination” or (ii) a “regular termination” ​(each as described below). Upon a change in control termination, each of our named executive officers is entitled to a lump sum payment equal to a portion of their base salary (18 months for Dr. Stevens and 12 months for Drs. Bach and Ma), a lump sum payment equal to 150% (for Dr. Stevens) or 100% (for Drs. Bach and Ma) of their annual target cash bonus, payment of COBRA</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8" w:name="page189"/>
    <w:bookmarkEnd w:id="18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premiums for a period of time (up to 18 months for Dr. Stevens and 12 months for Drs. Bach and Ma) and full accelerated vesting of outstanding time-vesting equity awards. To the extent an equity award is not assumed, continued or substituted for in the event of certain change in control transactions and the executive’s employment is not terminated as of immediately prior to such change in control, the vesting of such equity award will also accelerate in full (and for equity awards subject to performance vesting, performance will be deemed to be achieved at target, unless otherwise provided in individual award documents). Upon a regular termination, Dr. Stevens is entitled to a lump sum payment equal to 100% of his annual target cash bonus, and each of Drs. Stevens, Bach and Ma is entitled to a lump sum payment equal to a portion of their base salary (12 months for Dr. Stevens and nine months for Drs. Bach and Ma), payment of COBRA premiums for a period of time (up to 12 months for Dr. Stevens and nine months for Drs. Bach and Ma) and partial accelerated vesting of outstanding time-vesting equity awards (12 months for</w:t>
      </w:r>
    </w:p>
    <w:p>
      <w:pPr>
        <w:spacing w:after="0" w:line="2" w:lineRule="exact"/>
        <w:rPr>
          <w:sz w:val="20"/>
          <w:szCs w:val="20"/>
          <w:color w:val="auto"/>
        </w:rPr>
      </w:pPr>
    </w:p>
    <w:p>
      <w:pPr>
        <w:ind w:left="1560" w:right="1799"/>
        <w:spacing w:after="0" w:line="281" w:lineRule="auto"/>
        <w:rPr>
          <w:sz w:val="20"/>
          <w:szCs w:val="20"/>
          <w:color w:val="auto"/>
        </w:rPr>
      </w:pPr>
      <w:r>
        <w:rPr>
          <w:rFonts w:ascii="Arial" w:cs="Arial" w:eastAsia="Arial" w:hAnsi="Arial"/>
          <w:sz w:val="12"/>
          <w:szCs w:val="12"/>
          <w:color w:val="auto"/>
        </w:rPr>
        <w:t>Dr. Stevens and six months for Drs. Bach and Ma). All severance benefits under the Severance Plan are subject to the executive’s execution of an effective release of claims against the company.</w:t>
      </w:r>
    </w:p>
    <w:p>
      <w:pPr>
        <w:spacing w:after="0" w:line="67"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For purposes of the Severance Plan, a “regular termination” is an involuntary termination without “cause” (and not as a result of death or disability) or a resignation for “good reason,” each as defined in the Severance Plan, in any case that does not occur during the period of time beginning three months prior to, and ending 12 months following, a “change in control”, as defined in the 2023 Plan, or the “change in control period.” For purposes of the Severance Plan, a “change in control termination” is an involuntary termination without cause (and not as a result of death or disability) or a resignation for good reason, in any case that occurs during the change in control period.</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Other Compensation and Benefits</w:t>
      </w:r>
    </w:p>
    <w:p>
      <w:pPr>
        <w:spacing w:after="0" w:line="65"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All of our named executive officers are eligible to participate in our employee benefit plans, including our medical, dental, vision and life insurance plans, in each case on the same basis as all of our other employees. We pay the premiums for the life, disability, accidental death and dismemberment insurance for all of our employees, including our named executive officers. We generally do not provide perquisites or personal benefits to our named executive officers.</w:t>
      </w:r>
    </w:p>
    <w:p>
      <w:pPr>
        <w:spacing w:after="0" w:line="13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Employee Benefit Plans</w:t>
      </w:r>
    </w:p>
    <w:p>
      <w:pPr>
        <w:spacing w:after="0" w:line="55"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We believe that our ability to grant equity-based awards is a valuable and necessary compensation tool that aligns the long-term financial interests of our employees, consultants and directors with the financial interests of our shareholders. In addition, we believe that our ability to grant share options and other equity-based awards helps us to attract, retain and motivate employees, consultants and directors, and encourages them to devote their best efforts to our business and financial success. The principal features of our equity incentive plans and our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14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2023 Equity Incentive Plan</w:t>
      </w:r>
    </w:p>
    <w:p>
      <w:pPr>
        <w:spacing w:after="0" w:line="34"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Our board of directors adopted, and our shareholders approved, our 2023 Equity Incentive Plan, or the 2023 Plan, in January 2023. Our 2023 Plan provides for the grant of incentive share options, or ISOs, within the meaning of Section 422 of the Internal Revenue Code, or Code, to employees, including employees of any parent or subsidiary, and for the grant of nonstatutory share options, or NSOs, share appreciation rights, restricted share awards, restricted share unit awards, performance awards and other forms of share awards to employees, directors, and consultants, including employees and consultants of our affiliates. Our 2023 Plan is a successor to and continuation of our 2019 Plan and became effective immediately prior to the execution of the underwriting agreement related to this offering. Except where the context indicates otherwise, and consistent with the terms of the 2023 Plan, references hereunder to an ordinary share shall be deemed to include the number of ADSs equal to an ordinary share.</w:t>
      </w:r>
    </w:p>
    <w:p>
      <w:pPr>
        <w:spacing w:after="0" w:line="79"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i w:val="1"/>
          <w:iCs w:val="1"/>
          <w:color w:val="auto"/>
        </w:rPr>
        <w:t>Authorized Shares</w:t>
      </w:r>
      <w:r>
        <w:rPr>
          <w:rFonts w:ascii="Arial" w:cs="Arial" w:eastAsia="Arial" w:hAnsi="Arial"/>
          <w:sz w:val="12"/>
          <w:szCs w:val="12"/>
          <w:color w:val="auto"/>
        </w:rPr>
        <w:t>. Initially, the maximum number of ordinary shares that may be issued under our 2023</w:t>
      </w:r>
      <w:r>
        <w:rPr>
          <w:rFonts w:ascii="Arial" w:cs="Arial" w:eastAsia="Arial" w:hAnsi="Arial"/>
          <w:sz w:val="12"/>
          <w:szCs w:val="12"/>
          <w:i w:val="1"/>
          <w:iCs w:val="1"/>
          <w:color w:val="auto"/>
        </w:rPr>
        <w:t xml:space="preserve"> </w:t>
      </w:r>
      <w:r>
        <w:rPr>
          <w:rFonts w:ascii="Arial" w:cs="Arial" w:eastAsia="Arial" w:hAnsi="Arial"/>
          <w:sz w:val="12"/>
          <w:szCs w:val="12"/>
          <w:color w:val="auto"/>
        </w:rPr>
        <w:t>Plan after it becomes effective will be 20,589,597 ordinary shares, which is the sum of  (i) 12,000,000 new ordinary shares, (ii) the number of ordinary shares that remain available for issuance under our 2019 Plan at the time our 2023 Plan became effective, and (iii) any ordinary shares subject to outstanding share options or other share awards that were granted under our 2019 Plan that are forfeited, terminate, expire or are otherwise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89" w:name="page190"/>
    <w:bookmarkEnd w:id="18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99"/>
        <w:spacing w:after="0" w:line="266" w:lineRule="auto"/>
        <w:rPr>
          <w:sz w:val="20"/>
          <w:szCs w:val="20"/>
          <w:color w:val="auto"/>
        </w:rPr>
      </w:pPr>
      <w:r>
        <w:rPr>
          <w:rFonts w:ascii="Arial" w:cs="Arial" w:eastAsia="Arial" w:hAnsi="Arial"/>
          <w:sz w:val="12"/>
          <w:szCs w:val="12"/>
          <w:color w:val="auto"/>
        </w:rPr>
        <w:t>not issued. In addition, the number of ordinary shares reserved for issuance under our 2023 Plan will automatically increase on January 1 of each calendar year, starting on January 1, 2024 through January 1, 2033, in an amount equal to 4% of the total number of ordinary shares outstanding on the last day of the calendar month before the date of each automatic increase, or a lesser number of ordinary shares determined by our board of directors. The maximum number of ordinary shares that may be issued on the exercise of ISOs under our 2023 Plan is 62,000,000.</w:t>
      </w:r>
    </w:p>
    <w:p>
      <w:pPr>
        <w:spacing w:after="0" w:line="78"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Ordinary shares subject to share awards granted under our 2023 Plan that expire or terminate without being exercised in full, or that are paid out in cash rather than in ordinary shares, do not reduce the number of ordinary shares available for issuance under our 2023 Plan. Additionally, ordinary shares will become available for future grant under our 2023 Plan if they were issued under share awards under our 2023 Plan if we repurchase them or they are forfeited. This includes ordinary shares used to pay the exercise price of a share award or to satisfy the tax withholding obligations related to a share award.</w:t>
      </w:r>
    </w:p>
    <w:p>
      <w:pPr>
        <w:spacing w:after="0" w:line="79"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i w:val="1"/>
          <w:iCs w:val="1"/>
          <w:color w:val="auto"/>
        </w:rPr>
        <w:t>Plan Administration</w:t>
      </w:r>
      <w:r>
        <w:rPr>
          <w:rFonts w:ascii="Arial" w:cs="Arial" w:eastAsia="Arial" w:hAnsi="Arial"/>
          <w:sz w:val="12"/>
          <w:szCs w:val="12"/>
          <w:color w:val="auto"/>
        </w:rPr>
        <w:t>. Our board of directors or a duly authorized committee of our board of directors</w:t>
      </w:r>
      <w:r>
        <w:rPr>
          <w:rFonts w:ascii="Arial" w:cs="Arial" w:eastAsia="Arial" w:hAnsi="Arial"/>
          <w:sz w:val="12"/>
          <w:szCs w:val="12"/>
          <w:i w:val="1"/>
          <w:iCs w:val="1"/>
          <w:color w:val="auto"/>
        </w:rPr>
        <w:t xml:space="preserve"> </w:t>
      </w:r>
      <w:r>
        <w:rPr>
          <w:rFonts w:ascii="Arial" w:cs="Arial" w:eastAsia="Arial" w:hAnsi="Arial"/>
          <w:sz w:val="12"/>
          <w:szCs w:val="12"/>
          <w:color w:val="auto"/>
        </w:rPr>
        <w:t>(referred to herein as the plan administrator) will administer our 2023 Plan. Our board of directors may also delegate to one or more persons or bodies the authority to do one or more of the following: (1) designate recipients (other than officers) of specified share awards, provided that no person or body may be delegated authority to grant a share award to themself; (2) determine the number of ordinary shares subject to such share awards; and (3) determine the terms of such share awards.</w:t>
      </w:r>
    </w:p>
    <w:p>
      <w:pPr>
        <w:spacing w:after="0" w:line="78" w:lineRule="exact"/>
        <w:rPr>
          <w:sz w:val="20"/>
          <w:szCs w:val="20"/>
          <w:color w:val="auto"/>
        </w:rPr>
      </w:pPr>
    </w:p>
    <w:p>
      <w:pPr>
        <w:ind w:left="1560" w:right="1679"/>
        <w:spacing w:after="0" w:line="291" w:lineRule="auto"/>
        <w:rPr>
          <w:sz w:val="20"/>
          <w:szCs w:val="20"/>
          <w:color w:val="auto"/>
        </w:rPr>
      </w:pPr>
      <w:r>
        <w:rPr>
          <w:rFonts w:ascii="Arial" w:cs="Arial" w:eastAsia="Arial" w:hAnsi="Arial"/>
          <w:sz w:val="12"/>
          <w:szCs w:val="12"/>
          <w:color w:val="auto"/>
        </w:rPr>
        <w:t>Under our 2023 Plan, our board of directors has the authority to determine and amend the terms of awards and underlying agreements, including:</w:t>
      </w:r>
    </w:p>
    <w:p>
      <w:pPr>
        <w:spacing w:after="0" w:line="23" w:lineRule="exact"/>
        <w:rPr>
          <w:sz w:val="20"/>
          <w:szCs w:val="20"/>
          <w:color w:val="auto"/>
        </w:rPr>
      </w:pPr>
    </w:p>
    <w:p>
      <w:pPr>
        <w:ind w:left="1980" w:hanging="157"/>
        <w:spacing w:after="0"/>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recipients;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exercise, purchase or strike price of share awards, if any;</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whether share awards will cover ordinary shares or ADSs;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number of ordinary shares subject to each share award;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vesting schedule applicable to the awards, together with any vesting acceleration;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form of consideration, if any, payable on exercise or settlement of the award.</w:t>
      </w:r>
    </w:p>
    <w:p>
      <w:pPr>
        <w:spacing w:after="0" w:line="123"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Under the 2023 Plan, the board of directors also generally has the authority to effect, with the consent of any adversely affected participant:</w:t>
      </w:r>
    </w:p>
    <w:p>
      <w:pPr>
        <w:spacing w:after="0" w:line="4" w:lineRule="exact"/>
        <w:rPr>
          <w:sz w:val="20"/>
          <w:szCs w:val="20"/>
          <w:color w:val="auto"/>
        </w:rPr>
      </w:pPr>
    </w:p>
    <w:p>
      <w:pPr>
        <w:ind w:left="1980" w:hanging="157"/>
        <w:spacing w:after="0"/>
        <w:tabs>
          <w:tab w:leader="none" w:pos="19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reduction of the exercise, purchase or strike price of any outstanding award;</w:t>
      </w:r>
    </w:p>
    <w:p>
      <w:pPr>
        <w:spacing w:after="0" w:line="74" w:lineRule="exact"/>
        <w:rPr>
          <w:rFonts w:ascii="Arial" w:cs="Arial" w:eastAsia="Arial" w:hAnsi="Arial"/>
          <w:sz w:val="12"/>
          <w:szCs w:val="12"/>
          <w:color w:val="auto"/>
        </w:rPr>
      </w:pPr>
    </w:p>
    <w:p>
      <w:pPr>
        <w:ind w:left="1980" w:right="1819" w:hanging="157"/>
        <w:spacing w:after="0" w:line="308" w:lineRule="auto"/>
        <w:tabs>
          <w:tab w:leader="none" w:pos="19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cancellation of any outstanding award and the grant in substitution therefore of other awards, cash, or other consideration; or</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any other action that is treated as a repricing under generally accepted accounting principles.</w:t>
      </w:r>
    </w:p>
    <w:p>
      <w:pPr>
        <w:spacing w:after="0" w:line="123"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i w:val="1"/>
          <w:iCs w:val="1"/>
          <w:color w:val="auto"/>
        </w:rPr>
        <w:t xml:space="preserve">Options. </w:t>
      </w:r>
      <w:r>
        <w:rPr>
          <w:rFonts w:ascii="Arial" w:cs="Arial" w:eastAsia="Arial" w:hAnsi="Arial"/>
          <w:sz w:val="12"/>
          <w:szCs w:val="12"/>
          <w:color w:val="auto"/>
        </w:rPr>
        <w:t>ISOs and NSOs are granted under share option agreements adopted by the plan administrator.</w:t>
      </w:r>
      <w:r>
        <w:rPr>
          <w:rFonts w:ascii="Arial" w:cs="Arial" w:eastAsia="Arial" w:hAnsi="Arial"/>
          <w:sz w:val="12"/>
          <w:szCs w:val="12"/>
          <w:i w:val="1"/>
          <w:iCs w:val="1"/>
          <w:color w:val="auto"/>
        </w:rPr>
        <w:t xml:space="preserve"> </w:t>
      </w:r>
      <w:r>
        <w:rPr>
          <w:rFonts w:ascii="Arial" w:cs="Arial" w:eastAsia="Arial" w:hAnsi="Arial"/>
          <w:sz w:val="12"/>
          <w:szCs w:val="12"/>
          <w:color w:val="auto"/>
        </w:rPr>
        <w:t>The plan administrator determines the exercise price for options, within the terms and conditions of our 2023 Plan, provided that the exercise price of an option generally cannot be less than 100% of the fair market value of our ordinary shares on the date of grant. Options granted under our 2023 Plan vest at the rate specified in the share option agreement as determined by the plan administrator.</w:t>
      </w:r>
    </w:p>
    <w:p>
      <w:pPr>
        <w:spacing w:after="0" w:line="71" w:lineRule="exact"/>
        <w:rPr>
          <w:sz w:val="20"/>
          <w:szCs w:val="20"/>
          <w:color w:val="auto"/>
        </w:rPr>
      </w:pPr>
    </w:p>
    <w:p>
      <w:pPr>
        <w:ind w:left="1560" w:right="1639"/>
        <w:spacing w:after="0" w:line="274" w:lineRule="auto"/>
        <w:rPr>
          <w:sz w:val="20"/>
          <w:szCs w:val="20"/>
          <w:color w:val="auto"/>
        </w:rPr>
      </w:pPr>
      <w:r>
        <w:rPr>
          <w:rFonts w:ascii="Arial" w:cs="Arial" w:eastAsia="Arial" w:hAnsi="Arial"/>
          <w:sz w:val="12"/>
          <w:szCs w:val="12"/>
          <w:i w:val="1"/>
          <w:iCs w:val="1"/>
          <w:color w:val="auto"/>
        </w:rPr>
        <w:t>Tax Limitations on ISOs</w:t>
      </w:r>
      <w:r>
        <w:rPr>
          <w:rFonts w:ascii="Arial" w:cs="Arial" w:eastAsia="Arial" w:hAnsi="Arial"/>
          <w:sz w:val="12"/>
          <w:szCs w:val="12"/>
          <w:color w:val="auto"/>
        </w:rPr>
        <w:t>. The aggregate fair market value, determined at the time of grant, of our ordinary</w:t>
      </w:r>
      <w:r>
        <w:rPr>
          <w:rFonts w:ascii="Arial" w:cs="Arial" w:eastAsia="Arial" w:hAnsi="Arial"/>
          <w:sz w:val="12"/>
          <w:szCs w:val="12"/>
          <w:i w:val="1"/>
          <w:iCs w:val="1"/>
          <w:color w:val="auto"/>
        </w:rPr>
        <w:t xml:space="preserve"> </w:t>
      </w:r>
      <w:r>
        <w:rPr>
          <w:rFonts w:ascii="Arial" w:cs="Arial" w:eastAsia="Arial" w:hAnsi="Arial"/>
          <w:sz w:val="12"/>
          <w:szCs w:val="12"/>
          <w:color w:val="auto"/>
        </w:rPr>
        <w:t>shares with respect to ISOs that are exercisable for the first time by an option holder during any calendar year under all of our share incentive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(i) the option exercise price is at least 110% of the fair market value of the ordinary shares subject to the option on the date of grant and (ii) the option is not exercisable after the expiration of five years from the date of grant.</w:t>
      </w:r>
    </w:p>
    <w:p>
      <w:pPr>
        <w:spacing w:after="0" w:line="84" w:lineRule="exact"/>
        <w:rPr>
          <w:sz w:val="20"/>
          <w:szCs w:val="20"/>
          <w:color w:val="auto"/>
        </w:rPr>
      </w:pPr>
    </w:p>
    <w:p>
      <w:pPr>
        <w:ind w:left="1560" w:right="1759"/>
        <w:spacing w:after="0" w:line="282" w:lineRule="auto"/>
        <w:rPr>
          <w:sz w:val="20"/>
          <w:szCs w:val="20"/>
          <w:color w:val="auto"/>
        </w:rPr>
      </w:pPr>
      <w:r>
        <w:rPr>
          <w:rFonts w:ascii="Arial" w:cs="Arial" w:eastAsia="Arial" w:hAnsi="Arial"/>
          <w:sz w:val="12"/>
          <w:szCs w:val="12"/>
          <w:i w:val="1"/>
          <w:iCs w:val="1"/>
          <w:color w:val="auto"/>
        </w:rPr>
        <w:t xml:space="preserve">Restricted Share Unit Awards. </w:t>
      </w:r>
      <w:r>
        <w:rPr>
          <w:rFonts w:ascii="Arial" w:cs="Arial" w:eastAsia="Arial" w:hAnsi="Arial"/>
          <w:sz w:val="12"/>
          <w:szCs w:val="12"/>
          <w:color w:val="auto"/>
        </w:rPr>
        <w:t>Restricted share units are granted under restricted share unit award</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agreements adopted by the plan administrator. Restricted share units may be granted in consideration for any form of legal consideration that may be acceptable to our board of directors and permissible under applicable law. A</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0" w:name="page191"/>
    <w:bookmarkEnd w:id="19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restricted share unit may be settled by cash, delivery of ordinary shares, a combination of cash and ordinary shares as deemed appropriate by the plan administrator, or in any other form of consideration set forth in the restricted share unit agreement. Additionally, dividend equivalents may be credited in respect of ordinary shares covered by a restricted share unit. Except as otherwise provided in the applicable award agreement, restricted share units that have not vested will be forfeited once the participant’s continuous service ends for any reason.</w:t>
      </w:r>
    </w:p>
    <w:p>
      <w:pPr>
        <w:spacing w:after="0" w:line="78" w:lineRule="exact"/>
        <w:rPr>
          <w:sz w:val="20"/>
          <w:szCs w:val="20"/>
          <w:color w:val="auto"/>
        </w:rPr>
      </w:pPr>
    </w:p>
    <w:p>
      <w:pPr>
        <w:ind w:left="1560" w:right="1699"/>
        <w:spacing w:after="0" w:line="262" w:lineRule="auto"/>
        <w:rPr>
          <w:sz w:val="20"/>
          <w:szCs w:val="20"/>
          <w:color w:val="auto"/>
        </w:rPr>
      </w:pPr>
      <w:r>
        <w:rPr>
          <w:rFonts w:ascii="Arial" w:cs="Arial" w:eastAsia="Arial" w:hAnsi="Arial"/>
          <w:sz w:val="12"/>
          <w:szCs w:val="12"/>
          <w:i w:val="1"/>
          <w:iCs w:val="1"/>
          <w:color w:val="auto"/>
        </w:rPr>
        <w:t xml:space="preserve">Restricted Share Awards. </w:t>
      </w:r>
      <w:r>
        <w:rPr>
          <w:rFonts w:ascii="Arial" w:cs="Arial" w:eastAsia="Arial" w:hAnsi="Arial"/>
          <w:sz w:val="12"/>
          <w:szCs w:val="12"/>
          <w:color w:val="auto"/>
        </w:rPr>
        <w:t>Restricted share awards are granted under restricted share award agreements</w:t>
      </w:r>
      <w:r>
        <w:rPr>
          <w:rFonts w:ascii="Arial" w:cs="Arial" w:eastAsia="Arial" w:hAnsi="Arial"/>
          <w:sz w:val="12"/>
          <w:szCs w:val="12"/>
          <w:i w:val="1"/>
          <w:iCs w:val="1"/>
          <w:color w:val="auto"/>
        </w:rPr>
        <w:t xml:space="preserve"> </w:t>
      </w:r>
      <w:r>
        <w:rPr>
          <w:rFonts w:ascii="Arial" w:cs="Arial" w:eastAsia="Arial" w:hAnsi="Arial"/>
          <w:sz w:val="12"/>
          <w:szCs w:val="12"/>
          <w:color w:val="auto"/>
        </w:rPr>
        <w:t>adopted by the plan administrator. A restricted share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ordinary shares held by the participant that have not vested as of the date the participant terminates service with us through a forfeiture condition or a repurchase right.</w:t>
      </w:r>
    </w:p>
    <w:p>
      <w:pPr>
        <w:spacing w:after="0" w:line="81"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i w:val="1"/>
          <w:iCs w:val="1"/>
          <w:color w:val="auto"/>
        </w:rPr>
        <w:t xml:space="preserve">Share Appreciation Rights. </w:t>
      </w:r>
      <w:r>
        <w:rPr>
          <w:rFonts w:ascii="Arial" w:cs="Arial" w:eastAsia="Arial" w:hAnsi="Arial"/>
          <w:sz w:val="12"/>
          <w:szCs w:val="12"/>
          <w:color w:val="auto"/>
        </w:rPr>
        <w:t>Share appreciation rights are granted under share appreciation grant</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agreements adopted by the plan administrator. The plan administrator determines the purchase price or strike price for a share appreciation right, which generally cannot be less than 100% of the fair market value of our ordinary shares on the date of grant. A share appreciation right granted under our 2023 Plan vests at the rate specified in the share appreciation right agreement as determined by the plan administrator.</w:t>
      </w:r>
    </w:p>
    <w:p>
      <w:pPr>
        <w:spacing w:after="0" w:line="76"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i w:val="1"/>
          <w:iCs w:val="1"/>
          <w:color w:val="auto"/>
        </w:rPr>
        <w:t xml:space="preserve">Performance Awards. </w:t>
      </w:r>
      <w:r>
        <w:rPr>
          <w:rFonts w:ascii="Arial" w:cs="Arial" w:eastAsia="Arial" w:hAnsi="Arial"/>
          <w:sz w:val="12"/>
          <w:szCs w:val="12"/>
          <w:color w:val="auto"/>
        </w:rPr>
        <w:t>Our 2023 Plan permits the grant of performance-based share and cash awards. The</w:t>
      </w:r>
      <w:r>
        <w:rPr>
          <w:rFonts w:ascii="Arial" w:cs="Arial" w:eastAsia="Arial" w:hAnsi="Arial"/>
          <w:sz w:val="12"/>
          <w:szCs w:val="12"/>
          <w:i w:val="1"/>
          <w:iCs w:val="1"/>
          <w:color w:val="auto"/>
        </w:rPr>
        <w:t xml:space="preserve"> </w:t>
      </w:r>
      <w:r>
        <w:rPr>
          <w:rFonts w:ascii="Arial" w:cs="Arial" w:eastAsia="Arial" w:hAnsi="Arial"/>
          <w:sz w:val="12"/>
          <w:szCs w:val="12"/>
          <w:color w:val="auto"/>
        </w:rPr>
        <w:t>plan administrator may structure awards so that the ordinary shares, cash, or other property will be issued or paid only following the achievement of certain pre-established performance goals during a designated performance period.</w:t>
      </w:r>
    </w:p>
    <w:p>
      <w:pPr>
        <w:spacing w:after="0" w:line="73" w:lineRule="exact"/>
        <w:rPr>
          <w:sz w:val="20"/>
          <w:szCs w:val="20"/>
          <w:color w:val="auto"/>
        </w:rPr>
      </w:pPr>
    </w:p>
    <w:p>
      <w:pPr>
        <w:ind w:left="1560" w:right="1599"/>
        <w:spacing w:after="0" w:line="259" w:lineRule="auto"/>
        <w:rPr>
          <w:sz w:val="20"/>
          <w:szCs w:val="20"/>
          <w:color w:val="auto"/>
        </w:rPr>
      </w:pPr>
      <w:r>
        <w:rPr>
          <w:rFonts w:ascii="Arial" w:cs="Arial" w:eastAsia="Arial" w:hAnsi="Arial"/>
          <w:sz w:val="12"/>
          <w:szCs w:val="12"/>
          <w:color w:val="auto"/>
        </w:rPr>
        <w:t>The performance criteria that will be used to establish such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shareholder return; return on equity or average shareholder’s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shareholders’ equity; capital expenditures; debt levels; operating profit or net operating profit; workforce diversity; growth of net income or operating income; billings; pre-clinical development related compound goals; financing; regulatory milestones, including approval of a compound; shareholder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plan administrator.</w:t>
      </w:r>
    </w:p>
    <w:p>
      <w:pPr>
        <w:spacing w:after="0" w:line="81" w:lineRule="exact"/>
        <w:rPr>
          <w:sz w:val="20"/>
          <w:szCs w:val="20"/>
          <w:color w:val="auto"/>
        </w:rPr>
      </w:pPr>
    </w:p>
    <w:p>
      <w:pPr>
        <w:jc w:val="both"/>
        <w:ind w:left="1560" w:right="1579"/>
        <w:spacing w:after="0" w:line="293" w:lineRule="auto"/>
        <w:rPr>
          <w:sz w:val="20"/>
          <w:szCs w:val="20"/>
          <w:color w:val="auto"/>
        </w:rPr>
      </w:pPr>
      <w:r>
        <w:rPr>
          <w:rFonts w:ascii="Arial" w:cs="Arial" w:eastAsia="Arial" w:hAnsi="Arial"/>
          <w:sz w:val="12"/>
          <w:szCs w:val="12"/>
          <w:color w:val="auto"/>
        </w:rPr>
        <w:t>The performance goals may be based on a company-wide basis, with respect to one or more business units, divisions, affiliates, or business segments, and in either absolute terms or relative to the performance of one or</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1" w:name="page192"/>
    <w:bookmarkEnd w:id="19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more comparable companies or the performance of one or more relevant indices. Unless specified otherwise</w:t>
      </w:r>
    </w:p>
    <w:p>
      <w:pPr>
        <w:spacing w:after="0" w:line="19" w:lineRule="exact"/>
        <w:rPr>
          <w:sz w:val="20"/>
          <w:szCs w:val="20"/>
          <w:color w:val="auto"/>
        </w:rPr>
      </w:pPr>
    </w:p>
    <w:p>
      <w:pPr>
        <w:ind w:left="1560" w:right="1579" w:firstLine="5"/>
        <w:spacing w:after="0" w:line="257" w:lineRule="auto"/>
        <w:tabs>
          <w:tab w:leader="none" w:pos="1703"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ordinary shares by reason of any share dividend or split, share repurchase, reorganization, recapitalization, merger, consolidation, spin-off, combination or exchange of shares or other similar corporate change, or any distributions to ordinary shareholders other than regular cash dividends;</w:t>
      </w:r>
    </w:p>
    <w:p>
      <w:pPr>
        <w:spacing w:after="0" w:line="5" w:lineRule="exact"/>
        <w:rPr>
          <w:rFonts w:ascii="Arial" w:cs="Arial" w:eastAsia="Arial" w:hAnsi="Arial"/>
          <w:sz w:val="12"/>
          <w:szCs w:val="12"/>
          <w:color w:val="auto"/>
        </w:rPr>
      </w:pPr>
    </w:p>
    <w:p>
      <w:pPr>
        <w:ind w:left="1560" w:right="1619"/>
        <w:spacing w:after="0" w:line="262" w:lineRule="auto"/>
        <w:rPr>
          <w:rFonts w:ascii="Arial" w:cs="Arial" w:eastAsia="Arial" w:hAnsi="Arial"/>
          <w:sz w:val="12"/>
          <w:szCs w:val="12"/>
          <w:color w:val="auto"/>
        </w:rPr>
      </w:pPr>
      <w:r>
        <w:rPr>
          <w:rFonts w:ascii="Arial" w:cs="Arial" w:eastAsia="Arial" w:hAnsi="Arial"/>
          <w:sz w:val="12"/>
          <w:szCs w:val="12"/>
          <w:color w:val="auto"/>
        </w:rPr>
        <w:t>(9) to exclude the effects of share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79" w:lineRule="exact"/>
        <w:rPr>
          <w:sz w:val="20"/>
          <w:szCs w:val="20"/>
          <w:color w:val="auto"/>
        </w:rPr>
      </w:pPr>
    </w:p>
    <w:p>
      <w:pPr>
        <w:jc w:val="both"/>
        <w:ind w:left="1560" w:right="1599"/>
        <w:spacing w:after="0" w:line="272" w:lineRule="auto"/>
        <w:rPr>
          <w:sz w:val="20"/>
          <w:szCs w:val="20"/>
          <w:color w:val="auto"/>
        </w:rPr>
      </w:pPr>
      <w:r>
        <w:rPr>
          <w:rFonts w:ascii="Arial" w:cs="Arial" w:eastAsia="Arial" w:hAnsi="Arial"/>
          <w:sz w:val="12"/>
          <w:szCs w:val="12"/>
          <w:i w:val="1"/>
          <w:iCs w:val="1"/>
          <w:color w:val="auto"/>
        </w:rPr>
        <w:t xml:space="preserve">Other Share Awards. </w:t>
      </w:r>
      <w:r>
        <w:rPr>
          <w:rFonts w:ascii="Arial" w:cs="Arial" w:eastAsia="Arial" w:hAnsi="Arial"/>
          <w:sz w:val="12"/>
          <w:szCs w:val="12"/>
          <w:color w:val="auto"/>
        </w:rPr>
        <w:t>The plan administrator may grant other awards based in whole or in part by reference</w:t>
      </w:r>
      <w:r>
        <w:rPr>
          <w:rFonts w:ascii="Arial" w:cs="Arial" w:eastAsia="Arial" w:hAnsi="Arial"/>
          <w:sz w:val="12"/>
          <w:szCs w:val="12"/>
          <w:i w:val="1"/>
          <w:iCs w:val="1"/>
          <w:color w:val="auto"/>
        </w:rPr>
        <w:t xml:space="preserve"> </w:t>
      </w:r>
      <w:r>
        <w:rPr>
          <w:rFonts w:ascii="Arial" w:cs="Arial" w:eastAsia="Arial" w:hAnsi="Arial"/>
          <w:sz w:val="12"/>
          <w:szCs w:val="12"/>
          <w:color w:val="auto"/>
        </w:rPr>
        <w:t>to our ordinary shares. The plan administrator will set the number of ordinary shares under the share award and all other terms and conditions of such awards.</w:t>
      </w:r>
    </w:p>
    <w:p>
      <w:pPr>
        <w:spacing w:after="0" w:line="72" w:lineRule="exact"/>
        <w:rPr>
          <w:sz w:val="20"/>
          <w:szCs w:val="20"/>
          <w:color w:val="auto"/>
        </w:rPr>
      </w:pPr>
    </w:p>
    <w:p>
      <w:pPr>
        <w:ind w:left="1560" w:right="1619"/>
        <w:spacing w:after="0" w:line="268" w:lineRule="auto"/>
        <w:rPr>
          <w:sz w:val="20"/>
          <w:szCs w:val="20"/>
          <w:color w:val="auto"/>
        </w:rPr>
      </w:pPr>
      <w:r>
        <w:rPr>
          <w:rFonts w:ascii="Arial" w:cs="Arial" w:eastAsia="Arial" w:hAnsi="Arial"/>
          <w:sz w:val="12"/>
          <w:szCs w:val="12"/>
          <w:i w:val="1"/>
          <w:iCs w:val="1"/>
          <w:color w:val="auto"/>
        </w:rPr>
        <w:t>Non-Employee Director Compensation Limit</w:t>
      </w:r>
      <w:r>
        <w:rPr>
          <w:rFonts w:ascii="Arial" w:cs="Arial" w:eastAsia="Arial" w:hAnsi="Arial"/>
          <w:sz w:val="12"/>
          <w:szCs w:val="12"/>
          <w:color w:val="auto"/>
        </w:rPr>
        <w:t>. The aggregate value of all compensation granted or paid to</w:t>
      </w:r>
      <w:r>
        <w:rPr>
          <w:rFonts w:ascii="Arial" w:cs="Arial" w:eastAsia="Arial" w:hAnsi="Arial"/>
          <w:sz w:val="12"/>
          <w:szCs w:val="12"/>
          <w:i w:val="1"/>
          <w:iCs w:val="1"/>
          <w:color w:val="auto"/>
        </w:rPr>
        <w:t xml:space="preserve"> </w:t>
      </w:r>
      <w:r>
        <w:rPr>
          <w:rFonts w:ascii="Arial" w:cs="Arial" w:eastAsia="Arial" w:hAnsi="Arial"/>
          <w:sz w:val="12"/>
          <w:szCs w:val="12"/>
          <w:color w:val="auto"/>
        </w:rPr>
        <w:t>any non-employee director with respect to any calendar year, including share awards granted and cash fees paid by us to such non-employee director, will not exceed $1,000,000 in total value (calculating the value of any such share awards based on the grant date fair value of such share awards for financial reporting purposes).</w:t>
      </w:r>
    </w:p>
    <w:p>
      <w:pPr>
        <w:spacing w:after="0" w:line="225" w:lineRule="exact"/>
        <w:rPr>
          <w:sz w:val="20"/>
          <w:szCs w:val="20"/>
          <w:color w:val="auto"/>
        </w:rPr>
      </w:pPr>
    </w:p>
    <w:p>
      <w:pPr>
        <w:ind w:left="1560" w:right="1639"/>
        <w:spacing w:after="0" w:line="263" w:lineRule="auto"/>
        <w:rPr>
          <w:sz w:val="20"/>
          <w:szCs w:val="20"/>
          <w:color w:val="auto"/>
        </w:rPr>
      </w:pPr>
      <w:r>
        <w:rPr>
          <w:rFonts w:ascii="Arial" w:cs="Arial" w:eastAsia="Arial" w:hAnsi="Arial"/>
          <w:sz w:val="12"/>
          <w:szCs w:val="12"/>
          <w:i w:val="1"/>
          <w:iCs w:val="1"/>
          <w:color w:val="auto"/>
        </w:rPr>
        <w:t xml:space="preserve">Changes to Capital Structure. </w:t>
      </w:r>
      <w:r>
        <w:rPr>
          <w:rFonts w:ascii="Arial" w:cs="Arial" w:eastAsia="Arial" w:hAnsi="Arial"/>
          <w:sz w:val="12"/>
          <w:szCs w:val="12"/>
          <w:color w:val="auto"/>
        </w:rPr>
        <w:t>In the event there is a specified type of change in our capital structure, such</w:t>
      </w:r>
      <w:r>
        <w:rPr>
          <w:rFonts w:ascii="Arial" w:cs="Arial" w:eastAsia="Arial" w:hAnsi="Arial"/>
          <w:sz w:val="12"/>
          <w:szCs w:val="12"/>
          <w:i w:val="1"/>
          <w:iCs w:val="1"/>
          <w:color w:val="auto"/>
        </w:rPr>
        <w:t xml:space="preserve"> </w:t>
      </w:r>
      <w:r>
        <w:rPr>
          <w:rFonts w:ascii="Arial" w:cs="Arial" w:eastAsia="Arial" w:hAnsi="Arial"/>
          <w:sz w:val="12"/>
          <w:szCs w:val="12"/>
          <w:color w:val="auto"/>
        </w:rPr>
        <w:t>as a share split, reverse share split, or recapitalization, appropriate adjustments will be made to (i) the class and maximum number of ordinary shares reserved for issuance under our 2023 Plan, (ii) the class and maximum number of ordinary shares by which the share reserve may increase automatically each year,</w:t>
      </w:r>
    </w:p>
    <w:p>
      <w:pPr>
        <w:spacing w:after="0" w:line="1" w:lineRule="exact"/>
        <w:rPr>
          <w:sz w:val="20"/>
          <w:szCs w:val="20"/>
          <w:color w:val="auto"/>
        </w:rPr>
      </w:pPr>
    </w:p>
    <w:p>
      <w:pPr>
        <w:ind w:left="1760" w:hanging="195"/>
        <w:spacing w:after="0"/>
        <w:tabs>
          <w:tab w:leader="none" w:pos="17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class and maximum number of ordinary shares that may be issued on the exercise of ISOs, and</w:t>
      </w:r>
    </w:p>
    <w:p>
      <w:pPr>
        <w:spacing w:after="0" w:line="12" w:lineRule="exact"/>
        <w:rPr>
          <w:rFonts w:ascii="Arial" w:cs="Arial" w:eastAsia="Arial" w:hAnsi="Arial"/>
          <w:sz w:val="12"/>
          <w:szCs w:val="12"/>
          <w:color w:val="auto"/>
        </w:rPr>
      </w:pPr>
    </w:p>
    <w:p>
      <w:pPr>
        <w:ind w:left="1560" w:right="1619" w:firstLine="5"/>
        <w:spacing w:after="0" w:line="271" w:lineRule="auto"/>
        <w:tabs>
          <w:tab w:leader="none" w:pos="1764"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class and number of ordinary shares and exercise price, strike price, or purchase price, if applicable, of all outstanding share awards.</w:t>
      </w:r>
    </w:p>
    <w:p>
      <w:pPr>
        <w:spacing w:after="0" w:line="73"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i w:val="1"/>
          <w:iCs w:val="1"/>
          <w:color w:val="auto"/>
        </w:rPr>
        <w:t xml:space="preserve">Corporate Transactions. </w:t>
      </w:r>
      <w:r>
        <w:rPr>
          <w:rFonts w:ascii="Arial" w:cs="Arial" w:eastAsia="Arial" w:hAnsi="Arial"/>
          <w:sz w:val="12"/>
          <w:szCs w:val="12"/>
          <w:color w:val="auto"/>
        </w:rPr>
        <w:t>The following applies to share awards under our 2023 Plan in the event of a</w:t>
      </w:r>
      <w:r>
        <w:rPr>
          <w:rFonts w:ascii="Arial" w:cs="Arial" w:eastAsia="Arial" w:hAnsi="Arial"/>
          <w:sz w:val="12"/>
          <w:szCs w:val="12"/>
          <w:i w:val="1"/>
          <w:iCs w:val="1"/>
          <w:color w:val="auto"/>
        </w:rPr>
        <w:t xml:space="preserve"> </w:t>
      </w:r>
      <w:r>
        <w:rPr>
          <w:rFonts w:ascii="Arial" w:cs="Arial" w:eastAsia="Arial" w:hAnsi="Arial"/>
          <w:sz w:val="12"/>
          <w:szCs w:val="12"/>
          <w:color w:val="auto"/>
        </w:rPr>
        <w:t>corporate transaction, unless otherwise provided in a participant’s share award agreement or other written agreement with us or one of our affiliates or unless otherwise expressly provided by the plan administrator at the time of grant.</w:t>
      </w:r>
    </w:p>
    <w:p>
      <w:pPr>
        <w:spacing w:after="0" w:line="73"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In the event of a corporate transaction, any share awards outstanding under our 2023 Plan may be assumed, continued or substituted for by any surviving or acquiring corporation (or its parent company), and any reacquisition or repurchase rights held by us with respect to the share award may be assigned to the successor (or its parent company). If the surviving or acquiring corporation (or its parent company) does not assume, continue or substitute for such share awards, then with respect to any such share awards that are held by participants whose continuous service has not terminated prior to the effective time of the transaction, or current participants, the vesting (and exercisability, if applicable) of such share awards will be accelerated in full to a date prior to the effective time of the transaction (contingent upon the effectiveness of the transaction), and such share awards will terminate if not exercised (if applicable) at or prior to the effective time of the transaction, and any reacquisition or repurchase rights held by us with respect to such share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share awards, then with respect to any</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2" w:name="page193"/>
    <w:bookmarkEnd w:id="19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such share awards that are held by persons other than current participants, such awards will terminate if not exercised (if applicable) prior to the effective time of the transaction, except that any reacquisition or repurchase rights held by us with respect to such share awards will not terminate and may continue to be exercised notwithstanding the transaction. The plan administrator is not obligated to treat all share awards or portions of share awards in the same manner and is not obligated to take the same actions with respect to all participants.</w:t>
      </w:r>
    </w:p>
    <w:p>
      <w:pPr>
        <w:spacing w:after="0" w:line="82" w:lineRule="exact"/>
        <w:rPr>
          <w:sz w:val="20"/>
          <w:szCs w:val="20"/>
          <w:color w:val="auto"/>
        </w:rPr>
      </w:pPr>
    </w:p>
    <w:p>
      <w:pPr>
        <w:ind w:left="1560" w:right="1659"/>
        <w:spacing w:after="0" w:line="278" w:lineRule="auto"/>
        <w:rPr>
          <w:sz w:val="20"/>
          <w:szCs w:val="20"/>
          <w:color w:val="auto"/>
        </w:rPr>
      </w:pPr>
      <w:r>
        <w:rPr>
          <w:rFonts w:ascii="Arial" w:cs="Arial" w:eastAsia="Arial" w:hAnsi="Arial"/>
          <w:sz w:val="12"/>
          <w:szCs w:val="12"/>
          <w:color w:val="auto"/>
        </w:rPr>
        <w:t>In the event a share award will terminate if not exercised prior to the effective time of a transaction, the plan administrator may provide, in its sole discretion, that the holder of such share award may not exercise such share award but instead will receive a payment equal in value to the excess (if any) of  (i) the value of the property the participant would have received upon the exercise of the share award, over (ii) any exercise price payable by such holder in connection with such exercise.</w:t>
      </w:r>
    </w:p>
    <w:p>
      <w:pPr>
        <w:spacing w:after="0" w:line="71"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Under our 2023 Plan, a corporate transaction is defined to include: (i) a sale of all or substantially all of our assets; (ii) the sale or disposition of more than 50% of our outstanding securities; (iii) the consummation of a merger, consolidation or similar transaction where we do not survive the transaction; and (iv) the consummation of a merger, consolidation or similar transaction where we do survive the transaction but the ordinary shares outstanding before such transaction are converted or exchanged into other property by virtue of the transaction, unless otherwise provided in an award agreement or other written agreement between us and the award holder.</w:t>
      </w:r>
    </w:p>
    <w:p>
      <w:pPr>
        <w:spacing w:after="0" w:line="82" w:lineRule="exact"/>
        <w:rPr>
          <w:sz w:val="20"/>
          <w:szCs w:val="20"/>
          <w:color w:val="auto"/>
        </w:rPr>
      </w:pPr>
    </w:p>
    <w:p>
      <w:pPr>
        <w:ind w:left="1560" w:right="1799"/>
        <w:spacing w:after="0" w:line="288" w:lineRule="auto"/>
        <w:rPr>
          <w:sz w:val="20"/>
          <w:szCs w:val="20"/>
          <w:color w:val="auto"/>
        </w:rPr>
      </w:pPr>
      <w:r>
        <w:rPr>
          <w:rFonts w:ascii="Arial" w:cs="Arial" w:eastAsia="Arial" w:hAnsi="Arial"/>
          <w:sz w:val="12"/>
          <w:szCs w:val="12"/>
          <w:i w:val="1"/>
          <w:iCs w:val="1"/>
          <w:color w:val="auto"/>
        </w:rPr>
        <w:t xml:space="preserve">Change in Control. </w:t>
      </w:r>
      <w:r>
        <w:rPr>
          <w:rFonts w:ascii="Arial" w:cs="Arial" w:eastAsia="Arial" w:hAnsi="Arial"/>
          <w:sz w:val="12"/>
          <w:szCs w:val="12"/>
          <w:color w:val="auto"/>
        </w:rPr>
        <w:t>In the event of a change in control, as defined under our 2023 Plan, awards granted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our 2023 Plan will not receive automatic acceleration of vesting and exercisability, although this treatment may be provided for in an award agreement.</w:t>
      </w:r>
    </w:p>
    <w:p>
      <w:pPr>
        <w:spacing w:after="0" w:line="74"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Under our 2023 Plan, a change in control is defined to include: (i) the acquisition by any person or company of more than 50% of the combined voting power of our then outstanding securities; (ii) a merger, consolidation or similar transaction in which our shareholders immediately before the transaction do not own, directly or indirectly, more than 50% of the combined voting power of the surviving entity (or the parent of the surviving entity); (iii) a sale, lease, exclusive license or other disposition of all or substantially all of our assets other than to an entity more than 50% of the combined voting power of which is owned by our shareholders; and (iv) an unapproved change in the majority of the board of directors.</w:t>
      </w:r>
    </w:p>
    <w:p>
      <w:pPr>
        <w:spacing w:after="0" w:line="73"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i w:val="1"/>
          <w:iCs w:val="1"/>
          <w:color w:val="auto"/>
        </w:rPr>
        <w:t xml:space="preserve">Transferability. </w:t>
      </w:r>
      <w:r>
        <w:rPr>
          <w:rFonts w:ascii="Arial" w:cs="Arial" w:eastAsia="Arial" w:hAnsi="Arial"/>
          <w:sz w:val="12"/>
          <w:szCs w:val="12"/>
          <w:color w:val="auto"/>
        </w:rPr>
        <w:t>A participant may not transfer share awards under our 2023 Plan other than by will, the laws</w:t>
      </w:r>
      <w:r>
        <w:rPr>
          <w:rFonts w:ascii="Arial" w:cs="Arial" w:eastAsia="Arial" w:hAnsi="Arial"/>
          <w:sz w:val="12"/>
          <w:szCs w:val="12"/>
          <w:i w:val="1"/>
          <w:iCs w:val="1"/>
          <w:color w:val="auto"/>
        </w:rPr>
        <w:t xml:space="preserve"> </w:t>
      </w:r>
      <w:r>
        <w:rPr>
          <w:rFonts w:ascii="Arial" w:cs="Arial" w:eastAsia="Arial" w:hAnsi="Arial"/>
          <w:sz w:val="12"/>
          <w:szCs w:val="12"/>
          <w:color w:val="auto"/>
        </w:rPr>
        <w:t>of descent and distribution, or as otherwise provided under our 2023 Plan.</w:t>
      </w:r>
    </w:p>
    <w:p>
      <w:pPr>
        <w:spacing w:after="0" w:line="62"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i w:val="1"/>
          <w:iCs w:val="1"/>
          <w:color w:val="auto"/>
        </w:rPr>
        <w:t xml:space="preserve">Plan Amendment or Termination. </w:t>
      </w:r>
      <w:r>
        <w:rPr>
          <w:rFonts w:ascii="Arial" w:cs="Arial" w:eastAsia="Arial" w:hAnsi="Arial"/>
          <w:sz w:val="12"/>
          <w:szCs w:val="12"/>
          <w:color w:val="auto"/>
        </w:rPr>
        <w:t>Our board of directors has the authority to amend, suspend, or terminate</w:t>
      </w:r>
      <w:r>
        <w:rPr>
          <w:rFonts w:ascii="Arial" w:cs="Arial" w:eastAsia="Arial" w:hAnsi="Arial"/>
          <w:sz w:val="12"/>
          <w:szCs w:val="12"/>
          <w:i w:val="1"/>
          <w:iCs w:val="1"/>
          <w:color w:val="auto"/>
        </w:rPr>
        <w:t xml:space="preserve"> </w:t>
      </w:r>
      <w:r>
        <w:rPr>
          <w:rFonts w:ascii="Arial" w:cs="Arial" w:eastAsia="Arial" w:hAnsi="Arial"/>
          <w:sz w:val="12"/>
          <w:szCs w:val="12"/>
          <w:color w:val="auto"/>
        </w:rPr>
        <w:t>our 2023 Plan, provided that such action does not materially impair the existing rights of any participant without such participant’s written consent. Certain material amendments also require the approval of our shareholders. No ISOs may be granted after the tenth anniversary of the date our board of directors adopted our 2023 Plan. No share awards may be granted under our 2023 Plan while it is suspended or after it is terminated.</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2019 Equity Incentive Plan</w:t>
      </w:r>
    </w:p>
    <w:p>
      <w:pPr>
        <w:spacing w:after="0" w:line="44" w:lineRule="exact"/>
        <w:rPr>
          <w:sz w:val="20"/>
          <w:szCs w:val="20"/>
          <w:color w:val="auto"/>
        </w:rPr>
      </w:pPr>
    </w:p>
    <w:p>
      <w:pPr>
        <w:ind w:left="1560" w:right="1659"/>
        <w:spacing w:after="0" w:line="275" w:lineRule="auto"/>
        <w:rPr>
          <w:sz w:val="20"/>
          <w:szCs w:val="20"/>
          <w:color w:val="auto"/>
        </w:rPr>
      </w:pPr>
      <w:r>
        <w:rPr>
          <w:rFonts w:ascii="Arial" w:cs="Arial" w:eastAsia="Arial" w:hAnsi="Arial"/>
          <w:sz w:val="12"/>
          <w:szCs w:val="12"/>
          <w:color w:val="auto"/>
        </w:rPr>
        <w:t>Our 2019 Plan was originally adopted by our board of directors and approved by our shareholders in April 2019; it was subsequently amended, most recently in December 2021. Our 2019 Plan allows for the grant of ISOs to employees, including employees of any parent or subsidiary, and for the grant of NSOs, share appreciation rights, restricted share awards, restricted share unit awards and other share awards to employees, directors and consultants, including employees and consultants of our affiliates. Once our 2023 Plan becomes effective, no further grants will be made under our 2019 Plan. Any outstanding awards granted under our 2019 Plan will remain subject to the terms of our 2019 Plan and applicable award agreements.</w:t>
      </w:r>
    </w:p>
    <w:p>
      <w:pPr>
        <w:spacing w:after="0" w:line="237"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i w:val="1"/>
          <w:iCs w:val="1"/>
          <w:color w:val="auto"/>
        </w:rPr>
        <w:t xml:space="preserve">Authorized Shares. </w:t>
      </w:r>
      <w:r>
        <w:rPr>
          <w:rFonts w:ascii="Arial" w:cs="Arial" w:eastAsia="Arial" w:hAnsi="Arial"/>
          <w:sz w:val="12"/>
          <w:szCs w:val="12"/>
          <w:color w:val="auto"/>
        </w:rPr>
        <w:t>The maximum number of ordinary shares that may be issued under our 2019 Plan is</w:t>
      </w:r>
      <w:r>
        <w:rPr>
          <w:rFonts w:ascii="Arial" w:cs="Arial" w:eastAsia="Arial" w:hAnsi="Arial"/>
          <w:sz w:val="12"/>
          <w:szCs w:val="12"/>
          <w:i w:val="1"/>
          <w:iCs w:val="1"/>
          <w:color w:val="auto"/>
        </w:rPr>
        <w:t xml:space="preserve"> </w:t>
      </w:r>
      <w:r>
        <w:rPr>
          <w:rFonts w:ascii="Arial" w:cs="Arial" w:eastAsia="Arial" w:hAnsi="Arial"/>
          <w:sz w:val="12"/>
          <w:szCs w:val="12"/>
          <w:color w:val="auto"/>
        </w:rPr>
        <w:t>8,916,263 shares. Shares subject to share awards granted under our 2019 Plan that expire or otherwise terminate without being exercised in full or that are paid out in cash rather than in shares do not reduce the number of shares available for issuance under our 2019 Plan. If any shares issued pursuant to a share award are forfeited back to or repurchased by us for any reason, the shares that are forfeited or repurchased will revert to and again become available for issuance under the 2019 Plan. Any shares previously issued which are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3" w:name="page194"/>
    <w:bookmarkEnd w:id="19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308" w:lineRule="auto"/>
        <w:rPr>
          <w:sz w:val="20"/>
          <w:szCs w:val="20"/>
          <w:color w:val="auto"/>
        </w:rPr>
      </w:pPr>
      <w:r>
        <w:rPr>
          <w:rFonts w:ascii="Arial" w:cs="Arial" w:eastAsia="Arial" w:hAnsi="Arial"/>
          <w:sz w:val="12"/>
          <w:szCs w:val="12"/>
          <w:color w:val="auto"/>
        </w:rPr>
        <w:t>reacquired in satisfaction of tax withholding obligations or as consideration for the exercise or purchase price of a share award will again become available for issuance under the 2019 Plan.</w:t>
      </w:r>
    </w:p>
    <w:p>
      <w:pPr>
        <w:spacing w:after="0" w:line="62"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i w:val="1"/>
          <w:iCs w:val="1"/>
          <w:color w:val="auto"/>
        </w:rPr>
        <w:t xml:space="preserve">Plan Administration. </w:t>
      </w:r>
      <w:r>
        <w:rPr>
          <w:rFonts w:ascii="Arial" w:cs="Arial" w:eastAsia="Arial" w:hAnsi="Arial"/>
          <w:sz w:val="12"/>
          <w:szCs w:val="12"/>
          <w:color w:val="auto"/>
        </w:rPr>
        <w:t>Our board of directors or a duly authorized committee of our board of directors</w:t>
      </w:r>
      <w:r>
        <w:rPr>
          <w:rFonts w:ascii="Arial" w:cs="Arial" w:eastAsia="Arial" w:hAnsi="Arial"/>
          <w:sz w:val="12"/>
          <w:szCs w:val="12"/>
          <w:i w:val="1"/>
          <w:iCs w:val="1"/>
          <w:color w:val="auto"/>
        </w:rPr>
        <w:t xml:space="preserve"> </w:t>
      </w:r>
      <w:r>
        <w:rPr>
          <w:rFonts w:ascii="Arial" w:cs="Arial" w:eastAsia="Arial" w:hAnsi="Arial"/>
          <w:sz w:val="12"/>
          <w:szCs w:val="12"/>
          <w:color w:val="auto"/>
        </w:rPr>
        <w:t>(referred to herein as the plan administrator) administers our 2019 Plan and the share awards granted under it. Under our 2019 Plan, the plan administrator has the authority to, among other things: (i) determine share award recipients; (ii) determine the form and terms of the share awards; (iii) determine the number of shares or other consideration subject to awards; (iv) determine the types of share awards to be granted;</w:t>
      </w:r>
    </w:p>
    <w:p>
      <w:pPr>
        <w:spacing w:after="0" w:line="1" w:lineRule="exact"/>
        <w:rPr>
          <w:sz w:val="20"/>
          <w:szCs w:val="20"/>
          <w:color w:val="auto"/>
        </w:rPr>
      </w:pPr>
    </w:p>
    <w:p>
      <w:pPr>
        <w:ind w:left="1560" w:right="1639" w:firstLine="5"/>
        <w:spacing w:after="0" w:line="269" w:lineRule="auto"/>
        <w:tabs>
          <w:tab w:leader="none" w:pos="1737" w:val="left"/>
        </w:tabs>
        <w:numPr>
          <w:ilvl w:val="0"/>
          <w:numId w:val="96"/>
        </w:numPr>
        <w:rPr>
          <w:rFonts w:ascii="Arial" w:cs="Arial" w:eastAsia="Arial" w:hAnsi="Arial"/>
          <w:sz w:val="12"/>
          <w:szCs w:val="12"/>
          <w:color w:val="auto"/>
        </w:rPr>
      </w:pPr>
      <w:r>
        <w:rPr>
          <w:rFonts w:ascii="Arial" w:cs="Arial" w:eastAsia="Arial" w:hAnsi="Arial"/>
          <w:sz w:val="12"/>
          <w:szCs w:val="12"/>
          <w:color w:val="auto"/>
        </w:rPr>
        <w:t>determine the fair market value of our ordinary shares; (vi) construe and interpret the 2019 Plan and any agreement thereunder; (vii) construe and interpret the 2019 Plan and share awards granted under it;</w:t>
      </w:r>
    </w:p>
    <w:p>
      <w:pPr>
        <w:ind w:left="1560" w:right="1599" w:firstLine="5"/>
        <w:spacing w:after="0" w:line="274" w:lineRule="auto"/>
        <w:tabs>
          <w:tab w:leader="none" w:pos="1818" w:val="left"/>
        </w:tabs>
        <w:numPr>
          <w:ilvl w:val="0"/>
          <w:numId w:val="97"/>
        </w:numPr>
        <w:rPr>
          <w:rFonts w:ascii="Arial" w:cs="Arial" w:eastAsia="Arial" w:hAnsi="Arial"/>
          <w:sz w:val="12"/>
          <w:szCs w:val="12"/>
          <w:color w:val="auto"/>
        </w:rPr>
      </w:pPr>
      <w:r>
        <w:rPr>
          <w:rFonts w:ascii="Arial" w:cs="Arial" w:eastAsia="Arial" w:hAnsi="Arial"/>
          <w:sz w:val="12"/>
          <w:szCs w:val="12"/>
          <w:color w:val="auto"/>
        </w:rPr>
        <w:t>settle all controversies regarding the 2019 Plan and share awards; (ix) accelerate the vesting and exercisability of share awards; (x) suspend or terminate the 2019 Plan at any time; (xi) amend the 2019 Plan and share awards as it deems necessary or advisable, and to submit any amendments for shareholder approval as necessary; (xii) adopt procedures and sub-plans as necessary and appropriate for participants who are foreign nationals or employed outside the United States; and (xiii) make all other determinations necessary or advisable for the administration of the 2019 Plan.</w:t>
      </w:r>
    </w:p>
    <w:p>
      <w:pPr>
        <w:spacing w:after="0" w:line="74"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Under the 2019 Plan, the plan administrator also generally has the authority to effect, with the consent of any adversely affected participant: (i) the reduction of the exercise, purchase, or strike price of any outstanding share award; (ii) the cancellation of any outstanding share award and the grant in substitution therefor of a new option, share appreciation right, restricted share award, restricted share unit award, share award, cash, or other consideration; or (iii) any other action that is treated as a repricing under generally accepted accounting principles.</w:t>
      </w:r>
    </w:p>
    <w:p>
      <w:pPr>
        <w:spacing w:after="0" w:line="82"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i w:val="1"/>
          <w:iCs w:val="1"/>
          <w:color w:val="auto"/>
        </w:rPr>
        <w:t xml:space="preserve">Share Options. </w:t>
      </w:r>
      <w:r>
        <w:rPr>
          <w:rFonts w:ascii="Arial" w:cs="Arial" w:eastAsia="Arial" w:hAnsi="Arial"/>
          <w:sz w:val="12"/>
          <w:szCs w:val="12"/>
          <w:color w:val="auto"/>
        </w:rPr>
        <w:t>ISOs and NSOs are granted pursuant to share award agreements adopted by the plan</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administrator. The plan administrator determines the exercise price for a share option, within the terms and conditions of the 2019 Plan, provided that the exercise price of a share option generally cannot be less than 100% of the fair market value of our ordinary shares on the date of grant (or 110% of the fair market value for certain major shareholders). Share options granted under the 2019 Plan vest at the rate specified by the plan administrator. Acceptable consideration for the purchase of ordinary shares issued upon the exercise of a share option will be determined by the plan administrator and may include: (i) cash, check, bank draft or money order payable to us; (ii) subject to a program developed under Regulation T (as promulgated by the Federal Reserve Board) that, prior to the issuance of the ordinary shares subject to the share option, results in either the receipt of cash (or check) by us or the receipt of irrevocable instructions to pay the aggregate exercise price to us from the sales proceeds; (iii) by delivery to us of ordinary shares; (iv) by a cashless “net exercise” arrangement if the share option is an NSO; (v) a deferred payment arrangement; or (vi) other legal consideration approved by the plan administrator. The plan administrator determines the term of share options granted under the 2019 Plan, up to a maximum of 10 years (or five years in the case of certain major shareholders). The plan administrator shall determine the effect on a share award of the disability, death, retirement, authorized leave of absence, or any other change or purported change in a holder’s status. Unless the plan administrator provides otherwise, share options generally are not transferable except by will, the laws of descent and distribution.</w:t>
      </w:r>
    </w:p>
    <w:p>
      <w:pPr>
        <w:spacing w:after="0" w:line="86" w:lineRule="exact"/>
        <w:rPr>
          <w:sz w:val="20"/>
          <w:szCs w:val="20"/>
          <w:color w:val="auto"/>
        </w:rPr>
      </w:pPr>
    </w:p>
    <w:p>
      <w:pPr>
        <w:ind w:left="1560" w:right="1719"/>
        <w:spacing w:after="0" w:line="274" w:lineRule="auto"/>
        <w:rPr>
          <w:sz w:val="20"/>
          <w:szCs w:val="20"/>
          <w:color w:val="auto"/>
        </w:rPr>
      </w:pPr>
      <w:r>
        <w:rPr>
          <w:rFonts w:ascii="Arial" w:cs="Arial" w:eastAsia="Arial" w:hAnsi="Arial"/>
          <w:sz w:val="12"/>
          <w:szCs w:val="12"/>
          <w:i w:val="1"/>
          <w:iCs w:val="1"/>
          <w:color w:val="auto"/>
        </w:rPr>
        <w:t xml:space="preserve">Restricted Share Awards. </w:t>
      </w:r>
      <w:r>
        <w:rPr>
          <w:rFonts w:ascii="Arial" w:cs="Arial" w:eastAsia="Arial" w:hAnsi="Arial"/>
          <w:sz w:val="12"/>
          <w:szCs w:val="12"/>
          <w:color w:val="auto"/>
        </w:rPr>
        <w:t>Restricted share awards are granted under restricted share award agreements</w:t>
      </w:r>
      <w:r>
        <w:rPr>
          <w:rFonts w:ascii="Arial" w:cs="Arial" w:eastAsia="Arial" w:hAnsi="Arial"/>
          <w:sz w:val="12"/>
          <w:szCs w:val="12"/>
          <w:i w:val="1"/>
          <w:iCs w:val="1"/>
          <w:color w:val="auto"/>
        </w:rPr>
        <w:t xml:space="preserve"> </w:t>
      </w:r>
      <w:r>
        <w:rPr>
          <w:rFonts w:ascii="Arial" w:cs="Arial" w:eastAsia="Arial" w:hAnsi="Arial"/>
          <w:sz w:val="12"/>
          <w:szCs w:val="12"/>
          <w:color w:val="auto"/>
        </w:rPr>
        <w:t>adopted by the plan administrator. A restricted share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ordinary shares held by the participant as of the date the participant terminates service with us through a forfeiture condition or a repurchase right.</w:t>
      </w:r>
    </w:p>
    <w:p>
      <w:pPr>
        <w:spacing w:after="0" w:line="74" w:lineRule="exact"/>
        <w:rPr>
          <w:sz w:val="20"/>
          <w:szCs w:val="20"/>
          <w:color w:val="auto"/>
        </w:rPr>
      </w:pPr>
    </w:p>
    <w:p>
      <w:pPr>
        <w:jc w:val="both"/>
        <w:ind w:left="1560" w:right="1919"/>
        <w:spacing w:after="0" w:line="282" w:lineRule="auto"/>
        <w:rPr>
          <w:sz w:val="20"/>
          <w:szCs w:val="20"/>
          <w:color w:val="auto"/>
        </w:rPr>
      </w:pPr>
      <w:r>
        <w:rPr>
          <w:rFonts w:ascii="Arial" w:cs="Arial" w:eastAsia="Arial" w:hAnsi="Arial"/>
          <w:sz w:val="12"/>
          <w:szCs w:val="12"/>
          <w:i w:val="1"/>
          <w:iCs w:val="1"/>
          <w:color w:val="auto"/>
        </w:rPr>
        <w:t>Corporate Transactions</w:t>
      </w:r>
      <w:r>
        <w:rPr>
          <w:rFonts w:ascii="Arial" w:cs="Arial" w:eastAsia="Arial" w:hAnsi="Arial"/>
          <w:sz w:val="12"/>
          <w:szCs w:val="12"/>
          <w:color w:val="auto"/>
        </w:rPr>
        <w:t>. Our 2019 Plan provides that in the event of a “corporate transaction,” unless</w:t>
      </w:r>
      <w:r>
        <w:rPr>
          <w:rFonts w:ascii="Arial" w:cs="Arial" w:eastAsia="Arial" w:hAnsi="Arial"/>
          <w:sz w:val="12"/>
          <w:szCs w:val="12"/>
          <w:i w:val="1"/>
          <w:iCs w:val="1"/>
          <w:color w:val="auto"/>
        </w:rPr>
        <w:t xml:space="preserve"> </w:t>
      </w:r>
      <w:r>
        <w:rPr>
          <w:rFonts w:ascii="Arial" w:cs="Arial" w:eastAsia="Arial" w:hAnsi="Arial"/>
          <w:sz w:val="12"/>
          <w:szCs w:val="12"/>
          <w:color w:val="auto"/>
        </w:rPr>
        <w:t>otherwise provided in a share award agreement or other written agreement between us and the award holder, the plan administrator may take one or more of the following actions with respect to such share awards:</w:t>
      </w:r>
    </w:p>
    <w:p>
      <w:pPr>
        <w:spacing w:after="0" w:line="28" w:lineRule="exact"/>
        <w:rPr>
          <w:sz w:val="20"/>
          <w:szCs w:val="20"/>
          <w:color w:val="auto"/>
        </w:rPr>
      </w:pPr>
    </w:p>
    <w:p>
      <w:pPr>
        <w:ind w:left="1980" w:right="1619" w:hanging="157"/>
        <w:spacing w:after="0" w:line="308" w:lineRule="auto"/>
        <w:tabs>
          <w:tab w:leader="none" w:pos="19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arrange for the assumption, continuation, or substitution of a share award by a surviving or acquiring corporation, or a parent or subsidiary thereof;</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4" w:name="page195"/>
    <w:bookmarkEnd w:id="19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779" w:hanging="157"/>
        <w:spacing w:after="0" w:line="308" w:lineRule="auto"/>
        <w:tabs>
          <w:tab w:leader="none" w:pos="19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arrange for the assignment of any reacquisition or repurchase rights held by us to the surviving or acquiring corporation, or a parent or subsidiary thereof;</w:t>
      </w:r>
    </w:p>
    <w:p>
      <w:pPr>
        <w:spacing w:after="0" w:line="3" w:lineRule="exact"/>
        <w:rPr>
          <w:rFonts w:ascii="Arial" w:cs="Arial" w:eastAsia="Arial" w:hAnsi="Arial"/>
          <w:sz w:val="12"/>
          <w:szCs w:val="12"/>
          <w:color w:val="auto"/>
        </w:rPr>
      </w:pPr>
    </w:p>
    <w:p>
      <w:pPr>
        <w:ind w:left="1980" w:right="1799" w:hanging="157"/>
        <w:spacing w:after="0" w:line="302" w:lineRule="auto"/>
        <w:tabs>
          <w:tab w:leader="none" w:pos="19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accelerate the vesting, in whole or in part, of the share award and provide for its termination if not exercised (if applicable) at or before the effective time of the transaction;</w:t>
      </w:r>
    </w:p>
    <w:p>
      <w:pPr>
        <w:ind w:left="1980" w:hanging="157"/>
        <w:spacing w:after="0"/>
        <w:tabs>
          <w:tab w:leader="none" w:pos="19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arrange for the lapse, in whole or in part, of any reacquisition or repurchase rights held by us;</w:t>
      </w:r>
    </w:p>
    <w:p>
      <w:pPr>
        <w:spacing w:after="0" w:line="55" w:lineRule="exact"/>
        <w:rPr>
          <w:rFonts w:ascii="Arial" w:cs="Arial" w:eastAsia="Arial" w:hAnsi="Arial"/>
          <w:sz w:val="12"/>
          <w:szCs w:val="12"/>
          <w:color w:val="auto"/>
        </w:rPr>
      </w:pPr>
    </w:p>
    <w:p>
      <w:pPr>
        <w:ind w:left="1980" w:right="1739" w:hanging="157"/>
        <w:spacing w:after="0" w:line="288" w:lineRule="auto"/>
        <w:tabs>
          <w:tab w:leader="none" w:pos="19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cancel or arrange for the cancellation of the share award, to the extent not vested or not exercised before the effective time of the transaction, in exchange for such cash consideration (including no consideration) as our board of directors, in its sole discretion, may consider appropriate; and</w:t>
      </w:r>
    </w:p>
    <w:p>
      <w:pPr>
        <w:spacing w:after="0" w:line="15" w:lineRule="exact"/>
        <w:rPr>
          <w:rFonts w:ascii="Arial" w:cs="Arial" w:eastAsia="Arial" w:hAnsi="Arial"/>
          <w:sz w:val="12"/>
          <w:szCs w:val="12"/>
          <w:color w:val="auto"/>
        </w:rPr>
      </w:pPr>
    </w:p>
    <w:p>
      <w:pPr>
        <w:ind w:left="1980" w:right="1779" w:hanging="157"/>
        <w:spacing w:after="0" w:line="288" w:lineRule="auto"/>
        <w:tabs>
          <w:tab w:leader="none" w:pos="19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make a payment equal to the excess, if any, of  (i) the value of the property the participant would have received on exercise of the share award immediately before the effective time of the transaction, over (ii) any exercise price payable by the participant in connection with the exercise.</w:t>
      </w:r>
    </w:p>
    <w:p>
      <w:pPr>
        <w:spacing w:after="0" w:line="54" w:lineRule="exact"/>
        <w:rPr>
          <w:sz w:val="20"/>
          <w:szCs w:val="20"/>
          <w:color w:val="auto"/>
        </w:rPr>
      </w:pPr>
    </w:p>
    <w:p>
      <w:pPr>
        <w:ind w:left="1560" w:right="1659"/>
        <w:spacing w:after="0" w:line="253" w:lineRule="auto"/>
        <w:rPr>
          <w:sz w:val="20"/>
          <w:szCs w:val="20"/>
          <w:color w:val="auto"/>
        </w:rPr>
      </w:pPr>
      <w:r>
        <w:rPr>
          <w:rFonts w:ascii="Arial" w:cs="Arial" w:eastAsia="Arial" w:hAnsi="Arial"/>
          <w:sz w:val="12"/>
          <w:szCs w:val="12"/>
          <w:color w:val="auto"/>
        </w:rPr>
        <w:t>The plan administrator is not obligated to treat all share awards or portions of share awards in the same manner and is not obligated to treat all participants in the same manner. Under the 2019 Plan, a “corporate transaction” is generally defined as the consummation, in a single transaction or in a series of related transactions, of: (i) a sale of all or substantially all of our assets; (ii) the sale or disposition of at least 90% of our outstanding securities; (iii) a merger or consolidation where we do not survive the transaction; or (iv) a merger or consolidation where we do survive the transaction but our ordinary shares outstanding immediately before such transaction are converted or exchanged into other property by virtue of the transaction.</w:t>
      </w:r>
    </w:p>
    <w:p>
      <w:pPr>
        <w:spacing w:after="0" w:line="219" w:lineRule="exact"/>
        <w:rPr>
          <w:sz w:val="20"/>
          <w:szCs w:val="20"/>
          <w:color w:val="auto"/>
        </w:rPr>
      </w:pPr>
    </w:p>
    <w:p>
      <w:pPr>
        <w:ind w:left="1560" w:right="1639"/>
        <w:spacing w:after="0" w:line="262" w:lineRule="auto"/>
        <w:rPr>
          <w:sz w:val="20"/>
          <w:szCs w:val="20"/>
          <w:color w:val="auto"/>
        </w:rPr>
      </w:pPr>
      <w:r>
        <w:rPr>
          <w:rFonts w:ascii="Arial" w:cs="Arial" w:eastAsia="Arial" w:hAnsi="Arial"/>
          <w:sz w:val="12"/>
          <w:szCs w:val="12"/>
          <w:i w:val="1"/>
          <w:iCs w:val="1"/>
          <w:color w:val="auto"/>
        </w:rPr>
        <w:t xml:space="preserve">Changes to Capital Structure. </w:t>
      </w:r>
      <w:r>
        <w:rPr>
          <w:rFonts w:ascii="Arial" w:cs="Arial" w:eastAsia="Arial" w:hAnsi="Arial"/>
          <w:sz w:val="12"/>
          <w:szCs w:val="12"/>
          <w:color w:val="auto"/>
        </w:rPr>
        <w:t>In the event of a “capitalization adjustment,” the board of directors, in its</w:t>
      </w:r>
      <w:r>
        <w:rPr>
          <w:rFonts w:ascii="Arial" w:cs="Arial" w:eastAsia="Arial" w:hAnsi="Arial"/>
          <w:sz w:val="12"/>
          <w:szCs w:val="12"/>
          <w:i w:val="1"/>
          <w:iCs w:val="1"/>
          <w:color w:val="auto"/>
        </w:rPr>
        <w:t xml:space="preserve"> </w:t>
      </w:r>
      <w:r>
        <w:rPr>
          <w:rFonts w:ascii="Arial" w:cs="Arial" w:eastAsia="Arial" w:hAnsi="Arial"/>
          <w:sz w:val="12"/>
          <w:szCs w:val="12"/>
          <w:color w:val="auto"/>
        </w:rPr>
        <w:t>discretion, will make appropriate and proportionate adjustments to (i) the class and maximum number of shares reserved for issuance under the 2019 Plan; (ii) the class and maximum number of shares that may be issued on the exercise of ISOs; and (iii) the class and number of shares and price per share subject to outstanding share awards. For purposes of the 2019 Plan, “capitalization adjustment” generally means any change that is made in (or other events occurring with respect to) our ordinary shares subject to the 2019 Plan or any share award without the receipt of consideration by us through merger,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(within the meaning of Statement of FASB ASC Topic 718).</w:t>
      </w:r>
    </w:p>
    <w:p>
      <w:pPr>
        <w:spacing w:after="0" w:line="83"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i w:val="1"/>
          <w:iCs w:val="1"/>
          <w:color w:val="auto"/>
        </w:rPr>
        <w:t>Change in Control</w:t>
      </w:r>
      <w:r>
        <w:rPr>
          <w:rFonts w:ascii="Arial" w:cs="Arial" w:eastAsia="Arial" w:hAnsi="Arial"/>
          <w:sz w:val="12"/>
          <w:szCs w:val="12"/>
          <w:color w:val="auto"/>
        </w:rPr>
        <w:t>. A share award may be subject to additional acceleration of vesting and exercisability</w:t>
      </w:r>
      <w:r>
        <w:rPr>
          <w:rFonts w:ascii="Arial" w:cs="Arial" w:eastAsia="Arial" w:hAnsi="Arial"/>
          <w:sz w:val="12"/>
          <w:szCs w:val="12"/>
          <w:i w:val="1"/>
          <w:iCs w:val="1"/>
          <w:color w:val="auto"/>
        </w:rPr>
        <w:t xml:space="preserve"> </w:t>
      </w:r>
      <w:r>
        <w:rPr>
          <w:rFonts w:ascii="Arial" w:cs="Arial" w:eastAsia="Arial" w:hAnsi="Arial"/>
          <w:sz w:val="12"/>
          <w:szCs w:val="12"/>
          <w:color w:val="auto"/>
        </w:rPr>
        <w:t>upon or after a change in control as may be provided in an applicable share award agreement or other written agreement, but in the absence of such provision, no such acceleration will occur</w:t>
      </w:r>
      <w:r>
        <w:rPr>
          <w:rFonts w:ascii="Arial" w:cs="Arial" w:eastAsia="Arial" w:hAnsi="Arial"/>
          <w:sz w:val="12"/>
          <w:szCs w:val="12"/>
          <w:i w:val="1"/>
          <w:iCs w:val="1"/>
          <w:color w:val="auto"/>
        </w:rPr>
        <w:t>.</w:t>
      </w:r>
      <w:r>
        <w:rPr>
          <w:rFonts w:ascii="Arial" w:cs="Arial" w:eastAsia="Arial" w:hAnsi="Arial"/>
          <w:sz w:val="12"/>
          <w:szCs w:val="12"/>
          <w:color w:val="auto"/>
        </w:rPr>
        <w:t xml:space="preserve"> Under the 2019 Plan, a “change in control” is generally defined as (i) a merger, consolidation or similar transaction in which, immediately after the consummation of such transaction, our shareholders as of immediately before the transaction do not own, directly or indirectly, more than 50% of the combined outstanding voting power of the surviving entity (or the parent of the surviving entity) in substantially the same proportions as their ownership immediately prior to such transaction; (ii) a sale, lease, exclusive license or other disposition of all or substantially all of our consolidated assets other than to an entity more than 50% of the combined voting power of which is owned by our shareholders in substantially the same proportions as their ownership of our outstanding voting securities immediately prior to such transaction; or (iii) the approval by the shareholders or the board of directors of a plan of complete dissolution or liquidation of the company, or the occurrence of a complete dissolution or liquidation of the company, except for a liquidation into a parent corporation.</w:t>
      </w:r>
    </w:p>
    <w:p>
      <w:pPr>
        <w:spacing w:after="0" w:line="85" w:lineRule="exact"/>
        <w:rPr>
          <w:sz w:val="20"/>
          <w:szCs w:val="20"/>
          <w:color w:val="auto"/>
        </w:rPr>
      </w:pPr>
    </w:p>
    <w:p>
      <w:pPr>
        <w:ind w:left="1560" w:right="1599"/>
        <w:spacing w:after="0" w:line="293" w:lineRule="auto"/>
        <w:rPr>
          <w:sz w:val="20"/>
          <w:szCs w:val="20"/>
          <w:color w:val="auto"/>
        </w:rPr>
      </w:pPr>
      <w:r>
        <w:rPr>
          <w:rFonts w:ascii="Arial" w:cs="Arial" w:eastAsia="Arial" w:hAnsi="Arial"/>
          <w:sz w:val="12"/>
          <w:szCs w:val="12"/>
          <w:i w:val="1"/>
          <w:iCs w:val="1"/>
          <w:color w:val="auto"/>
        </w:rPr>
        <w:t xml:space="preserve">Transferability. </w:t>
      </w:r>
      <w:r>
        <w:rPr>
          <w:rFonts w:ascii="Arial" w:cs="Arial" w:eastAsia="Arial" w:hAnsi="Arial"/>
          <w:sz w:val="12"/>
          <w:szCs w:val="12"/>
          <w:color w:val="auto"/>
        </w:rPr>
        <w:t>A participant may not transfer share awards under our 2019 Plan other than by will, the laws</w:t>
      </w:r>
      <w:r>
        <w:rPr>
          <w:rFonts w:ascii="Arial" w:cs="Arial" w:eastAsia="Arial" w:hAnsi="Arial"/>
          <w:sz w:val="12"/>
          <w:szCs w:val="12"/>
          <w:i w:val="1"/>
          <w:iCs w:val="1"/>
          <w:color w:val="auto"/>
        </w:rPr>
        <w:t xml:space="preserve"> </w:t>
      </w:r>
      <w:r>
        <w:rPr>
          <w:rFonts w:ascii="Arial" w:cs="Arial" w:eastAsia="Arial" w:hAnsi="Arial"/>
          <w:sz w:val="12"/>
          <w:szCs w:val="12"/>
          <w:color w:val="auto"/>
        </w:rPr>
        <w:t>of descent and distribution, or as otherwise provided under our 2019 Plan or a share award granted thereunder.</w:t>
      </w:r>
    </w:p>
    <w:p>
      <w:pPr>
        <w:spacing w:after="0" w:line="214" w:lineRule="exact"/>
        <w:rPr>
          <w:sz w:val="20"/>
          <w:szCs w:val="20"/>
          <w:color w:val="auto"/>
        </w:rPr>
      </w:pPr>
    </w:p>
    <w:p>
      <w:pPr>
        <w:ind w:left="1560" w:right="1639"/>
        <w:spacing w:after="0" w:line="268" w:lineRule="auto"/>
        <w:rPr>
          <w:sz w:val="20"/>
          <w:szCs w:val="20"/>
          <w:color w:val="auto"/>
        </w:rPr>
      </w:pPr>
      <w:r>
        <w:rPr>
          <w:rFonts w:ascii="Arial" w:cs="Arial" w:eastAsia="Arial" w:hAnsi="Arial"/>
          <w:sz w:val="12"/>
          <w:szCs w:val="12"/>
          <w:i w:val="1"/>
          <w:iCs w:val="1"/>
          <w:color w:val="auto"/>
        </w:rPr>
        <w:t>Plan Amendment or Termination</w:t>
      </w:r>
      <w:r>
        <w:rPr>
          <w:rFonts w:ascii="Arial" w:cs="Arial" w:eastAsia="Arial" w:hAnsi="Arial"/>
          <w:sz w:val="12"/>
          <w:szCs w:val="12"/>
          <w:color w:val="auto"/>
        </w:rPr>
        <w:t>. Our board of directors has the authority to amend, suspend, or terminate</w:t>
      </w:r>
      <w:r>
        <w:rPr>
          <w:rFonts w:ascii="Arial" w:cs="Arial" w:eastAsia="Arial" w:hAnsi="Arial"/>
          <w:sz w:val="12"/>
          <w:szCs w:val="12"/>
          <w:i w:val="1"/>
          <w:iCs w:val="1"/>
          <w:color w:val="auto"/>
        </w:rPr>
        <w:t xml:space="preserve"> </w:t>
      </w:r>
      <w:r>
        <w:rPr>
          <w:rFonts w:ascii="Arial" w:cs="Arial" w:eastAsia="Arial" w:hAnsi="Arial"/>
          <w:sz w:val="12"/>
          <w:szCs w:val="12"/>
          <w:color w:val="auto"/>
        </w:rPr>
        <w:t>our 2019 Plan; provided that no amendment of the 2019 Plan shall materially and adversely affect any outstanding share award without the consent of the affected holder. Certain material amendments require the approval of our shareholders. Unless terminated sooner, the 2019 Plan will automatically terminate April 17, 2029. No share awards may be granted under the 2019 Plan while it is suspended or after it is terminated.</w:t>
      </w:r>
    </w:p>
    <w:p>
      <w:pPr>
        <w:spacing w:after="0" w:line="27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2023 Employee Stock Purchase Plan</w:t>
      </w:r>
    </w:p>
    <w:p>
      <w:pPr>
        <w:spacing w:after="0" w:line="34" w:lineRule="exact"/>
        <w:rPr>
          <w:sz w:val="20"/>
          <w:szCs w:val="20"/>
          <w:color w:val="auto"/>
        </w:rPr>
      </w:pPr>
    </w:p>
    <w:p>
      <w:pPr>
        <w:ind w:left="1560" w:right="1659"/>
        <w:spacing w:after="0" w:line="293" w:lineRule="auto"/>
        <w:rPr>
          <w:sz w:val="20"/>
          <w:szCs w:val="20"/>
          <w:color w:val="auto"/>
        </w:rPr>
      </w:pPr>
      <w:r>
        <w:rPr>
          <w:rFonts w:ascii="Arial" w:cs="Arial" w:eastAsia="Arial" w:hAnsi="Arial"/>
          <w:sz w:val="12"/>
          <w:szCs w:val="12"/>
          <w:color w:val="auto"/>
        </w:rPr>
        <w:t>Our board of directors adopted, and our shareholders approved, our 2023 Employee Share Purchase Plan, or ESPP, in January 2023. Our ESPP became effective immediately prior to the execution of the underwriting</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5" w:name="page196"/>
    <w:bookmarkEnd w:id="19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62" w:lineRule="auto"/>
        <w:rPr>
          <w:sz w:val="20"/>
          <w:szCs w:val="20"/>
          <w:color w:val="auto"/>
        </w:rPr>
      </w:pPr>
      <w:r>
        <w:rPr>
          <w:rFonts w:ascii="Arial" w:cs="Arial" w:eastAsia="Arial" w:hAnsi="Arial"/>
          <w:sz w:val="12"/>
          <w:szCs w:val="12"/>
          <w:color w:val="auto"/>
        </w:rPr>
        <w:t>agreement related to this offering. The purpose of our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Except where the context indicates otherwise, and consistent with the terms of the ESPP, references hereunder to an ordinary share shall be deemed to include the number of ADSs equal to an ordinary share.</w:t>
      </w:r>
    </w:p>
    <w:p>
      <w:pPr>
        <w:spacing w:after="0" w:line="79" w:lineRule="exact"/>
        <w:rPr>
          <w:sz w:val="20"/>
          <w:szCs w:val="20"/>
          <w:color w:val="auto"/>
        </w:rPr>
      </w:pPr>
    </w:p>
    <w:p>
      <w:pPr>
        <w:ind w:left="1560" w:right="1579"/>
        <w:spacing w:after="0" w:line="264"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Following this offering, our ESPP will authorize the issuance of 1,000,000 ordinary shares</w:t>
      </w:r>
      <w:r>
        <w:rPr>
          <w:rFonts w:ascii="Arial" w:cs="Arial" w:eastAsia="Arial" w:hAnsi="Arial"/>
          <w:sz w:val="12"/>
          <w:szCs w:val="12"/>
          <w:i w:val="1"/>
          <w:iCs w:val="1"/>
          <w:color w:val="auto"/>
        </w:rPr>
        <w:t xml:space="preserve"> </w:t>
      </w:r>
      <w:r>
        <w:rPr>
          <w:rFonts w:ascii="Arial" w:cs="Arial" w:eastAsia="Arial" w:hAnsi="Arial"/>
          <w:sz w:val="12"/>
          <w:szCs w:val="12"/>
          <w:color w:val="auto"/>
        </w:rPr>
        <w:t>under purchase rights granted to our employees or to employees of any of our designated affiliates. The number of ordinary shares reserved for issuance will automatically increase on January 1 of each calendar year, beginning on January 1, 2024 through January 1, 2033, by the lesser of  (i) 1% of the total number of our outstanding share capital on the last day of the calendar month before the date of the automatic increase; and (ii) 3,000,000 ordinary shares; provided that before the date of any such increase, our board of directors may determine that such increase will be less than the amount set forth in clauses (i) and (ii).</w:t>
      </w:r>
    </w:p>
    <w:p>
      <w:pPr>
        <w:spacing w:after="0" w:line="78" w:lineRule="exact"/>
        <w:rPr>
          <w:sz w:val="20"/>
          <w:szCs w:val="20"/>
          <w:color w:val="auto"/>
        </w:rPr>
      </w:pPr>
    </w:p>
    <w:p>
      <w:pPr>
        <w:ind w:left="1560" w:right="1639"/>
        <w:spacing w:after="0" w:line="264"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Our board of directors, or a duly authorized committee thereof, will administer our ESPP.</w:t>
      </w:r>
      <w:r>
        <w:rPr>
          <w:rFonts w:ascii="Arial" w:cs="Arial" w:eastAsia="Arial" w:hAnsi="Arial"/>
          <w:sz w:val="12"/>
          <w:szCs w:val="12"/>
          <w:i w:val="1"/>
          <w:iCs w:val="1"/>
          <w:color w:val="auto"/>
        </w:rPr>
        <w:t xml:space="preserve"> </w:t>
      </w:r>
      <w:r>
        <w:rPr>
          <w:rFonts w:ascii="Arial" w:cs="Arial" w:eastAsia="Arial" w:hAnsi="Arial"/>
          <w:sz w:val="12"/>
          <w:szCs w:val="12"/>
          <w:color w:val="auto"/>
        </w:rPr>
        <w:t>Our ESPP will be implemented through a series of offerings under which eligible employees are granted purchase rights to purchase ordinary shares on specified dates during such offerings. Under our ESPP, we may specify offerings with durations of not more than 27 months, and may specify shorter purchase periods within each offering. Each offering will have one or more purchase dates on which ordinary shares will be purchased for employees participating in the offering. An offering under our ESPP may be terminated under certain circumstances.</w:t>
      </w:r>
    </w:p>
    <w:p>
      <w:pPr>
        <w:spacing w:after="0" w:line="78" w:lineRule="exact"/>
        <w:rPr>
          <w:sz w:val="20"/>
          <w:szCs w:val="20"/>
          <w:color w:val="auto"/>
        </w:rPr>
      </w:pPr>
    </w:p>
    <w:p>
      <w:pPr>
        <w:ind w:left="1560" w:right="1679"/>
        <w:spacing w:after="0" w:line="259" w:lineRule="auto"/>
        <w:rPr>
          <w:sz w:val="20"/>
          <w:szCs w:val="20"/>
          <w:color w:val="auto"/>
        </w:rPr>
      </w:pPr>
      <w:r>
        <w:rPr>
          <w:rFonts w:ascii="Arial" w:cs="Arial" w:eastAsia="Arial" w:hAnsi="Arial"/>
          <w:sz w:val="12"/>
          <w:szCs w:val="12"/>
          <w:i w:val="1"/>
          <w:iCs w:val="1"/>
          <w:color w:val="auto"/>
        </w:rPr>
        <w:t xml:space="preserve">Payroll Deductions. </w:t>
      </w:r>
      <w:r>
        <w:rPr>
          <w:rFonts w:ascii="Arial" w:cs="Arial" w:eastAsia="Arial" w:hAnsi="Arial"/>
          <w:sz w:val="12"/>
          <w:szCs w:val="12"/>
          <w:color w:val="auto"/>
        </w:rPr>
        <w:t>Generally, all regular employees, including executive officers, employed by us or by</w:t>
      </w:r>
      <w:r>
        <w:rPr>
          <w:rFonts w:ascii="Arial" w:cs="Arial" w:eastAsia="Arial" w:hAnsi="Arial"/>
          <w:sz w:val="12"/>
          <w:szCs w:val="12"/>
          <w:i w:val="1"/>
          <w:iCs w:val="1"/>
          <w:color w:val="auto"/>
        </w:rPr>
        <w:t xml:space="preserve"> </w:t>
      </w:r>
      <w:r>
        <w:rPr>
          <w:rFonts w:ascii="Arial" w:cs="Arial" w:eastAsia="Arial" w:hAnsi="Arial"/>
          <w:sz w:val="12"/>
          <w:szCs w:val="12"/>
          <w:color w:val="auto"/>
        </w:rPr>
        <w:t>any of our designated affiliates, may participate in our ESPP and may contribute, normally through payroll deductions, up to 15% of their earnings (as defined in our ESPP) for the purchase of our ordinary shares under our ESPP. Unless otherwise determined by our board of directors, ordinary shares will be purchased for the accounts of employees participating in our ESPP at a price per share that is at least the lesser of:</w:t>
      </w:r>
    </w:p>
    <w:p>
      <w:pPr>
        <w:spacing w:after="0" w:line="2" w:lineRule="exact"/>
        <w:rPr>
          <w:sz w:val="20"/>
          <w:szCs w:val="20"/>
          <w:color w:val="auto"/>
        </w:rPr>
      </w:pPr>
    </w:p>
    <w:p>
      <w:pPr>
        <w:ind w:left="1560" w:right="1879" w:firstLine="5"/>
        <w:spacing w:after="0" w:line="287" w:lineRule="auto"/>
        <w:tabs>
          <w:tab w:leader="none" w:pos="1703" w:val="left"/>
        </w:tabs>
        <w:numPr>
          <w:ilvl w:val="0"/>
          <w:numId w:val="100"/>
        </w:numPr>
        <w:rPr>
          <w:rFonts w:ascii="Arial" w:cs="Arial" w:eastAsia="Arial" w:hAnsi="Arial"/>
          <w:sz w:val="12"/>
          <w:szCs w:val="12"/>
          <w:color w:val="auto"/>
        </w:rPr>
      </w:pPr>
      <w:r>
        <w:rPr>
          <w:rFonts w:ascii="Arial" w:cs="Arial" w:eastAsia="Arial" w:hAnsi="Arial"/>
          <w:sz w:val="12"/>
          <w:szCs w:val="12"/>
          <w:color w:val="auto"/>
        </w:rPr>
        <w:t>85% of the fair market value of an ordinary share on the first date of an offering; or (ii) 85% of the fair market value of an ordinary share on the date of purchase.</w:t>
      </w:r>
    </w:p>
    <w:p>
      <w:pPr>
        <w:spacing w:after="0" w:line="64"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i w:val="1"/>
          <w:iCs w:val="1"/>
          <w:color w:val="auto"/>
        </w:rPr>
        <w:t>Limitations</w:t>
      </w:r>
      <w:r>
        <w:rPr>
          <w:rFonts w:ascii="Arial" w:cs="Arial" w:eastAsia="Arial" w:hAnsi="Arial"/>
          <w:sz w:val="12"/>
          <w:szCs w:val="12"/>
          <w:color w:val="auto"/>
        </w:rPr>
        <w:t>. Employees may have to satisfy one or more of the following service requirements before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participating in our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w:t>
      </w:r>
    </w:p>
    <w:p>
      <w:pPr>
        <w:spacing w:after="0" w:line="2" w:lineRule="exact"/>
        <w:rPr>
          <w:sz w:val="20"/>
          <w:szCs w:val="20"/>
          <w:color w:val="auto"/>
        </w:rPr>
      </w:pPr>
    </w:p>
    <w:p>
      <w:pPr>
        <w:ind w:left="1560" w:right="1639"/>
        <w:spacing w:after="0" w:line="256" w:lineRule="auto"/>
        <w:rPr>
          <w:sz w:val="20"/>
          <w:szCs w:val="20"/>
          <w:color w:val="auto"/>
        </w:rPr>
      </w:pPr>
      <w:r>
        <w:rPr>
          <w:rFonts w:ascii="Arial" w:cs="Arial" w:eastAsia="Arial" w:hAnsi="Arial"/>
          <w:sz w:val="12"/>
          <w:szCs w:val="12"/>
          <w:color w:val="auto"/>
        </w:rPr>
        <w:t>two years). No employee may purchase shares under our ESPP at a rate in excess of  $25,000 worth of our ordinary shares based on the fair market value per share of our ordinary shares at the beginning of an offering for each year such a purchase right is outstanding. Finally, no employee will be eligible for the grant of any purchase rights under our ESPP if immediately after such rights are granted, such employee has voting power over 5% or more of our outstanding share capital measured by vote or value under</w:t>
      </w:r>
    </w:p>
    <w:p>
      <w:pPr>
        <w:spacing w:after="0" w:line="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Section 424(d) of the Code.</w:t>
      </w:r>
    </w:p>
    <w:p>
      <w:pPr>
        <w:spacing w:after="0" w:line="107" w:lineRule="exact"/>
        <w:rPr>
          <w:sz w:val="20"/>
          <w:szCs w:val="20"/>
          <w:color w:val="auto"/>
        </w:rPr>
      </w:pPr>
    </w:p>
    <w:p>
      <w:pPr>
        <w:ind w:left="1560" w:right="1639"/>
        <w:spacing w:after="0" w:line="261" w:lineRule="auto"/>
        <w:rPr>
          <w:sz w:val="20"/>
          <w:szCs w:val="20"/>
          <w:color w:val="auto"/>
        </w:rPr>
      </w:pPr>
      <w:r>
        <w:rPr>
          <w:rFonts w:ascii="Arial" w:cs="Arial" w:eastAsia="Arial" w:hAnsi="Arial"/>
          <w:sz w:val="12"/>
          <w:szCs w:val="12"/>
          <w:i w:val="1"/>
          <w:iCs w:val="1"/>
          <w:color w:val="auto"/>
        </w:rPr>
        <w:t xml:space="preserve">Changes to Capital Structure. </w:t>
      </w:r>
      <w:r>
        <w:rPr>
          <w:rFonts w:ascii="Arial" w:cs="Arial" w:eastAsia="Arial" w:hAnsi="Arial"/>
          <w:sz w:val="12"/>
          <w:szCs w:val="12"/>
          <w:color w:val="auto"/>
        </w:rPr>
        <w:t>In the event that there occurs a change in our capital structure through such</w:t>
      </w:r>
      <w:r>
        <w:rPr>
          <w:rFonts w:ascii="Arial" w:cs="Arial" w:eastAsia="Arial" w:hAnsi="Arial"/>
          <w:sz w:val="12"/>
          <w:szCs w:val="12"/>
          <w:i w:val="1"/>
          <w:iCs w:val="1"/>
          <w:color w:val="auto"/>
        </w:rPr>
        <w:t xml:space="preserve"> </w:t>
      </w:r>
      <w:r>
        <w:rPr>
          <w:rFonts w:ascii="Arial" w:cs="Arial" w:eastAsia="Arial" w:hAnsi="Arial"/>
          <w:sz w:val="12"/>
          <w:szCs w:val="12"/>
          <w:color w:val="auto"/>
        </w:rPr>
        <w:t>actions as a share split, merger, 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 appropriate adjustments to: (i) the class(es) and maximum number of ordinary shares reserved under our ESPP; (ii) the class(es) and maximum number of ordinary shares by which the share reserve may increase automatically each year; (iii) the class(es) and maximum number of ordinary shares and purchase price of all outstanding purchase rights; and (iv) the class(es) and maximum number of ordinary shares that are subject to purchase limits under ongoing offerings.</w:t>
      </w:r>
    </w:p>
    <w:p>
      <w:pPr>
        <w:spacing w:after="0" w:line="80" w:lineRule="exact"/>
        <w:rPr>
          <w:sz w:val="20"/>
          <w:szCs w:val="20"/>
          <w:color w:val="auto"/>
        </w:rPr>
      </w:pPr>
    </w:p>
    <w:p>
      <w:pPr>
        <w:ind w:left="1560" w:right="1659"/>
        <w:spacing w:after="0" w:line="308" w:lineRule="auto"/>
        <w:rPr>
          <w:sz w:val="20"/>
          <w:szCs w:val="20"/>
          <w:color w:val="auto"/>
        </w:rPr>
      </w:pPr>
      <w:r>
        <w:rPr>
          <w:rFonts w:ascii="Arial" w:cs="Arial" w:eastAsia="Arial" w:hAnsi="Arial"/>
          <w:sz w:val="12"/>
          <w:szCs w:val="12"/>
          <w:i w:val="1"/>
          <w:iCs w:val="1"/>
          <w:color w:val="auto"/>
        </w:rPr>
        <w:t xml:space="preserve">Corporate Transactions. </w:t>
      </w:r>
      <w:r>
        <w:rPr>
          <w:rFonts w:ascii="Arial" w:cs="Arial" w:eastAsia="Arial" w:hAnsi="Arial"/>
          <w:sz w:val="12"/>
          <w:szCs w:val="12"/>
          <w:color w:val="auto"/>
        </w:rPr>
        <w:t>In the event of certain significant corporate transactions, including: (i) a sale of all</w:t>
      </w:r>
      <w:r>
        <w:rPr>
          <w:rFonts w:ascii="Arial" w:cs="Arial" w:eastAsia="Arial" w:hAnsi="Arial"/>
          <w:sz w:val="12"/>
          <w:szCs w:val="12"/>
          <w:i w:val="1"/>
          <w:iCs w:val="1"/>
          <w:color w:val="auto"/>
        </w:rPr>
        <w:t xml:space="preserve"> </w:t>
      </w:r>
      <w:r>
        <w:rPr>
          <w:rFonts w:ascii="Arial" w:cs="Arial" w:eastAsia="Arial" w:hAnsi="Arial"/>
          <w:sz w:val="12"/>
          <w:szCs w:val="12"/>
          <w:color w:val="auto"/>
        </w:rPr>
        <w:t>or substantially all of our assets; (ii) the sale or disposition of more than 50% of our outstanding securities;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6" w:name="page197"/>
    <w:bookmarkEnd w:id="19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firstLine="5"/>
        <w:spacing w:after="0" w:line="263" w:lineRule="auto"/>
        <w:tabs>
          <w:tab w:leader="none" w:pos="1757"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consummation of a merger or consolidation where we do not survive the transaction; and (iv) the consummation of a merger or consolidation where we do survive the transaction but the ordinary shares outstanding immediately before such transaction are converted or exchanged into other property by virtue of the transaction, any then-outstanding rights to purchase our shares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our ordinary shares within ten business days before such corporate transaction, and such purchase rights will terminate immediately after such purchase.</w:t>
      </w:r>
    </w:p>
    <w:p>
      <w:pPr>
        <w:spacing w:after="0" w:line="80"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i w:val="1"/>
          <w:iCs w:val="1"/>
          <w:color w:val="auto"/>
        </w:rPr>
        <w:t>ESPP Amendment or Termination</w:t>
      </w:r>
      <w:r>
        <w:rPr>
          <w:rFonts w:ascii="Arial" w:cs="Arial" w:eastAsia="Arial" w:hAnsi="Arial"/>
          <w:sz w:val="12"/>
          <w:szCs w:val="12"/>
          <w:color w:val="auto"/>
        </w:rPr>
        <w:t>. Our board of directors will have the authority to amend or terminate our</w:t>
      </w:r>
      <w:r>
        <w:rPr>
          <w:rFonts w:ascii="Arial" w:cs="Arial" w:eastAsia="Arial" w:hAnsi="Arial"/>
          <w:sz w:val="12"/>
          <w:szCs w:val="12"/>
          <w:i w:val="1"/>
          <w:iCs w:val="1"/>
          <w:color w:val="auto"/>
        </w:rPr>
        <w:t xml:space="preserve"> </w:t>
      </w:r>
      <w:r>
        <w:rPr>
          <w:rFonts w:ascii="Arial" w:cs="Arial" w:eastAsia="Arial" w:hAnsi="Arial"/>
          <w:sz w:val="12"/>
          <w:szCs w:val="12"/>
          <w:color w:val="auto"/>
        </w:rPr>
        <w:t>ESPP, provided that except in certain circumstances such amendment or termination may not materially impair any outstanding purchase rights without the holder’s consent. We will obtain shareholder approval of any amendment to our ESPP as required by applicable law or listing requirements.</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401(k) Plan</w:t>
      </w:r>
    </w:p>
    <w:p>
      <w:pPr>
        <w:spacing w:after="0" w:line="65"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We maintain a 401(k) plan that provides eligible U.S. employees with an opportunity to save for retirement on a tax advantaged basis. Eligible employees are able to defer eligible compensation up to certain Code limits, which are updated annually. For 2022, we make safe-harbor matching contributions of 100% of each dollar contributed by eligible employees, up to 4% of an employee’s eligible compensation. We may also make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Non-Employee Director Compensation</w:t>
      </w:r>
    </w:p>
    <w:p>
      <w:pPr>
        <w:spacing w:after="0" w:line="46" w:lineRule="exact"/>
        <w:rPr>
          <w:sz w:val="20"/>
          <w:szCs w:val="20"/>
          <w:color w:val="auto"/>
        </w:rPr>
      </w:pPr>
    </w:p>
    <w:p>
      <w:pPr>
        <w:ind w:left="1560" w:right="1719"/>
        <w:spacing w:after="0" w:line="291" w:lineRule="auto"/>
        <w:rPr>
          <w:sz w:val="20"/>
          <w:szCs w:val="20"/>
          <w:color w:val="auto"/>
        </w:rPr>
      </w:pPr>
      <w:r>
        <w:rPr>
          <w:rFonts w:ascii="Arial" w:cs="Arial" w:eastAsia="Arial" w:hAnsi="Arial"/>
          <w:sz w:val="12"/>
          <w:szCs w:val="12"/>
          <w:color w:val="auto"/>
        </w:rPr>
        <w:t>The following table sets forth information regarding the compensation earned or paid to our non-employee directors during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74295</wp:posOffset>
            </wp:positionV>
            <wp:extent cx="373316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rPr>
              <w:t>FEES EARNED 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rPr>
              <w:t>OPTION</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rPr>
              <w:t>PAID IN CASH</w:t>
            </w:r>
          </w:p>
        </w:tc>
        <w:tc>
          <w:tcPr>
            <w:tcW w:w="16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Arial" w:cs="Arial" w:eastAsia="Arial" w:hAnsi="Arial"/>
                <w:sz w:val="10"/>
                <w:szCs w:val="10"/>
                <w:b w:val="1"/>
                <w:bCs w:val="1"/>
                <w:color w:val="auto"/>
              </w:rPr>
              <w:t>AWARDS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right"/>
              <w:ind w:right="66"/>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ind w:right="8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40" w:type="dxa"/>
            <w:vAlign w:val="bottom"/>
          </w:tcPr>
          <w:p>
            <w:pPr>
              <w:spacing w:after="0"/>
              <w:rPr>
                <w:sz w:val="13"/>
                <w:szCs w:val="13"/>
                <w:color w:val="auto"/>
              </w:rPr>
            </w:pPr>
          </w:p>
        </w:tc>
        <w:tc>
          <w:tcPr>
            <w:tcW w:w="500" w:type="dxa"/>
            <w:vAlign w:val="bottom"/>
          </w:tcPr>
          <w:p>
            <w:pPr>
              <w:jc w:val="center"/>
              <w:ind w:right="7"/>
              <w:spacing w:after="0" w:line="161"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6"/>
                <w:szCs w:val="6"/>
                <w:b w:val="1"/>
                <w:bCs w:val="1"/>
                <w:color w:val="auto"/>
              </w:rPr>
              <w:t>(2)(3)</w:t>
            </w:r>
          </w:p>
        </w:tc>
        <w:tc>
          <w:tcPr>
            <w:tcW w:w="18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40" w:type="dxa"/>
            <w:vAlign w:val="bottom"/>
          </w:tcPr>
          <w:p>
            <w:pPr>
              <w:spacing w:after="0"/>
              <w:rPr>
                <w:sz w:val="13"/>
                <w:szCs w:val="13"/>
                <w:color w:val="auto"/>
              </w:rPr>
            </w:pPr>
          </w:p>
        </w:tc>
        <w:tc>
          <w:tcPr>
            <w:tcW w:w="540" w:type="dxa"/>
            <w:vAlign w:val="bottom"/>
            <w:gridSpan w:val="2"/>
          </w:tcPr>
          <w:p>
            <w:pPr>
              <w:jc w:val="right"/>
              <w:spacing w:after="0" w:line="161"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Daniel G. Welch</w:t>
            </w:r>
            <w:r>
              <w:rPr>
                <w:rFonts w:ascii="Arial" w:cs="Arial" w:eastAsia="Arial" w:hAnsi="Arial"/>
                <w:sz w:val="9"/>
                <w:szCs w:val="9"/>
                <w:color w:val="auto"/>
              </w:rPr>
              <w:t>(1)</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224,000</w:t>
            </w:r>
          </w:p>
        </w:tc>
        <w:tc>
          <w:tcPr>
            <w:tcW w:w="1420" w:type="dxa"/>
            <w:vAlign w:val="bottom"/>
            <w:gridSpan w:val="6"/>
            <w:shd w:val="clear" w:color="auto" w:fill="CCEEFF"/>
          </w:tcPr>
          <w:p>
            <w:pPr>
              <w:jc w:val="right"/>
              <w:spacing w:after="0" w:line="183" w:lineRule="exact"/>
              <w:rPr>
                <w:sz w:val="20"/>
                <w:szCs w:val="20"/>
                <w:color w:val="auto"/>
              </w:rPr>
            </w:pPr>
            <w:r>
              <w:rPr>
                <w:rFonts w:ascii="Arial" w:cs="Arial" w:eastAsia="Arial" w:hAnsi="Arial"/>
                <w:sz w:val="21"/>
                <w:szCs w:val="21"/>
                <w:color w:val="auto"/>
                <w:vertAlign w:val="subscript"/>
              </w:rPr>
              <w:t>​ ​ ​​</w:t>
            </w:r>
            <w:r>
              <w:rPr>
                <w:rFonts w:ascii="Arial" w:cs="Arial" w:eastAsia="Arial" w:hAnsi="Arial"/>
                <w:sz w:val="11"/>
                <w:szCs w:val="11"/>
                <w:color w:val="auto"/>
              </w:rPr>
              <w:t>​2,200,215</w:t>
            </w:r>
            <w:r>
              <w:rPr>
                <w:rFonts w:ascii="Arial" w:cs="Arial" w:eastAsia="Arial" w:hAnsi="Arial"/>
                <w:sz w:val="21"/>
                <w:szCs w:val="21"/>
                <w:color w:val="auto"/>
                <w:vertAlign w:val="subscript"/>
              </w:rPr>
              <w:t>​​ ​​</w:t>
            </w:r>
            <w:r>
              <w:rPr>
                <w:rFonts w:ascii="Arial" w:cs="Arial" w:eastAsia="Arial" w:hAnsi="Arial"/>
                <w:sz w:val="11"/>
                <w:szCs w:val="11"/>
                <w:color w:val="auto"/>
              </w:rPr>
              <w:t>​2,424,215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80" w:type="dxa"/>
            <w:vAlign w:val="bottom"/>
          </w:tcPr>
          <w:p>
            <w:pPr>
              <w:spacing w:after="0"/>
              <w:rPr>
                <w:sz w:val="20"/>
                <w:szCs w:val="20"/>
                <w:color w:val="auto"/>
              </w:rPr>
            </w:pPr>
            <w:r>
              <w:rPr>
                <w:rFonts w:ascii="Arial" w:cs="Arial" w:eastAsia="Arial" w:hAnsi="Arial"/>
                <w:sz w:val="12"/>
                <w:szCs w:val="12"/>
                <w:color w:val="auto"/>
              </w:rPr>
              <w:t>Ramy Farid, Ph.D.</w:t>
            </w:r>
          </w:p>
        </w:tc>
        <w:tc>
          <w:tcPr>
            <w:tcW w:w="140" w:type="dxa"/>
            <w:vAlign w:val="bottom"/>
          </w:tcPr>
          <w:p>
            <w:pPr>
              <w:ind w:left="40"/>
              <w:spacing w:after="0"/>
              <w:rPr>
                <w:sz w:val="20"/>
                <w:szCs w:val="20"/>
                <w:color w:val="auto"/>
              </w:rPr>
            </w:pPr>
            <w:r>
              <w:rPr>
                <w:rFonts w:ascii="Arial" w:cs="Arial" w:eastAsia="Arial" w:hAnsi="Arial"/>
                <w:sz w:val="12"/>
                <w:szCs w:val="12"/>
                <w:color w:val="auto"/>
              </w:rPr>
              <w:t>​ ​</w:t>
            </w:r>
          </w:p>
        </w:tc>
        <w:tc>
          <w:tcPr>
            <w:tcW w:w="320" w:type="dxa"/>
            <w:vAlign w:val="bottom"/>
            <w:gridSpan w:val="2"/>
          </w:tcPr>
          <w:p>
            <w:pPr>
              <w:jc w:val="right"/>
              <w:ind w:right="39"/>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line="173" w:lineRule="exact"/>
              <w:rPr>
                <w:sz w:val="20"/>
                <w:szCs w:val="20"/>
                <w:color w:val="auto"/>
              </w:rPr>
            </w:pPr>
            <w:r>
              <w:rPr>
                <w:rFonts w:ascii="Arial" w:cs="Arial" w:eastAsia="Arial" w:hAnsi="Arial"/>
                <w:sz w:val="11"/>
                <w:szCs w:val="11"/>
                <w:color w:val="auto"/>
              </w:rPr>
              <w:t>​ ​ ​​</w:t>
            </w:r>
            <w:r>
              <w:rPr>
                <w:rFonts w:ascii="Arial" w:cs="Arial" w:eastAsia="Arial" w:hAnsi="Arial"/>
                <w:sz w:val="20"/>
                <w:szCs w:val="20"/>
                <w:color w:val="auto"/>
                <w:vertAlign w:val="superscript"/>
              </w:rPr>
              <w:t>​</w:t>
            </w:r>
          </w:p>
        </w:tc>
        <w:tc>
          <w:tcPr>
            <w:tcW w:w="720" w:type="dxa"/>
            <w:vAlign w:val="bottom"/>
            <w:gridSpan w:val="3"/>
          </w:tcPr>
          <w:p>
            <w:pPr>
              <w:jc w:val="right"/>
              <w:ind w:right="15"/>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540" w:type="dxa"/>
            <w:vAlign w:val="bottom"/>
            <w:gridSpan w:val="2"/>
          </w:tcPr>
          <w:p>
            <w:pPr>
              <w:jc w:val="right"/>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line="136" w:lineRule="exact"/>
              <w:rPr>
                <w:sz w:val="20"/>
                <w:szCs w:val="20"/>
                <w:color w:val="auto"/>
              </w:rPr>
            </w:pPr>
            <w:r>
              <w:rPr>
                <w:rFonts w:ascii="Arial" w:cs="Arial" w:eastAsia="Arial" w:hAnsi="Arial"/>
                <w:sz w:val="12"/>
                <w:szCs w:val="12"/>
                <w:color w:val="auto"/>
              </w:rPr>
              <w:t>Jessica Lifton</w:t>
            </w:r>
            <w:r>
              <w:rPr>
                <w:rFonts w:ascii="Arial" w:cs="Arial" w:eastAsia="Arial" w:hAnsi="Arial"/>
                <w:sz w:val="15"/>
                <w:szCs w:val="15"/>
                <w:color w:val="auto"/>
                <w:vertAlign w:val="superscript"/>
              </w:rPr>
              <w:t>(4)</w:t>
            </w: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80" w:type="dxa"/>
            <w:vAlign w:val="bottom"/>
            <w:vMerge w:val="continue"/>
            <w:shd w:val="clear" w:color="auto" w:fill="CCEEFF"/>
          </w:tcPr>
          <w:p>
            <w:pPr>
              <w:spacing w:after="0"/>
              <w:rPr>
                <w:sz w:val="10"/>
                <w:szCs w:val="10"/>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9"/>
              <w:spacing w:after="0" w:line="115"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80"/>
              <w:spacing w:after="0" w:line="115" w:lineRule="exact"/>
              <w:rPr>
                <w:sz w:val="20"/>
                <w:szCs w:val="20"/>
                <w:color w:val="auto"/>
              </w:rPr>
            </w:pPr>
            <w:r>
              <w:rPr>
                <w:rFonts w:ascii="Arial" w:cs="Arial" w:eastAsia="Arial" w:hAnsi="Arial"/>
                <w:sz w:val="12"/>
                <w:szCs w:val="12"/>
                <w:color w:val="auto"/>
                <w:w w:val="82"/>
              </w:rPr>
              <w:t>—</w:t>
            </w:r>
          </w:p>
        </w:tc>
        <w:tc>
          <w:tcPr>
            <w:tcW w:w="18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32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320" w:type="dxa"/>
            <w:vAlign w:val="bottom"/>
            <w:gridSpan w:val="2"/>
            <w:shd w:val="clear" w:color="auto" w:fill="CCEEFF"/>
          </w:tcPr>
          <w:p>
            <w:pPr>
              <w:jc w:val="right"/>
              <w:ind w:right="79"/>
              <w:spacing w:after="0" w:line="78" w:lineRule="exact"/>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spacing w:after="0"/>
              <w:rPr>
                <w:sz w:val="6"/>
                <w:szCs w:val="6"/>
                <w:color w:val="auto"/>
              </w:rPr>
            </w:pPr>
          </w:p>
        </w:tc>
        <w:tc>
          <w:tcPr>
            <w:tcW w:w="200" w:type="dxa"/>
            <w:vAlign w:val="bottom"/>
            <w:gridSpan w:val="2"/>
            <w:shd w:val="clear" w:color="auto" w:fill="CCEEFF"/>
          </w:tcPr>
          <w:p>
            <w:pPr>
              <w:jc w:val="right"/>
              <w:spacing w:after="0" w:line="78" w:lineRule="exact"/>
              <w:rPr>
                <w:sz w:val="20"/>
                <w:szCs w:val="20"/>
                <w:color w:val="auto"/>
              </w:rPr>
            </w:pPr>
            <w:r>
              <w:rPr>
                <w:rFonts w:ascii="Arial" w:cs="Arial" w:eastAsia="Arial" w:hAnsi="Arial"/>
                <w:sz w:val="8"/>
                <w:szCs w:val="8"/>
                <w:color w:val="auto"/>
              </w:rPr>
              <w:t>​ ​ ​​</w:t>
            </w:r>
          </w:p>
        </w:tc>
        <w:tc>
          <w:tcPr>
            <w:tcW w:w="500" w:type="dxa"/>
            <w:vAlign w:val="bottom"/>
            <w:shd w:val="clear" w:color="auto" w:fill="CCEEFF"/>
          </w:tcPr>
          <w:p>
            <w:pPr>
              <w:spacing w:after="0"/>
              <w:rPr>
                <w:sz w:val="6"/>
                <w:szCs w:val="6"/>
                <w:color w:val="auto"/>
              </w:rPr>
            </w:pPr>
          </w:p>
        </w:tc>
        <w:tc>
          <w:tcPr>
            <w:tcW w:w="220" w:type="dxa"/>
            <w:vAlign w:val="bottom"/>
            <w:gridSpan w:val="2"/>
            <w:shd w:val="clear" w:color="auto" w:fill="CCEEFF"/>
          </w:tcPr>
          <w:p>
            <w:pPr>
              <w:jc w:val="right"/>
              <w:ind w:right="15"/>
              <w:spacing w:after="0" w:line="78" w:lineRule="exact"/>
              <w:rPr>
                <w:sz w:val="20"/>
                <w:szCs w:val="20"/>
                <w:color w:val="auto"/>
              </w:rPr>
            </w:pPr>
            <w:r>
              <w:rPr>
                <w:rFonts w:ascii="Arial" w:cs="Arial" w:eastAsia="Arial" w:hAnsi="Arial"/>
                <w:sz w:val="8"/>
                <w:szCs w:val="8"/>
                <w:color w:val="auto"/>
              </w:rPr>
              <w:t>​​ ​​</w:t>
            </w:r>
          </w:p>
        </w:tc>
        <w:tc>
          <w:tcPr>
            <w:tcW w:w="50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2"/>
                <w:szCs w:val="12"/>
                <w:color w:val="auto"/>
              </w:rPr>
              <w:t>Sharon Tetlow</w:t>
            </w:r>
            <w:r>
              <w:rPr>
                <w:rFonts w:ascii="Arial" w:cs="Arial" w:eastAsia="Arial" w:hAnsi="Arial"/>
                <w:sz w:val="9"/>
                <w:szCs w:val="9"/>
                <w:color w:val="auto"/>
              </w:rPr>
              <w:t>(1)</w:t>
            </w:r>
          </w:p>
        </w:tc>
        <w:tc>
          <w:tcPr>
            <w:tcW w:w="140" w:type="dxa"/>
            <w:vAlign w:val="bottom"/>
          </w:tcPr>
          <w:p>
            <w:pPr>
              <w:ind w:left="40"/>
              <w:spacing w:after="0"/>
              <w:rPr>
                <w:sz w:val="20"/>
                <w:szCs w:val="20"/>
                <w:color w:val="auto"/>
              </w:rPr>
            </w:pPr>
            <w:r>
              <w:rPr>
                <w:rFonts w:ascii="Arial" w:cs="Arial" w:eastAsia="Arial" w:hAnsi="Arial"/>
                <w:sz w:val="12"/>
                <w:szCs w:val="12"/>
                <w:color w:val="auto"/>
              </w:rPr>
              <w:t>​ ​</w:t>
            </w:r>
          </w:p>
        </w:tc>
        <w:tc>
          <w:tcPr>
            <w:tcW w:w="320" w:type="dxa"/>
            <w:vAlign w:val="bottom"/>
            <w:gridSpan w:val="2"/>
          </w:tcPr>
          <w:p>
            <w:pPr>
              <w:jc w:val="right"/>
              <w:ind w:right="39"/>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48,000</w:t>
            </w:r>
          </w:p>
        </w:tc>
        <w:tc>
          <w:tcPr>
            <w:tcW w:w="200" w:type="dxa"/>
            <w:vAlign w:val="bottom"/>
            <w:gridSpan w:val="2"/>
          </w:tcPr>
          <w:p>
            <w:pPr>
              <w:jc w:val="right"/>
              <w:spacing w:after="0" w:line="183" w:lineRule="exact"/>
              <w:rPr>
                <w:sz w:val="20"/>
                <w:szCs w:val="20"/>
                <w:color w:val="auto"/>
              </w:rPr>
            </w:pPr>
            <w:r>
              <w:rPr>
                <w:rFonts w:ascii="Arial" w:cs="Arial" w:eastAsia="Arial" w:hAnsi="Arial"/>
                <w:sz w:val="11"/>
                <w:szCs w:val="11"/>
                <w:color w:val="auto"/>
              </w:rPr>
              <w:t>​ ​ ​​</w:t>
            </w:r>
            <w:r>
              <w:rPr>
                <w:rFonts w:ascii="Arial" w:cs="Arial" w:eastAsia="Arial" w:hAnsi="Arial"/>
                <w:sz w:val="21"/>
                <w:szCs w:val="21"/>
                <w:color w:val="auto"/>
                <w:vertAlign w:val="superscript"/>
              </w:rPr>
              <w:t>​</w:t>
            </w:r>
          </w:p>
        </w:tc>
        <w:tc>
          <w:tcPr>
            <w:tcW w:w="720" w:type="dxa"/>
            <w:vAlign w:val="bottom"/>
            <w:gridSpan w:val="3"/>
          </w:tcPr>
          <w:p>
            <w:pPr>
              <w:jc w:val="right"/>
              <w:ind w:right="15"/>
              <w:spacing w:after="0" w:line="183" w:lineRule="exact"/>
              <w:rPr>
                <w:sz w:val="20"/>
                <w:szCs w:val="20"/>
                <w:color w:val="auto"/>
              </w:rPr>
            </w:pPr>
            <w:r>
              <w:rPr>
                <w:rFonts w:ascii="Arial" w:cs="Arial" w:eastAsia="Arial" w:hAnsi="Arial"/>
                <w:sz w:val="11"/>
                <w:szCs w:val="11"/>
                <w:color w:val="auto"/>
              </w:rPr>
              <w:t>165,841</w:t>
            </w:r>
            <w:r>
              <w:rPr>
                <w:rFonts w:ascii="Arial" w:cs="Arial" w:eastAsia="Arial" w:hAnsi="Arial"/>
                <w:sz w:val="21"/>
                <w:szCs w:val="21"/>
                <w:color w:val="auto"/>
                <w:vertAlign w:val="subscript"/>
              </w:rPr>
              <w:t>​​ ​​</w:t>
            </w:r>
            <w:r>
              <w:rPr>
                <w:rFonts w:ascii="Arial" w:cs="Arial" w:eastAsia="Arial" w:hAnsi="Arial"/>
                <w:sz w:val="11"/>
                <w:szCs w:val="11"/>
                <w:color w:val="auto"/>
              </w:rPr>
              <w:t>​</w:t>
            </w:r>
          </w:p>
        </w:tc>
        <w:tc>
          <w:tcPr>
            <w:tcW w:w="540" w:type="dxa"/>
            <w:vAlign w:val="bottom"/>
            <w:gridSpan w:val="2"/>
          </w:tcPr>
          <w:p>
            <w:pPr>
              <w:jc w:val="right"/>
              <w:spacing w:after="0" w:line="183" w:lineRule="exact"/>
              <w:rPr>
                <w:sz w:val="20"/>
                <w:szCs w:val="20"/>
                <w:color w:val="auto"/>
              </w:rPr>
            </w:pPr>
            <w:r>
              <w:rPr>
                <w:rFonts w:ascii="Arial" w:cs="Arial" w:eastAsia="Arial" w:hAnsi="Arial"/>
                <w:sz w:val="11"/>
                <w:szCs w:val="11"/>
                <w:color w:val="auto"/>
              </w:rPr>
              <w:t>213,841</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line="136" w:lineRule="exact"/>
              <w:rPr>
                <w:sz w:val="20"/>
                <w:szCs w:val="20"/>
                <w:color w:val="auto"/>
              </w:rPr>
            </w:pPr>
            <w:r>
              <w:rPr>
                <w:rFonts w:ascii="Arial" w:cs="Arial" w:eastAsia="Arial" w:hAnsi="Arial"/>
                <w:sz w:val="12"/>
                <w:szCs w:val="12"/>
                <w:color w:val="auto"/>
              </w:rPr>
              <w:t>Chen Yu, M.D.</w:t>
            </w:r>
            <w:r>
              <w:rPr>
                <w:rFonts w:ascii="Arial" w:cs="Arial" w:eastAsia="Arial" w:hAnsi="Arial"/>
                <w:sz w:val="15"/>
                <w:szCs w:val="15"/>
                <w:color w:val="auto"/>
                <w:vertAlign w:val="superscript"/>
              </w:rPr>
              <w:t>(4)</w:t>
            </w: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80" w:type="dxa"/>
            <w:vAlign w:val="bottom"/>
            <w:vMerge w:val="continue"/>
            <w:shd w:val="clear" w:color="auto" w:fill="CCEEFF"/>
          </w:tcPr>
          <w:p>
            <w:pPr>
              <w:spacing w:after="0"/>
              <w:rPr>
                <w:sz w:val="10"/>
                <w:szCs w:val="10"/>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9"/>
              <w:spacing w:after="0" w:line="115"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80"/>
              <w:spacing w:after="0" w:line="115" w:lineRule="exact"/>
              <w:rPr>
                <w:sz w:val="20"/>
                <w:szCs w:val="20"/>
                <w:color w:val="auto"/>
              </w:rPr>
            </w:pPr>
            <w:r>
              <w:rPr>
                <w:rFonts w:ascii="Arial" w:cs="Arial" w:eastAsia="Arial" w:hAnsi="Arial"/>
                <w:sz w:val="12"/>
                <w:szCs w:val="12"/>
                <w:color w:val="auto"/>
                <w:w w:val="82"/>
              </w:rPr>
              <w:t>—</w:t>
            </w:r>
          </w:p>
        </w:tc>
        <w:tc>
          <w:tcPr>
            <w:tcW w:w="18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32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320" w:type="dxa"/>
            <w:vAlign w:val="bottom"/>
            <w:gridSpan w:val="2"/>
            <w:shd w:val="clear" w:color="auto" w:fill="CCEEFF"/>
          </w:tcPr>
          <w:p>
            <w:pPr>
              <w:jc w:val="right"/>
              <w:ind w:right="79"/>
              <w:spacing w:after="0" w:line="78" w:lineRule="exact"/>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spacing w:after="0"/>
              <w:rPr>
                <w:sz w:val="6"/>
                <w:szCs w:val="6"/>
                <w:color w:val="auto"/>
              </w:rPr>
            </w:pPr>
          </w:p>
        </w:tc>
        <w:tc>
          <w:tcPr>
            <w:tcW w:w="200" w:type="dxa"/>
            <w:vAlign w:val="bottom"/>
            <w:gridSpan w:val="2"/>
            <w:shd w:val="clear" w:color="auto" w:fill="CCEEFF"/>
          </w:tcPr>
          <w:p>
            <w:pPr>
              <w:jc w:val="right"/>
              <w:spacing w:after="0" w:line="78" w:lineRule="exact"/>
              <w:rPr>
                <w:sz w:val="20"/>
                <w:szCs w:val="20"/>
                <w:color w:val="auto"/>
              </w:rPr>
            </w:pPr>
            <w:r>
              <w:rPr>
                <w:rFonts w:ascii="Arial" w:cs="Arial" w:eastAsia="Arial" w:hAnsi="Arial"/>
                <w:sz w:val="8"/>
                <w:szCs w:val="8"/>
                <w:color w:val="auto"/>
              </w:rPr>
              <w:t>​ ​ ​​</w:t>
            </w:r>
          </w:p>
        </w:tc>
        <w:tc>
          <w:tcPr>
            <w:tcW w:w="500" w:type="dxa"/>
            <w:vAlign w:val="bottom"/>
            <w:shd w:val="clear" w:color="auto" w:fill="CCEEFF"/>
          </w:tcPr>
          <w:p>
            <w:pPr>
              <w:spacing w:after="0"/>
              <w:rPr>
                <w:sz w:val="6"/>
                <w:szCs w:val="6"/>
                <w:color w:val="auto"/>
              </w:rPr>
            </w:pPr>
          </w:p>
        </w:tc>
        <w:tc>
          <w:tcPr>
            <w:tcW w:w="220" w:type="dxa"/>
            <w:vAlign w:val="bottom"/>
            <w:gridSpan w:val="2"/>
            <w:shd w:val="clear" w:color="auto" w:fill="CCEEFF"/>
          </w:tcPr>
          <w:p>
            <w:pPr>
              <w:jc w:val="right"/>
              <w:ind w:right="15"/>
              <w:spacing w:after="0" w:line="78" w:lineRule="exact"/>
              <w:rPr>
                <w:sz w:val="20"/>
                <w:szCs w:val="20"/>
                <w:color w:val="auto"/>
              </w:rPr>
            </w:pPr>
            <w:r>
              <w:rPr>
                <w:rFonts w:ascii="Arial" w:cs="Arial" w:eastAsia="Arial" w:hAnsi="Arial"/>
                <w:sz w:val="8"/>
                <w:szCs w:val="8"/>
                <w:color w:val="auto"/>
              </w:rPr>
              <w:t>​​ ​​</w:t>
            </w:r>
          </w:p>
        </w:tc>
        <w:tc>
          <w:tcPr>
            <w:tcW w:w="50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2"/>
                <w:szCs w:val="12"/>
                <w:color w:val="auto"/>
              </w:rPr>
              <w:t>Eric Dobmeier</w:t>
            </w:r>
            <w:r>
              <w:rPr>
                <w:rFonts w:ascii="Arial" w:cs="Arial" w:eastAsia="Arial" w:hAnsi="Arial"/>
                <w:sz w:val="9"/>
                <w:szCs w:val="9"/>
                <w:color w:val="auto"/>
              </w:rPr>
              <w:t>(1)</w:t>
            </w:r>
          </w:p>
        </w:tc>
        <w:tc>
          <w:tcPr>
            <w:tcW w:w="140" w:type="dxa"/>
            <w:vAlign w:val="bottom"/>
          </w:tcPr>
          <w:p>
            <w:pPr>
              <w:ind w:left="40"/>
              <w:spacing w:after="0"/>
              <w:rPr>
                <w:sz w:val="20"/>
                <w:szCs w:val="20"/>
                <w:color w:val="auto"/>
              </w:rPr>
            </w:pPr>
            <w:r>
              <w:rPr>
                <w:rFonts w:ascii="Arial" w:cs="Arial" w:eastAsia="Arial" w:hAnsi="Arial"/>
                <w:sz w:val="12"/>
                <w:szCs w:val="12"/>
                <w:color w:val="auto"/>
              </w:rPr>
              <w:t>​ ​</w:t>
            </w:r>
          </w:p>
        </w:tc>
        <w:tc>
          <w:tcPr>
            <w:tcW w:w="320" w:type="dxa"/>
            <w:vAlign w:val="bottom"/>
            <w:gridSpan w:val="2"/>
          </w:tcPr>
          <w:p>
            <w:pPr>
              <w:jc w:val="right"/>
              <w:ind w:right="39"/>
              <w:spacing w:after="0" w:line="183"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1,467</w:t>
            </w:r>
          </w:p>
        </w:tc>
        <w:tc>
          <w:tcPr>
            <w:tcW w:w="200" w:type="dxa"/>
            <w:vAlign w:val="bottom"/>
            <w:gridSpan w:val="2"/>
          </w:tcPr>
          <w:p>
            <w:pPr>
              <w:jc w:val="right"/>
              <w:spacing w:after="0" w:line="183" w:lineRule="exact"/>
              <w:rPr>
                <w:sz w:val="20"/>
                <w:szCs w:val="20"/>
                <w:color w:val="auto"/>
              </w:rPr>
            </w:pPr>
            <w:r>
              <w:rPr>
                <w:rFonts w:ascii="Arial" w:cs="Arial" w:eastAsia="Arial" w:hAnsi="Arial"/>
                <w:sz w:val="11"/>
                <w:szCs w:val="11"/>
                <w:color w:val="auto"/>
              </w:rPr>
              <w:t>​ ​ ​​</w:t>
            </w:r>
            <w:r>
              <w:rPr>
                <w:rFonts w:ascii="Arial" w:cs="Arial" w:eastAsia="Arial" w:hAnsi="Arial"/>
                <w:sz w:val="21"/>
                <w:szCs w:val="21"/>
                <w:color w:val="auto"/>
                <w:vertAlign w:val="superscript"/>
              </w:rPr>
              <w:t>​</w:t>
            </w:r>
          </w:p>
        </w:tc>
        <w:tc>
          <w:tcPr>
            <w:tcW w:w="720" w:type="dxa"/>
            <w:vAlign w:val="bottom"/>
            <w:gridSpan w:val="3"/>
          </w:tcPr>
          <w:p>
            <w:pPr>
              <w:jc w:val="right"/>
              <w:ind w:right="15"/>
              <w:spacing w:after="0" w:line="183" w:lineRule="exact"/>
              <w:rPr>
                <w:sz w:val="20"/>
                <w:szCs w:val="20"/>
                <w:color w:val="auto"/>
              </w:rPr>
            </w:pPr>
            <w:r>
              <w:rPr>
                <w:rFonts w:ascii="Arial" w:cs="Arial" w:eastAsia="Arial" w:hAnsi="Arial"/>
                <w:sz w:val="11"/>
                <w:szCs w:val="11"/>
                <w:color w:val="auto"/>
              </w:rPr>
              <w:t>217,353</w:t>
            </w:r>
            <w:r>
              <w:rPr>
                <w:rFonts w:ascii="Arial" w:cs="Arial" w:eastAsia="Arial" w:hAnsi="Arial"/>
                <w:sz w:val="21"/>
                <w:szCs w:val="21"/>
                <w:color w:val="auto"/>
                <w:vertAlign w:val="subscript"/>
              </w:rPr>
              <w:t>​​ ​​</w:t>
            </w:r>
            <w:r>
              <w:rPr>
                <w:rFonts w:ascii="Arial" w:cs="Arial" w:eastAsia="Arial" w:hAnsi="Arial"/>
                <w:sz w:val="11"/>
                <w:szCs w:val="11"/>
                <w:color w:val="auto"/>
              </w:rPr>
              <w:t>​</w:t>
            </w:r>
          </w:p>
        </w:tc>
        <w:tc>
          <w:tcPr>
            <w:tcW w:w="540" w:type="dxa"/>
            <w:vAlign w:val="bottom"/>
            <w:gridSpan w:val="2"/>
          </w:tcPr>
          <w:p>
            <w:pPr>
              <w:jc w:val="right"/>
              <w:spacing w:after="0" w:line="183" w:lineRule="exact"/>
              <w:rPr>
                <w:sz w:val="20"/>
                <w:szCs w:val="20"/>
                <w:color w:val="auto"/>
              </w:rPr>
            </w:pPr>
            <w:r>
              <w:rPr>
                <w:rFonts w:ascii="Arial" w:cs="Arial" w:eastAsia="Arial" w:hAnsi="Arial"/>
                <w:sz w:val="11"/>
                <w:szCs w:val="11"/>
                <w:color w:val="auto"/>
              </w:rPr>
              <w:t>218,820</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Joanne Waldstreicher, M.D.</w:t>
            </w:r>
            <w:r>
              <w:rPr>
                <w:rFonts w:ascii="Arial" w:cs="Arial" w:eastAsia="Arial" w:hAnsi="Arial"/>
                <w:sz w:val="9"/>
                <w:szCs w:val="9"/>
                <w:color w:val="auto"/>
              </w:rPr>
              <w:t>(1)</w:t>
            </w: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1,467</w:t>
            </w:r>
          </w:p>
        </w:tc>
        <w:tc>
          <w:tcPr>
            <w:tcW w:w="2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1"/>
                <w:szCs w:val="11"/>
                <w:color w:val="auto"/>
              </w:rPr>
              <w:t>​ ​ ​​</w:t>
            </w:r>
            <w:r>
              <w:rPr>
                <w:rFonts w:ascii="Arial" w:cs="Arial" w:eastAsia="Arial" w:hAnsi="Arial"/>
                <w:sz w:val="21"/>
                <w:szCs w:val="21"/>
                <w:color w:val="auto"/>
                <w:vertAlign w:val="superscript"/>
              </w:rPr>
              <w:t>​</w:t>
            </w:r>
          </w:p>
        </w:tc>
        <w:tc>
          <w:tcPr>
            <w:tcW w:w="720" w:type="dxa"/>
            <w:vAlign w:val="bottom"/>
            <w:gridSpan w:val="3"/>
            <w:shd w:val="clear" w:color="auto" w:fill="CCEEFF"/>
          </w:tcPr>
          <w:p>
            <w:pPr>
              <w:jc w:val="right"/>
              <w:ind w:right="15"/>
              <w:spacing w:after="0" w:line="183" w:lineRule="exact"/>
              <w:rPr>
                <w:sz w:val="20"/>
                <w:szCs w:val="20"/>
                <w:color w:val="auto"/>
              </w:rPr>
            </w:pPr>
            <w:r>
              <w:rPr>
                <w:rFonts w:ascii="Arial" w:cs="Arial" w:eastAsia="Arial" w:hAnsi="Arial"/>
                <w:sz w:val="11"/>
                <w:szCs w:val="11"/>
                <w:color w:val="auto"/>
              </w:rPr>
              <w:t>217,353</w:t>
            </w:r>
            <w:r>
              <w:rPr>
                <w:rFonts w:ascii="Arial" w:cs="Arial" w:eastAsia="Arial" w:hAnsi="Arial"/>
                <w:sz w:val="21"/>
                <w:szCs w:val="21"/>
                <w:color w:val="auto"/>
                <w:vertAlign w:val="subscript"/>
              </w:rPr>
              <w:t>​​ ​​</w:t>
            </w: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218,820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67310</wp:posOffset>
            </wp:positionV>
            <wp:extent cx="373316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-134620</wp:posOffset>
            </wp:positionV>
            <wp:extent cx="10414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-134620</wp:posOffset>
            </wp:positionV>
            <wp:extent cx="292862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28620" cy="6350"/>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-398145</wp:posOffset>
            </wp:positionV>
            <wp:extent cx="10414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-398145</wp:posOffset>
            </wp:positionV>
            <wp:extent cx="292862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28620" cy="6350"/>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-662305</wp:posOffset>
            </wp:positionV>
            <wp:extent cx="10414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414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-662305</wp:posOffset>
            </wp:positionV>
            <wp:extent cx="292862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28620" cy="6350"/>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-914400</wp:posOffset>
            </wp:positionV>
            <wp:extent cx="9842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-914400</wp:posOffset>
            </wp:positionV>
            <wp:extent cx="9842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-914400</wp:posOffset>
            </wp:positionV>
            <wp:extent cx="98425"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8425" cy="6350"/>
                    </a:xfrm>
                    <a:prstGeom prst="rect">
                      <a:avLst/>
                    </a:prstGeom>
                    <a:noFill/>
                  </pic:spPr>
                </pic:pic>
              </a:graphicData>
            </a:graphic>
          </wp:anchor>
        </w:drawing>
      </w:r>
    </w:p>
    <w:p>
      <w:pPr>
        <w:spacing w:after="0" w:line="89" w:lineRule="exact"/>
        <w:rPr>
          <w:sz w:val="20"/>
          <w:szCs w:val="20"/>
          <w:color w:val="auto"/>
        </w:rPr>
      </w:pPr>
    </w:p>
    <w:p>
      <w:pPr>
        <w:ind w:left="1820" w:hanging="255"/>
        <w:spacing w:after="0"/>
        <w:tabs>
          <w:tab w:leader="none" w:pos="1820" w:val="left"/>
        </w:tabs>
        <w:numPr>
          <w:ilvl w:val="0"/>
          <w:numId w:val="102"/>
        </w:numPr>
        <w:rPr>
          <w:rFonts w:ascii="Arial" w:cs="Arial" w:eastAsia="Arial" w:hAnsi="Arial"/>
          <w:sz w:val="14"/>
          <w:szCs w:val="14"/>
          <w:color w:val="auto"/>
          <w:vertAlign w:val="superscript"/>
        </w:rPr>
      </w:pPr>
      <w:r>
        <w:rPr>
          <w:rFonts w:ascii="Arial" w:cs="Arial" w:eastAsia="Arial" w:hAnsi="Arial"/>
          <w:sz w:val="9"/>
          <w:szCs w:val="9"/>
          <w:color w:val="auto"/>
        </w:rPr>
        <w:t>The director is party to a board service agreement, which shall automatically terminate immediately upon the closing of this offering.</w:t>
      </w:r>
    </w:p>
    <w:p>
      <w:pPr>
        <w:spacing w:after="0" w:line="61" w:lineRule="exact"/>
        <w:rPr>
          <w:rFonts w:ascii="Arial" w:cs="Arial" w:eastAsia="Arial" w:hAnsi="Arial"/>
          <w:sz w:val="14"/>
          <w:szCs w:val="14"/>
          <w:color w:val="auto"/>
          <w:vertAlign w:val="superscript"/>
        </w:rPr>
      </w:pPr>
    </w:p>
    <w:p>
      <w:pPr>
        <w:ind w:left="1820" w:right="1599" w:hanging="255"/>
        <w:spacing w:after="0" w:line="212" w:lineRule="auto"/>
        <w:tabs>
          <w:tab w:leader="none" w:pos="1820" w:val="left"/>
        </w:tabs>
        <w:numPr>
          <w:ilvl w:val="0"/>
          <w:numId w:val="102"/>
        </w:numPr>
        <w:rPr>
          <w:rFonts w:ascii="Arial" w:cs="Arial" w:eastAsia="Arial" w:hAnsi="Arial"/>
          <w:sz w:val="14"/>
          <w:szCs w:val="14"/>
          <w:color w:val="auto"/>
          <w:vertAlign w:val="superscript"/>
        </w:rPr>
      </w:pPr>
      <w:r>
        <w:rPr>
          <w:rFonts w:ascii="Arial" w:cs="Arial" w:eastAsia="Arial" w:hAnsi="Arial"/>
          <w:sz w:val="9"/>
          <w:szCs w:val="9"/>
          <w:color w:val="auto"/>
        </w:rPr>
        <w:t>The amount disclosed represents the aggregate grant date fair value of the share option granted to our non-employee directors during fiscal year 2022 under our 2019 Equity Incentive Plan, computed in accordance with FASB ASC Topic 718. This amount does not reflect the actual economic value that may be realized by the director.</w:t>
      </w:r>
    </w:p>
    <w:p>
      <w:pPr>
        <w:spacing w:after="0" w:line="10" w:lineRule="exact"/>
        <w:rPr>
          <w:rFonts w:ascii="Arial" w:cs="Arial" w:eastAsia="Arial" w:hAnsi="Arial"/>
          <w:sz w:val="14"/>
          <w:szCs w:val="14"/>
          <w:color w:val="auto"/>
          <w:vertAlign w:val="superscript"/>
        </w:rPr>
      </w:pPr>
    </w:p>
    <w:p>
      <w:pPr>
        <w:ind w:left="1820" w:hanging="255"/>
        <w:spacing w:after="0"/>
        <w:tabs>
          <w:tab w:leader="none" w:pos="1820" w:val="left"/>
        </w:tabs>
        <w:numPr>
          <w:ilvl w:val="0"/>
          <w:numId w:val="102"/>
        </w:numPr>
        <w:rPr>
          <w:rFonts w:ascii="Arial" w:cs="Arial" w:eastAsia="Arial" w:hAnsi="Arial"/>
          <w:sz w:val="14"/>
          <w:szCs w:val="14"/>
          <w:color w:val="auto"/>
          <w:vertAlign w:val="superscript"/>
        </w:rPr>
      </w:pPr>
      <w:r>
        <w:rPr>
          <w:rFonts w:ascii="Arial" w:cs="Arial" w:eastAsia="Arial" w:hAnsi="Arial"/>
          <w:sz w:val="9"/>
          <w:szCs w:val="9"/>
          <w:color w:val="auto"/>
        </w:rPr>
        <w:t>As of December 31, 2022, (i) Mr. Welch held an option to purchase 1,179,122 ordinary shares, which is subject to early exercise;</w:t>
      </w:r>
    </w:p>
    <w:p>
      <w:pPr>
        <w:ind w:left="1820" w:right="1679"/>
        <w:spacing w:after="0" w:line="253" w:lineRule="auto"/>
        <w:rPr>
          <w:rFonts w:ascii="Arial" w:cs="Arial" w:eastAsia="Arial" w:hAnsi="Arial"/>
          <w:sz w:val="14"/>
          <w:szCs w:val="14"/>
          <w:color w:val="auto"/>
          <w:vertAlign w:val="superscript"/>
        </w:rPr>
      </w:pPr>
      <w:r>
        <w:rPr>
          <w:rFonts w:ascii="Arial" w:cs="Arial" w:eastAsia="Arial" w:hAnsi="Arial"/>
          <w:sz w:val="9"/>
          <w:szCs w:val="9"/>
          <w:color w:val="auto"/>
        </w:rPr>
        <w:t>(ii) Ms. Tetlow held an option to purchase 80,000 ordinary shares, which is subject to early exercise; (iii) Mr. Dobmeier held an option to purchase 80,000 ordinary shares, none of which were vested as of such date; and (iv) Dr. Waldstreicher held an option to purchase 80,000 ordinary shares, none of which were vested as of such date.</w:t>
      </w:r>
    </w:p>
    <w:p>
      <w:pPr>
        <w:ind w:left="1820" w:hanging="255"/>
        <w:spacing w:after="0"/>
        <w:tabs>
          <w:tab w:leader="none" w:pos="1820" w:val="left"/>
        </w:tabs>
        <w:numPr>
          <w:ilvl w:val="0"/>
          <w:numId w:val="102"/>
        </w:numPr>
        <w:rPr>
          <w:rFonts w:ascii="Arial" w:cs="Arial" w:eastAsia="Arial" w:hAnsi="Arial"/>
          <w:sz w:val="14"/>
          <w:szCs w:val="14"/>
          <w:color w:val="auto"/>
          <w:vertAlign w:val="superscript"/>
        </w:rPr>
      </w:pPr>
      <w:r>
        <w:rPr>
          <w:rFonts w:ascii="Arial" w:cs="Arial" w:eastAsia="Arial" w:hAnsi="Arial"/>
          <w:sz w:val="9"/>
          <w:szCs w:val="9"/>
          <w:color w:val="auto"/>
        </w:rPr>
        <w:t>Ms. Lifton and Dr. Yu each resigned from the board of directors effective February 2, 2023.</w:t>
      </w:r>
    </w:p>
    <w:p>
      <w:pPr>
        <w:spacing w:after="0" w:line="61"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We entered into a board service agreement with Daniel G. Welch, pursuant to which, starting on January 1, 2022, Mr. Welch will be: (i) compensated $160,000 per fiscal year for services performed as a member of the board of directors and up to $64,000 per fiscal year to serve as the Chairman of the board of directors; and (ii) awarded a share option for 1,179,122 ordinary shares, which was granted in January 2022 under the 2019 Plan. One-third of the shares subject to the share option will vest on the one-year anniversary of the vesting</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7" w:name="page198"/>
    <w:bookmarkEnd w:id="19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commencement date, with the remaining shares vesting in a series of 24 equal monthly installments, subject to his continued service through each such date.</w:t>
      </w:r>
    </w:p>
    <w:p>
      <w:pPr>
        <w:spacing w:after="0" w:line="4"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We entered into a board service agreement with Sharon Tetlow, pursuant to which, starting on March 14, 2022, Ms. Tetlow will be: (i) compensated $45,000 per fiscal year for services performed as a member of the board of directors and $15,000 per fiscal year to serve as the Chair of the Audit Committee of the board of directors; and (ii) awarded a share option for 80,000 ordinary shares, which was granted in May 2022 under the 2019 Plan. One-third of the shares subject to the share option will vest on the one-year anniversary of the vesting commencement date, with the remaining shares vesting in a series of 24 equal monthly installments, subject to her continued service through each such date.</w:t>
      </w:r>
    </w:p>
    <w:p>
      <w:pPr>
        <w:spacing w:after="0" w:line="34"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We entered into a board service agreement with Eric Dobmeier, pursuant to which, starting on December 20, 2022, Mr. Dobmeier will be: (i) compensated $45,000 per fiscal year for services performed as a member of the board of directors; and (ii) awarded a share option for 80,000 ordinary shares, which was granted in December 2022 under the 2019 Plan. One-third of the shares subject to the share option will vest on the one-year anniversary of the vesting commencement date, with the remaining shares vesting in a series of 24 equal monthly installments, subject to his continued service through each such date.</w:t>
      </w:r>
    </w:p>
    <w:p>
      <w:pPr>
        <w:spacing w:after="0" w:line="24" w:lineRule="exact"/>
        <w:rPr>
          <w:sz w:val="20"/>
          <w:szCs w:val="20"/>
          <w:color w:val="auto"/>
        </w:rPr>
      </w:pPr>
    </w:p>
    <w:p>
      <w:pPr>
        <w:ind w:left="1560" w:right="1759"/>
        <w:spacing w:after="0" w:line="275" w:lineRule="auto"/>
        <w:rPr>
          <w:sz w:val="20"/>
          <w:szCs w:val="20"/>
          <w:color w:val="auto"/>
        </w:rPr>
      </w:pPr>
      <w:r>
        <w:rPr>
          <w:rFonts w:ascii="Arial" w:cs="Arial" w:eastAsia="Arial" w:hAnsi="Arial"/>
          <w:sz w:val="12"/>
          <w:szCs w:val="12"/>
          <w:color w:val="auto"/>
        </w:rPr>
        <w:t>We entered into a board service agreement with Joanne Waldstreicher, pursuant to which, starting on December 20, 2022, Dr. Waldstreicher will be: (i) compensated $45,000 per fiscal year for services performed as a member of the board of directors; and (ii) awarded a share option for 80,000 ordinary shares, which was granted in December 2022 under the 2019 Plan. One-third of the shares subject to the share option will vest on the one-year anniversary of the vesting commencement date, with the remaining shares vesting in a series of 24 equal monthly installments, subject to her continued service through each such date.</w:t>
      </w:r>
    </w:p>
    <w:p>
      <w:pPr>
        <w:spacing w:after="0" w:line="2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Pursuant to their terms, the board service agreements we entered into with Mr. Welch, Ms. Tetlow,</w:t>
      </w:r>
    </w:p>
    <w:p>
      <w:pPr>
        <w:spacing w:after="0" w:line="23" w:lineRule="exact"/>
        <w:rPr>
          <w:sz w:val="20"/>
          <w:szCs w:val="20"/>
          <w:color w:val="auto"/>
        </w:rPr>
      </w:pPr>
    </w:p>
    <w:p>
      <w:pPr>
        <w:ind w:left="1560" w:right="1739"/>
        <w:spacing w:after="0" w:line="298" w:lineRule="auto"/>
        <w:rPr>
          <w:sz w:val="20"/>
          <w:szCs w:val="20"/>
          <w:color w:val="auto"/>
        </w:rPr>
      </w:pPr>
      <w:r>
        <w:rPr>
          <w:rFonts w:ascii="Arial" w:cs="Arial" w:eastAsia="Arial" w:hAnsi="Arial"/>
          <w:sz w:val="12"/>
          <w:szCs w:val="12"/>
          <w:color w:val="auto"/>
        </w:rPr>
        <w:t>Mr. Dobmeier and Dr. Waldstreicher will each automatically terminate immediately upon the closing of this offering.</w:t>
      </w:r>
    </w:p>
    <w:p>
      <w:pPr>
        <w:spacing w:after="0" w:line="19" w:lineRule="exact"/>
        <w:rPr>
          <w:sz w:val="20"/>
          <w:szCs w:val="20"/>
          <w:color w:val="auto"/>
        </w:rPr>
      </w:pPr>
    </w:p>
    <w:p>
      <w:pPr>
        <w:ind w:left="1560" w:right="1779"/>
        <w:spacing w:after="0" w:line="308" w:lineRule="auto"/>
        <w:rPr>
          <w:sz w:val="20"/>
          <w:szCs w:val="20"/>
          <w:color w:val="auto"/>
        </w:rPr>
      </w:pPr>
      <w:r>
        <w:rPr>
          <w:rFonts w:ascii="Arial" w:cs="Arial" w:eastAsia="Arial" w:hAnsi="Arial"/>
          <w:sz w:val="12"/>
          <w:szCs w:val="12"/>
          <w:color w:val="auto"/>
        </w:rPr>
        <w:t>We have reimbursed and will continue to reimburse all of our non-employee directors for their reasonable out-of-pocket expenses incurred in attending board of directors and committee meetings.</w:t>
      </w:r>
    </w:p>
    <w:p>
      <w:pPr>
        <w:spacing w:after="0" w:line="4" w:lineRule="exact"/>
        <w:rPr>
          <w:sz w:val="20"/>
          <w:szCs w:val="20"/>
          <w:color w:val="auto"/>
        </w:rPr>
      </w:pPr>
    </w:p>
    <w:p>
      <w:pPr>
        <w:ind w:left="1560" w:right="1679"/>
        <w:spacing w:after="0" w:line="276" w:lineRule="auto"/>
        <w:rPr>
          <w:sz w:val="20"/>
          <w:szCs w:val="20"/>
          <w:color w:val="auto"/>
        </w:rPr>
      </w:pPr>
      <w:r>
        <w:rPr>
          <w:rFonts w:ascii="Arial" w:cs="Arial" w:eastAsia="Arial" w:hAnsi="Arial"/>
          <w:sz w:val="12"/>
          <w:szCs w:val="12"/>
          <w:color w:val="auto"/>
        </w:rPr>
        <w:t>Our board of directors adopted a non-employee director compensation policy in January 2023 that became effective upon the execution of the underwriting agreement related to this offering and is applicable to all of our non-employee directors. This compensation policy provides that each such non-employee director will receive the following compensation for service on our board of directors, which amounts were determined after carefully considering market data and recommendations from our independent compensation consultant:</w:t>
      </w:r>
    </w:p>
    <w:p>
      <w:pPr>
        <w:spacing w:after="0" w:line="24" w:lineRule="exact"/>
        <w:rPr>
          <w:sz w:val="20"/>
          <w:szCs w:val="20"/>
          <w:color w:val="auto"/>
        </w:rPr>
      </w:pPr>
    </w:p>
    <w:p>
      <w:pPr>
        <w:ind w:left="1980" w:hanging="157"/>
        <w:spacing w:after="0"/>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 annual cash retainer of  $45,000;</w:t>
      </w:r>
    </w:p>
    <w:p>
      <w:pPr>
        <w:spacing w:after="0" w:line="74" w:lineRule="exact"/>
        <w:rPr>
          <w:rFonts w:ascii="Arial" w:cs="Arial" w:eastAsia="Arial" w:hAnsi="Arial"/>
          <w:sz w:val="12"/>
          <w:szCs w:val="12"/>
          <w:color w:val="auto"/>
        </w:rPr>
      </w:pPr>
    </w:p>
    <w:p>
      <w:pPr>
        <w:ind w:left="1980" w:right="2039" w:hanging="157"/>
        <w:spacing w:after="0" w:line="308"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 additional cash retainer of  $179,000 for service as chair of the company, in recognition of Mr. Welch’s significant contributions to our board of directors;</w:t>
      </w:r>
    </w:p>
    <w:p>
      <w:pPr>
        <w:spacing w:after="0" w:line="3" w:lineRule="exact"/>
        <w:rPr>
          <w:rFonts w:ascii="Arial" w:cs="Arial" w:eastAsia="Arial" w:hAnsi="Arial"/>
          <w:sz w:val="12"/>
          <w:szCs w:val="12"/>
          <w:color w:val="auto"/>
        </w:rPr>
      </w:pPr>
    </w:p>
    <w:p>
      <w:pPr>
        <w:ind w:left="1980" w:right="1859" w:hanging="157"/>
        <w:spacing w:after="0" w:line="288"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 additional annual cash retainer of  $7,500, $5,000 and $4,000 for service as a member of the audit committee, compensation committee and the nominating and governance committee, respectively;</w:t>
      </w:r>
    </w:p>
    <w:p>
      <w:pPr>
        <w:spacing w:after="0" w:line="15" w:lineRule="exact"/>
        <w:rPr>
          <w:rFonts w:ascii="Arial" w:cs="Arial" w:eastAsia="Arial" w:hAnsi="Arial"/>
          <w:sz w:val="12"/>
          <w:szCs w:val="12"/>
          <w:color w:val="auto"/>
        </w:rPr>
      </w:pPr>
    </w:p>
    <w:p>
      <w:pPr>
        <w:jc w:val="both"/>
        <w:ind w:left="1980" w:right="1719" w:hanging="157"/>
        <w:spacing w:after="0" w:line="308"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 additional annual cash retainer of  $15,000, $10,000 and $8,000 for service as chair of the audit committee, compensation committee and the nominating and governance committee, respectively;</w:t>
      </w:r>
    </w:p>
    <w:p>
      <w:pPr>
        <w:spacing w:after="0" w:line="13" w:lineRule="exact"/>
        <w:rPr>
          <w:rFonts w:ascii="Arial" w:cs="Arial" w:eastAsia="Arial" w:hAnsi="Arial"/>
          <w:sz w:val="12"/>
          <w:szCs w:val="12"/>
          <w:color w:val="auto"/>
        </w:rPr>
      </w:pPr>
    </w:p>
    <w:p>
      <w:pPr>
        <w:ind w:left="1980" w:right="1679" w:hanging="157"/>
        <w:spacing w:after="0" w:line="288"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 initial share option to purchase 90,000 of our ordinary shares on the date of each such non-employee director’s appointment to our board of directors, vesting in 36 equal monthly installments; and</w:t>
      </w:r>
    </w:p>
    <w:p>
      <w:pPr>
        <w:spacing w:after="0" w:line="15" w:lineRule="exact"/>
        <w:rPr>
          <w:rFonts w:ascii="Arial" w:cs="Arial" w:eastAsia="Arial" w:hAnsi="Arial"/>
          <w:sz w:val="12"/>
          <w:szCs w:val="12"/>
          <w:color w:val="auto"/>
        </w:rPr>
      </w:pPr>
    </w:p>
    <w:p>
      <w:pPr>
        <w:ind w:left="1980" w:right="1659" w:hanging="157"/>
        <w:spacing w:after="0" w:line="288"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 annual share option to purchase 45,000 of our ordinary shares on the date of each of our annual shareholder meetings, vesting in 12 equal monthly installments (and will be fully vested on the day immediately preceding the next annual shareholder meeting, if sooner).</w:t>
      </w:r>
    </w:p>
    <w:p>
      <w:pPr>
        <w:spacing w:after="0" w:line="16"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Each share option described above will be granted under our 2023 Plan, the terms of which are described in more detail above under the section titled “Executive and Director Compensation—Employee Benefit Plans —2023 Equity Incentive Plan.” The term of each share option will be ten years, subject to earlier termination as provided in the 2023 Plan, provided that upon a termination of continuous service other than for death or “cause” (as​ such term is defined in the 2023 Plan), the post-termination exercise period will be 12 months from the date of termination. Each share option will vest subject to the director’s continuous service with us, provided that each share option will vest in full upon a change in control of the company.</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8" w:name="page199"/>
    <w:bookmarkEnd w:id="198"/>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243" w:lineRule="exact"/>
        <w:rPr>
          <w:sz w:val="20"/>
          <w:szCs w:val="20"/>
          <w:color w:val="auto"/>
        </w:rPr>
      </w:pPr>
    </w:p>
    <w:p>
      <w:pPr>
        <w:ind w:left="1560" w:right="1659"/>
        <w:spacing w:after="0" w:line="253" w:lineRule="auto"/>
        <w:rPr>
          <w:sz w:val="20"/>
          <w:szCs w:val="20"/>
          <w:color w:val="auto"/>
        </w:rPr>
      </w:pPr>
      <w:r>
        <w:rPr>
          <w:rFonts w:ascii="Arial" w:cs="Arial" w:eastAsia="Arial" w:hAnsi="Arial"/>
          <w:sz w:val="12"/>
          <w:szCs w:val="12"/>
          <w:color w:val="auto"/>
        </w:rPr>
        <w:t>The following includes a summary of transactions since January 1, 2019 and any currently proposed transactions, to which we were or are to be a participant, in which (i) the amount involved exceeded or will exceed the lesser of  $120,000 or one percent of the average of our total assets at year-end for the last two completed fiscal years; and (ii) any of our directors, executive officers or holders of more than 5% of our issued share capital, or any affiliate or member of the immediate family of the foregoing persons, had or will have a direct or indirect material interest, other than compensation and other arrangements that are described under the section titled “Executive and Director Compensation.”</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Share Exchanges</w:t>
      </w:r>
    </w:p>
    <w:p>
      <w:pPr>
        <w:spacing w:after="0" w:line="11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Delaware to Cayman Share Exchange</w:t>
      </w:r>
    </w:p>
    <w:p>
      <w:pPr>
        <w:spacing w:after="0" w:line="34" w:lineRule="exact"/>
        <w:rPr>
          <w:sz w:val="20"/>
          <w:szCs w:val="20"/>
          <w:color w:val="auto"/>
        </w:rPr>
      </w:pPr>
    </w:p>
    <w:p>
      <w:pPr>
        <w:ind w:left="1560" w:right="1579"/>
        <w:spacing w:after="0" w:line="253" w:lineRule="auto"/>
        <w:rPr>
          <w:sz w:val="20"/>
          <w:szCs w:val="20"/>
          <w:color w:val="auto"/>
        </w:rPr>
      </w:pPr>
      <w:r>
        <w:rPr>
          <w:rFonts w:ascii="Arial" w:cs="Arial" w:eastAsia="Arial" w:hAnsi="Arial"/>
          <w:sz w:val="12"/>
          <w:szCs w:val="12"/>
          <w:color w:val="auto"/>
        </w:rPr>
        <w:t>In April 2019, we entered into a share exchange agreement with ShouTi LLC (the predecessor of ShouTi Inc., a Delaware corporation), Annapurna Bio, Inc., Gasherbrum Bio, Inc., and all of their respective holders, pursuant to which we issued an aggregate of 10,766,249 of our ordinary shares in exchange for all the outstanding securities held by such holders. In connection with such share exchange, ShouTi LLC converted to a Delaware corporation and was re-named as ShouTi Inc., which became our wholly owned subsidiary. In June 2022, ShouTi Inc. was re-named as Structure Therapeutics USA Inc.</w:t>
      </w:r>
    </w:p>
    <w:p>
      <w:pPr>
        <w:spacing w:after="0" w:line="84"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The table below sets forth the number of our ordinary shares issued in such share exchange to the holders of ShouTi LLC, Annapurna Bio, Inc. and Gasherbrum Bio Inc., respectively, who are our executive officers, directors, holders of more than 5% of our issued share capital and their affiliated entities or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74930</wp:posOffset>
            </wp:positionV>
            <wp:extent cx="373316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0"/>
                <w:szCs w:val="10"/>
                <w:b w:val="1"/>
                <w:bCs w:val="1"/>
                <w:color w:val="auto"/>
              </w:rPr>
              <w:t>SHOUTI LLC</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62"/>
              <w:spacing w:after="0"/>
              <w:rPr>
                <w:sz w:val="20"/>
                <w:szCs w:val="20"/>
                <w:color w:val="auto"/>
              </w:rPr>
            </w:pPr>
            <w:r>
              <w:rPr>
                <w:rFonts w:ascii="Arial" w:cs="Arial" w:eastAsia="Arial" w:hAnsi="Arial"/>
                <w:sz w:val="10"/>
                <w:szCs w:val="10"/>
                <w:b w:val="1"/>
                <w:bCs w:val="1"/>
                <w:color w:val="auto"/>
              </w:rPr>
              <w:t>INTERESTS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ORDINARY SHARES</w:t>
            </w:r>
          </w:p>
        </w:tc>
        <w:tc>
          <w:tcPr>
            <w:tcW w:w="80" w:type="dxa"/>
            <w:vAlign w:val="bottom"/>
          </w:tcPr>
          <w:p>
            <w:pPr>
              <w:spacing w:after="0"/>
              <w:rPr>
                <w:sz w:val="11"/>
                <w:szCs w:val="11"/>
                <w:color w:val="auto"/>
              </w:rPr>
            </w:pPr>
          </w:p>
        </w:tc>
      </w:tr>
      <w:tr>
        <w:trPr>
          <w:trHeight w:val="152"/>
        </w:trPr>
        <w:tc>
          <w:tcPr>
            <w:tcW w:w="3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41"/>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64"/>
        </w:trPr>
        <w:tc>
          <w:tcPr>
            <w:tcW w:w="3120" w:type="dxa"/>
            <w:vAlign w:val="bottom"/>
          </w:tcPr>
          <w:p>
            <w:pPr>
              <w:spacing w:after="0"/>
              <w:rPr>
                <w:sz w:val="20"/>
                <w:szCs w:val="20"/>
                <w:color w:val="auto"/>
              </w:rPr>
            </w:pPr>
            <w:r>
              <w:rPr>
                <w:rFonts w:ascii="Arial" w:cs="Arial" w:eastAsia="Arial" w:hAnsi="Arial"/>
                <w:sz w:val="12"/>
                <w:szCs w:val="12"/>
                <w:b w:val="1"/>
                <w:bCs w:val="1"/>
                <w:color w:val="auto"/>
              </w:rPr>
              <w:t>Executive Officers and Directors</w:t>
            </w: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rPr>
              <w:t>​ ​</w:t>
            </w:r>
          </w:p>
        </w:tc>
        <w:tc>
          <w:tcPr>
            <w:tcW w:w="18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2"/>
                <w:szCs w:val="12"/>
                <w:b w:val="1"/>
                <w:bCs w:val="1"/>
                <w:color w:val="auto"/>
              </w:rPr>
              <w:t>​   ​</w:t>
            </w:r>
          </w:p>
        </w:tc>
        <w:tc>
          <w:tcPr>
            <w:tcW w:w="240" w:type="dxa"/>
            <w:vAlign w:val="bottom"/>
            <w:gridSpan w:val="3"/>
          </w:tcPr>
          <w:p>
            <w:pPr>
              <w:jc w:val="right"/>
              <w:spacing w:after="0"/>
              <w:rPr>
                <w:sz w:val="20"/>
                <w:szCs w:val="20"/>
                <w:color w:val="auto"/>
              </w:rPr>
            </w:pPr>
            <w:r>
              <w:rPr>
                <w:rFonts w:ascii="Arial" w:cs="Arial" w:eastAsia="Arial" w:hAnsi="Arial"/>
                <w:sz w:val="12"/>
                <w:szCs w:val="12"/>
                <w:b w:val="1"/>
                <w:bCs w:val="1"/>
                <w:color w:val="auto"/>
              </w:rPr>
              <w:t>​​ ​</w:t>
            </w:r>
          </w:p>
        </w:tc>
        <w:tc>
          <w:tcPr>
            <w:tcW w:w="34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121"/>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84"/>
        </w:trPr>
        <w:tc>
          <w:tcPr>
            <w:tcW w:w="3120" w:type="dxa"/>
            <w:vAlign w:val="bottom"/>
          </w:tcPr>
          <w:p>
            <w:pPr>
              <w:spacing w:after="0"/>
              <w:rPr>
                <w:sz w:val="20"/>
                <w:szCs w:val="20"/>
                <w:color w:val="auto"/>
              </w:rPr>
            </w:pPr>
            <w:r>
              <w:rPr>
                <w:rFonts w:ascii="Arial" w:cs="Arial" w:eastAsia="Arial" w:hAnsi="Arial"/>
                <w:sz w:val="12"/>
                <w:szCs w:val="12"/>
                <w:color w:val="auto"/>
              </w:rPr>
              <w:t>Raymond Stevens, Ph.D.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18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980</w:t>
            </w: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1"/>
              <w:spacing w:after="0"/>
              <w:rPr>
                <w:sz w:val="20"/>
                <w:szCs w:val="20"/>
                <w:color w:val="auto"/>
              </w:rPr>
            </w:pPr>
            <w:r>
              <w:rPr>
                <w:rFonts w:ascii="Arial" w:cs="Arial" w:eastAsia="Arial" w:hAnsi="Arial"/>
                <w:sz w:val="12"/>
                <w:szCs w:val="12"/>
                <w:color w:val="auto"/>
              </w:rPr>
              <w:t>979,999</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3120" w:type="dxa"/>
            <w:vAlign w:val="bottom"/>
          </w:tcPr>
          <w:p>
            <w:pPr>
              <w:spacing w:after="0"/>
              <w:rPr>
                <w:sz w:val="20"/>
                <w:szCs w:val="20"/>
                <w:color w:val="auto"/>
              </w:rPr>
            </w:pPr>
            <w:r>
              <w:rPr>
                <w:rFonts w:ascii="Arial" w:cs="Arial" w:eastAsia="Arial" w:hAnsi="Arial"/>
                <w:sz w:val="12"/>
                <w:szCs w:val="12"/>
                <w:color w:val="auto"/>
              </w:rPr>
              <w:t>Jun Yoon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2"/>
                <w:szCs w:val="12"/>
                <w:color w:val="auto"/>
              </w:rPr>
              <w:t>​980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1"/>
              <w:spacing w:after="0"/>
              <w:rPr>
                <w:sz w:val="20"/>
                <w:szCs w:val="20"/>
                <w:color w:val="auto"/>
              </w:rPr>
            </w:pPr>
            <w:r>
              <w:rPr>
                <w:rFonts w:ascii="Arial" w:cs="Arial" w:eastAsia="Arial" w:hAnsi="Arial"/>
                <w:sz w:val="12"/>
                <w:szCs w:val="12"/>
                <w:color w:val="auto"/>
              </w:rPr>
              <w:t>980,000</w:t>
            </w:r>
          </w:p>
        </w:tc>
        <w:tc>
          <w:tcPr>
            <w:tcW w:w="80" w:type="dxa"/>
            <w:vAlign w:val="bottom"/>
          </w:tcPr>
          <w:p>
            <w:pPr>
              <w:spacing w:after="0"/>
              <w:rPr>
                <w:sz w:val="14"/>
                <w:szCs w:val="14"/>
                <w:color w:val="auto"/>
              </w:rPr>
            </w:pPr>
          </w:p>
        </w:tc>
      </w:tr>
      <w:tr>
        <w:trPr>
          <w:trHeight w:val="152"/>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180" w:type="dxa"/>
            <w:vAlign w:val="bottom"/>
          </w:tcPr>
          <w:p>
            <w:pPr>
              <w:spacing w:after="0"/>
              <w:rPr>
                <w:sz w:val="13"/>
                <w:szCs w:val="13"/>
                <w:color w:val="auto"/>
              </w:rPr>
            </w:pPr>
          </w:p>
        </w:tc>
        <w:tc>
          <w:tcPr>
            <w:tcW w:w="780" w:type="dxa"/>
            <w:vAlign w:val="bottom"/>
          </w:tcPr>
          <w:p>
            <w:pPr>
              <w:ind w:left="240"/>
              <w:spacing w:after="0"/>
              <w:rPr>
                <w:sz w:val="20"/>
                <w:szCs w:val="20"/>
                <w:color w:val="auto"/>
              </w:rPr>
            </w:pPr>
            <w:r>
              <w:rPr>
                <w:rFonts w:ascii="Arial" w:cs="Arial" w:eastAsia="Arial" w:hAnsi="Arial"/>
                <w:sz w:val="12"/>
                <w:szCs w:val="12"/>
                <w:color w:val="auto"/>
              </w:rPr>
              <w:t>​</w:t>
            </w: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3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96"/>
        </w:trPr>
        <w:tc>
          <w:tcPr>
            <w:tcW w:w="31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420" w:type="dxa"/>
            <w:vAlign w:val="bottom"/>
            <w:tcBorders>
              <w:top w:val="single" w:sz="8" w:color="auto"/>
              <w:bottom w:val="single" w:sz="8" w:color="auto"/>
            </w:tcBorders>
            <w:gridSpan w:val="8"/>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4"/>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8"/>
          </w:tcPr>
          <w:p>
            <w:pPr>
              <w:jc w:val="center"/>
              <w:ind w:right="108"/>
              <w:spacing w:after="0"/>
              <w:rPr>
                <w:sz w:val="20"/>
                <w:szCs w:val="20"/>
                <w:color w:val="auto"/>
              </w:rPr>
            </w:pPr>
            <w:r>
              <w:rPr>
                <w:rFonts w:ascii="Arial" w:cs="Arial" w:eastAsia="Arial" w:hAnsi="Arial"/>
                <w:sz w:val="10"/>
                <w:szCs w:val="10"/>
                <w:b w:val="1"/>
                <w:bCs w:val="1"/>
                <w:color w:val="auto"/>
              </w:rPr>
              <w:t>ANNAPURNA BIO., INC.</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center"/>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ORDINARY SHARES</w:t>
            </w:r>
          </w:p>
        </w:tc>
        <w:tc>
          <w:tcPr>
            <w:tcW w:w="80" w:type="dxa"/>
            <w:vAlign w:val="bottom"/>
          </w:tcPr>
          <w:p>
            <w:pPr>
              <w:spacing w:after="0"/>
              <w:rPr>
                <w:sz w:val="11"/>
                <w:szCs w:val="11"/>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4"/>
          </w:tcPr>
          <w:p>
            <w:pPr>
              <w:ind w:left="20"/>
              <w:spacing w:after="0"/>
              <w:rPr>
                <w:sz w:val="20"/>
                <w:szCs w:val="20"/>
                <w:color w:val="auto"/>
              </w:rPr>
            </w:pPr>
            <w:r>
              <w:rPr>
                <w:rFonts w:ascii="Arial" w:cs="Arial" w:eastAsia="Arial" w:hAnsi="Arial"/>
                <w:sz w:val="10"/>
                <w:szCs w:val="10"/>
                <w:b w:val="1"/>
                <w:bCs w:val="1"/>
                <w:color w:val="auto"/>
              </w:rPr>
              <w:t>​ ​</w:t>
            </w:r>
          </w:p>
        </w:tc>
        <w:tc>
          <w:tcPr>
            <w:tcW w:w="180" w:type="dxa"/>
            <w:vAlign w:val="bottom"/>
          </w:tcPr>
          <w:p>
            <w:pPr>
              <w:spacing w:after="0"/>
              <w:rPr>
                <w:sz w:val="13"/>
                <w:szCs w:val="13"/>
                <w:color w:val="auto"/>
              </w:rPr>
            </w:pPr>
          </w:p>
        </w:tc>
        <w:tc>
          <w:tcPr>
            <w:tcW w:w="780" w:type="dxa"/>
            <w:vAlign w:val="bottom"/>
          </w:tcPr>
          <w:p>
            <w:pPr>
              <w:jc w:val="center"/>
              <w:ind w:right="222"/>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340" w:type="dxa"/>
            <w:vAlign w:val="bottom"/>
          </w:tcPr>
          <w:p>
            <w:pPr>
              <w:spacing w:after="0"/>
              <w:rPr>
                <w:sz w:val="13"/>
                <w:szCs w:val="13"/>
                <w:color w:val="auto"/>
              </w:rPr>
            </w:pPr>
          </w:p>
        </w:tc>
        <w:tc>
          <w:tcPr>
            <w:tcW w:w="740" w:type="dxa"/>
            <w:vAlign w:val="bottom"/>
          </w:tcPr>
          <w:p>
            <w:pPr>
              <w:jc w:val="center"/>
              <w:ind w:right="241"/>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64"/>
        </w:trPr>
        <w:tc>
          <w:tcPr>
            <w:tcW w:w="3120" w:type="dxa"/>
            <w:vAlign w:val="bottom"/>
          </w:tcPr>
          <w:p>
            <w:pPr>
              <w:spacing w:after="0"/>
              <w:rPr>
                <w:sz w:val="20"/>
                <w:szCs w:val="20"/>
                <w:color w:val="auto"/>
              </w:rPr>
            </w:pPr>
            <w:r>
              <w:rPr>
                <w:rFonts w:ascii="Arial" w:cs="Arial" w:eastAsia="Arial" w:hAnsi="Arial"/>
                <w:sz w:val="12"/>
                <w:szCs w:val="12"/>
                <w:b w:val="1"/>
                <w:bCs w:val="1"/>
                <w:color w:val="auto"/>
              </w:rPr>
              <w:t>Executive Officers and Directors</w:t>
            </w: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4"/>
          </w:tcPr>
          <w:p>
            <w:pPr>
              <w:ind w:left="20"/>
              <w:spacing w:after="0"/>
              <w:rPr>
                <w:sz w:val="20"/>
                <w:szCs w:val="20"/>
                <w:color w:val="auto"/>
              </w:rPr>
            </w:pPr>
            <w:r>
              <w:rPr>
                <w:rFonts w:ascii="Arial" w:cs="Arial" w:eastAsia="Arial" w:hAnsi="Arial"/>
                <w:sz w:val="12"/>
                <w:szCs w:val="12"/>
                <w:b w:val="1"/>
                <w:bCs w:val="1"/>
                <w:color w:val="auto"/>
              </w:rPr>
              <w:t>​ ​</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ind w:left="520"/>
              <w:spacing w:after="0"/>
              <w:rPr>
                <w:sz w:val="20"/>
                <w:szCs w:val="20"/>
                <w:color w:val="auto"/>
              </w:rPr>
            </w:pPr>
            <w:r>
              <w:rPr>
                <w:rFonts w:ascii="Arial" w:cs="Arial" w:eastAsia="Arial" w:hAnsi="Arial"/>
                <w:sz w:val="12"/>
                <w:szCs w:val="12"/>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12"/>
                <w:szCs w:val="12"/>
                <w:b w:val="1"/>
                <w:bCs w:val="1"/>
                <w:color w:val="auto"/>
              </w:rPr>
              <w:t>​ ​ ​</w:t>
            </w:r>
          </w:p>
        </w:tc>
        <w:tc>
          <w:tcPr>
            <w:tcW w:w="34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41"/>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84"/>
        </w:trPr>
        <w:tc>
          <w:tcPr>
            <w:tcW w:w="3120" w:type="dxa"/>
            <w:vAlign w:val="bottom"/>
          </w:tcPr>
          <w:p>
            <w:pPr>
              <w:spacing w:after="0"/>
              <w:rPr>
                <w:sz w:val="20"/>
                <w:szCs w:val="20"/>
                <w:color w:val="auto"/>
              </w:rPr>
            </w:pPr>
            <w:r>
              <w:rPr>
                <w:rFonts w:ascii="Arial" w:cs="Arial" w:eastAsia="Arial" w:hAnsi="Arial"/>
                <w:sz w:val="12"/>
                <w:szCs w:val="12"/>
                <w:color w:val="auto"/>
              </w:rPr>
              <w:t>Raymond Stevens Ph.D.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ind w:left="20"/>
              <w:spacing w:after="0"/>
              <w:rPr>
                <w:sz w:val="20"/>
                <w:szCs w:val="20"/>
                <w:color w:val="auto"/>
              </w:rPr>
            </w:pPr>
            <w:r>
              <w:rPr>
                <w:rFonts w:ascii="Arial" w:cs="Arial" w:eastAsia="Arial" w:hAnsi="Arial"/>
                <w:sz w:val="12"/>
                <w:szCs w:val="12"/>
                <w:color w:val="auto"/>
              </w:rPr>
              <w:t>​ ​</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2"/>
              <w:spacing w:after="0"/>
              <w:rPr>
                <w:sz w:val="20"/>
                <w:szCs w:val="20"/>
                <w:color w:val="auto"/>
              </w:rPr>
            </w:pPr>
            <w:r>
              <w:rPr>
                <w:rFonts w:ascii="Arial" w:cs="Arial" w:eastAsia="Arial" w:hAnsi="Arial"/>
                <w:sz w:val="12"/>
                <w:szCs w:val="12"/>
                <w:color w:val="auto"/>
              </w:rPr>
              <w:t>637,000</w:t>
            </w: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3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1,274,000</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3120" w:type="dxa"/>
            <w:vAlign w:val="bottom"/>
          </w:tcPr>
          <w:p>
            <w:pPr>
              <w:spacing w:after="0"/>
              <w:rPr>
                <w:sz w:val="20"/>
                <w:szCs w:val="20"/>
                <w:color w:val="auto"/>
              </w:rPr>
            </w:pPr>
            <w:r>
              <w:rPr>
                <w:rFonts w:ascii="Arial" w:cs="Arial" w:eastAsia="Arial" w:hAnsi="Arial"/>
                <w:sz w:val="12"/>
                <w:szCs w:val="12"/>
                <w:color w:val="auto"/>
              </w:rPr>
              <w:t>Jun Yoon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2"/>
              <w:spacing w:after="0"/>
              <w:rPr>
                <w:sz w:val="20"/>
                <w:szCs w:val="20"/>
                <w:color w:val="auto"/>
              </w:rPr>
            </w:pPr>
            <w:r>
              <w:rPr>
                <w:rFonts w:ascii="Arial" w:cs="Arial" w:eastAsia="Arial" w:hAnsi="Arial"/>
                <w:sz w:val="12"/>
                <w:szCs w:val="12"/>
                <w:color w:val="auto"/>
              </w:rPr>
              <w:t>637,000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1,274,000</w:t>
            </w:r>
          </w:p>
        </w:tc>
        <w:tc>
          <w:tcPr>
            <w:tcW w:w="80" w:type="dxa"/>
            <w:vAlign w:val="bottom"/>
          </w:tcPr>
          <w:p>
            <w:pPr>
              <w:spacing w:after="0"/>
              <w:rPr>
                <w:sz w:val="14"/>
                <w:szCs w:val="14"/>
                <w:color w:val="auto"/>
              </w:rPr>
            </w:pPr>
          </w:p>
        </w:tc>
      </w:tr>
      <w:tr>
        <w:trPr>
          <w:trHeight w:val="152"/>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4"/>
          </w:tcPr>
          <w:p>
            <w:pPr>
              <w:ind w:left="20"/>
              <w:spacing w:after="0"/>
              <w:rPr>
                <w:sz w:val="20"/>
                <w:szCs w:val="20"/>
                <w:color w:val="auto"/>
              </w:rPr>
            </w:pPr>
            <w:r>
              <w:rPr>
                <w:rFonts w:ascii="Arial" w:cs="Arial" w:eastAsia="Arial" w:hAnsi="Arial"/>
                <w:sz w:val="12"/>
                <w:szCs w:val="12"/>
                <w:color w:val="auto"/>
              </w:rPr>
              <w:t>​ ​</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3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86"/>
        </w:trPr>
        <w:tc>
          <w:tcPr>
            <w:tcW w:w="31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520" w:type="dxa"/>
            <w:vAlign w:val="bottom"/>
            <w:tcBorders>
              <w:top w:val="single" w:sz="8" w:color="auto"/>
              <w:bottom w:val="single" w:sz="8" w:color="auto"/>
            </w:tcBorders>
            <w:gridSpan w:val="9"/>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54"/>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gridSpan w:val="9"/>
          </w:tcPr>
          <w:p>
            <w:pPr>
              <w:spacing w:after="0"/>
              <w:rPr>
                <w:sz w:val="20"/>
                <w:szCs w:val="20"/>
                <w:color w:val="auto"/>
              </w:rPr>
            </w:pPr>
            <w:r>
              <w:rPr>
                <w:rFonts w:ascii="Arial" w:cs="Arial" w:eastAsia="Arial" w:hAnsi="Arial"/>
                <w:sz w:val="10"/>
                <w:szCs w:val="10"/>
                <w:b w:val="1"/>
                <w:bCs w:val="1"/>
                <w:color w:val="auto"/>
              </w:rPr>
              <w:t>GASHERBRUM BIO., INC.</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center"/>
              <w:ind w:right="22"/>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ORDINARY SHARES</w:t>
            </w:r>
          </w:p>
        </w:tc>
        <w:tc>
          <w:tcPr>
            <w:tcW w:w="80" w:type="dxa"/>
            <w:vAlign w:val="bottom"/>
          </w:tcPr>
          <w:p>
            <w:pPr>
              <w:spacing w:after="0"/>
              <w:rPr>
                <w:sz w:val="11"/>
                <w:szCs w:val="11"/>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440" w:type="dxa"/>
            <w:vAlign w:val="bottom"/>
            <w:gridSpan w:val="6"/>
          </w:tcPr>
          <w:p>
            <w:pPr>
              <w:ind w:left="40"/>
              <w:spacing w:after="0"/>
              <w:rPr>
                <w:sz w:val="20"/>
                <w:szCs w:val="20"/>
                <w:color w:val="auto"/>
              </w:rPr>
            </w:pPr>
            <w:r>
              <w:rPr>
                <w:rFonts w:ascii="Arial" w:cs="Arial" w:eastAsia="Arial" w:hAnsi="Arial"/>
                <w:sz w:val="10"/>
                <w:szCs w:val="10"/>
                <w:b w:val="1"/>
                <w:bCs w:val="1"/>
                <w:color w:val="auto"/>
              </w:rPr>
              <w:t>​ ​</w:t>
            </w:r>
          </w:p>
        </w:tc>
        <w:tc>
          <w:tcPr>
            <w:tcW w:w="180" w:type="dxa"/>
            <w:vAlign w:val="bottom"/>
          </w:tcPr>
          <w:p>
            <w:pPr>
              <w:spacing w:after="0"/>
              <w:rPr>
                <w:sz w:val="13"/>
                <w:szCs w:val="13"/>
                <w:color w:val="auto"/>
              </w:rPr>
            </w:pPr>
          </w:p>
        </w:tc>
        <w:tc>
          <w:tcPr>
            <w:tcW w:w="780" w:type="dxa"/>
            <w:vAlign w:val="bottom"/>
          </w:tcPr>
          <w:p>
            <w:pPr>
              <w:jc w:val="right"/>
              <w:ind w:right="442"/>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340" w:type="dxa"/>
            <w:vAlign w:val="bottom"/>
          </w:tcPr>
          <w:p>
            <w:pPr>
              <w:spacing w:after="0"/>
              <w:rPr>
                <w:sz w:val="13"/>
                <w:szCs w:val="13"/>
                <w:color w:val="auto"/>
              </w:rPr>
            </w:pPr>
          </w:p>
        </w:tc>
        <w:tc>
          <w:tcPr>
            <w:tcW w:w="740" w:type="dxa"/>
            <w:vAlign w:val="bottom"/>
          </w:tcPr>
          <w:p>
            <w:pPr>
              <w:jc w:val="center"/>
              <w:ind w:right="241"/>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1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64"/>
        </w:trPr>
        <w:tc>
          <w:tcPr>
            <w:tcW w:w="3120" w:type="dxa"/>
            <w:vAlign w:val="bottom"/>
          </w:tcPr>
          <w:p>
            <w:pPr>
              <w:spacing w:after="0"/>
              <w:rPr>
                <w:sz w:val="20"/>
                <w:szCs w:val="20"/>
                <w:color w:val="auto"/>
              </w:rPr>
            </w:pPr>
            <w:r>
              <w:rPr>
                <w:rFonts w:ascii="Arial" w:cs="Arial" w:eastAsia="Arial" w:hAnsi="Arial"/>
                <w:sz w:val="12"/>
                <w:szCs w:val="12"/>
                <w:b w:val="1"/>
                <w:bCs w:val="1"/>
                <w:color w:val="auto"/>
              </w:rPr>
              <w:t>Executive Officers and Directors</w:t>
            </w:r>
            <w:r>
              <w:rPr>
                <w:rFonts w:ascii="Arial" w:cs="Arial" w:eastAsia="Arial" w:hAnsi="Arial"/>
                <w:sz w:val="12"/>
                <w:szCs w:val="12"/>
                <w:color w:val="auto"/>
              </w:rPr>
              <w:t>:</w:t>
            </w:r>
          </w:p>
        </w:tc>
        <w:tc>
          <w:tcPr>
            <w:tcW w:w="440" w:type="dxa"/>
            <w:vAlign w:val="bottom"/>
            <w:gridSpan w:val="6"/>
          </w:tcPr>
          <w:p>
            <w:pPr>
              <w:ind w:left="40"/>
              <w:spacing w:after="0"/>
              <w:rPr>
                <w:sz w:val="20"/>
                <w:szCs w:val="20"/>
                <w:color w:val="auto"/>
              </w:rPr>
            </w:pPr>
            <w:r>
              <w:rPr>
                <w:rFonts w:ascii="Arial" w:cs="Arial" w:eastAsia="Arial" w:hAnsi="Arial"/>
                <w:sz w:val="12"/>
                <w:szCs w:val="12"/>
                <w:b w:val="1"/>
                <w:bCs w:val="1"/>
                <w:color w:val="auto"/>
              </w:rPr>
              <w:t>​ ​</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12"/>
                <w:szCs w:val="12"/>
                <w:b w:val="1"/>
                <w:bCs w:val="1"/>
                <w:color w:val="auto"/>
              </w:rPr>
              <w:t>​ ​ ​</w:t>
            </w:r>
          </w:p>
        </w:tc>
        <w:tc>
          <w:tcPr>
            <w:tcW w:w="34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121"/>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84"/>
        </w:trPr>
        <w:tc>
          <w:tcPr>
            <w:tcW w:w="3120" w:type="dxa"/>
            <w:vAlign w:val="bottom"/>
          </w:tcPr>
          <w:p>
            <w:pPr>
              <w:spacing w:after="0"/>
              <w:rPr>
                <w:sz w:val="20"/>
                <w:szCs w:val="20"/>
                <w:color w:val="auto"/>
              </w:rPr>
            </w:pPr>
            <w:r>
              <w:rPr>
                <w:rFonts w:ascii="Arial" w:cs="Arial" w:eastAsia="Arial" w:hAnsi="Arial"/>
                <w:sz w:val="12"/>
                <w:szCs w:val="12"/>
                <w:color w:val="auto"/>
              </w:rPr>
              <w:t>Raymond Stevens Ph.D.</w:t>
            </w:r>
          </w:p>
        </w:tc>
        <w:tc>
          <w:tcPr>
            <w:tcW w:w="440" w:type="dxa"/>
            <w:vAlign w:val="bottom"/>
            <w:gridSpan w:val="6"/>
          </w:tcPr>
          <w:p>
            <w:pPr>
              <w:ind w:left="40"/>
              <w:spacing w:after="0"/>
              <w:rPr>
                <w:sz w:val="20"/>
                <w:szCs w:val="20"/>
                <w:color w:val="auto"/>
              </w:rPr>
            </w:pPr>
            <w:r>
              <w:rPr>
                <w:rFonts w:ascii="Arial" w:cs="Arial" w:eastAsia="Arial" w:hAnsi="Arial"/>
                <w:sz w:val="12"/>
                <w:szCs w:val="12"/>
                <w:color w:val="auto"/>
              </w:rPr>
              <w:t>​ ​</w:t>
            </w:r>
          </w:p>
        </w:tc>
        <w:tc>
          <w:tcPr>
            <w:tcW w:w="180" w:type="dxa"/>
            <w:vAlign w:val="bottom"/>
          </w:tcPr>
          <w:p>
            <w:pPr>
              <w:jc w:val="right"/>
              <w:spacing w:after="0"/>
              <w:rPr>
                <w:sz w:val="20"/>
                <w:szCs w:val="20"/>
                <w:color w:val="auto"/>
              </w:rPr>
            </w:pPr>
            <w:r>
              <w:rPr>
                <w:rFonts w:ascii="Arial" w:cs="Arial" w:eastAsia="Arial" w:hAnsi="Arial"/>
                <w:sz w:val="12"/>
                <w:szCs w:val="12"/>
                <w:color w:val="auto"/>
              </w:rPr>
              <w:t>​ ​</w:t>
            </w:r>
          </w:p>
        </w:tc>
        <w:tc>
          <w:tcPr>
            <w:tcW w:w="780" w:type="dxa"/>
            <w:vAlign w:val="bottom"/>
          </w:tcPr>
          <w:p>
            <w:pPr>
              <w:ind w:left="60"/>
              <w:spacing w:after="0"/>
              <w:rPr>
                <w:sz w:val="20"/>
                <w:szCs w:val="20"/>
                <w:color w:val="auto"/>
              </w:rPr>
            </w:pPr>
            <w:r>
              <w:rPr>
                <w:rFonts w:ascii="Arial" w:cs="Arial" w:eastAsia="Arial" w:hAnsi="Arial"/>
                <w:sz w:val="12"/>
                <w:szCs w:val="12"/>
                <w:color w:val="auto"/>
              </w:rPr>
              <w:t>637,000</w:t>
            </w: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1"/>
              <w:spacing w:after="0"/>
              <w:rPr>
                <w:sz w:val="20"/>
                <w:szCs w:val="20"/>
                <w:color w:val="auto"/>
              </w:rPr>
            </w:pPr>
            <w:r>
              <w:rPr>
                <w:rFonts w:ascii="Arial" w:cs="Arial" w:eastAsia="Arial" w:hAnsi="Arial"/>
                <w:sz w:val="12"/>
                <w:szCs w:val="12"/>
                <w:color w:val="auto"/>
              </w:rPr>
              <w:t>637,000</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3120" w:type="dxa"/>
            <w:vAlign w:val="bottom"/>
          </w:tcPr>
          <w:p>
            <w:pPr>
              <w:spacing w:after="0"/>
              <w:rPr>
                <w:sz w:val="20"/>
                <w:szCs w:val="20"/>
                <w:color w:val="auto"/>
              </w:rPr>
            </w:pPr>
            <w:r>
              <w:rPr>
                <w:rFonts w:ascii="Arial" w:cs="Arial" w:eastAsia="Arial" w:hAnsi="Arial"/>
                <w:sz w:val="12"/>
                <w:szCs w:val="12"/>
                <w:color w:val="auto"/>
              </w:rPr>
              <w:t>Jun Yoon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ind w:left="60"/>
              <w:spacing w:after="0"/>
              <w:rPr>
                <w:sz w:val="20"/>
                <w:szCs w:val="20"/>
                <w:color w:val="auto"/>
              </w:rPr>
            </w:pPr>
            <w:r>
              <w:rPr>
                <w:rFonts w:ascii="Arial" w:cs="Arial" w:eastAsia="Arial" w:hAnsi="Arial"/>
                <w:sz w:val="12"/>
                <w:szCs w:val="12"/>
                <w:color w:val="auto"/>
              </w:rPr>
              <w:t>637,000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1"/>
              <w:spacing w:after="0"/>
              <w:rPr>
                <w:sz w:val="20"/>
                <w:szCs w:val="20"/>
                <w:color w:val="auto"/>
              </w:rPr>
            </w:pPr>
            <w:r>
              <w:rPr>
                <w:rFonts w:ascii="Arial" w:cs="Arial" w:eastAsia="Arial" w:hAnsi="Arial"/>
                <w:sz w:val="12"/>
                <w:szCs w:val="12"/>
                <w:color w:val="auto"/>
              </w:rPr>
              <w:t>637,000</w:t>
            </w:r>
          </w:p>
        </w:tc>
        <w:tc>
          <w:tcPr>
            <w:tcW w:w="80" w:type="dxa"/>
            <w:vAlign w:val="bottom"/>
          </w:tcPr>
          <w:p>
            <w:pPr>
              <w:spacing w:after="0"/>
              <w:rPr>
                <w:sz w:val="14"/>
                <w:szCs w:val="14"/>
                <w:color w:val="auto"/>
              </w:rPr>
            </w:pPr>
          </w:p>
        </w:tc>
      </w:tr>
      <w:tr>
        <w:trPr>
          <w:trHeight w:val="152"/>
        </w:trPr>
        <w:tc>
          <w:tcPr>
            <w:tcW w:w="3120" w:type="dxa"/>
            <w:vAlign w:val="bottom"/>
          </w:tcPr>
          <w:p>
            <w:pPr>
              <w:spacing w:after="0"/>
              <w:rPr>
                <w:sz w:val="13"/>
                <w:szCs w:val="13"/>
                <w:color w:val="auto"/>
              </w:rPr>
            </w:pPr>
          </w:p>
        </w:tc>
        <w:tc>
          <w:tcPr>
            <w:tcW w:w="440" w:type="dxa"/>
            <w:vAlign w:val="bottom"/>
            <w:gridSpan w:val="6"/>
          </w:tcPr>
          <w:p>
            <w:pPr>
              <w:ind w:left="40"/>
              <w:spacing w:after="0"/>
              <w:rPr>
                <w:sz w:val="20"/>
                <w:szCs w:val="20"/>
                <w:color w:val="auto"/>
              </w:rPr>
            </w:pPr>
            <w:r>
              <w:rPr>
                <w:rFonts w:ascii="Arial" w:cs="Arial" w:eastAsia="Arial" w:hAnsi="Arial"/>
                <w:sz w:val="12"/>
                <w:szCs w:val="12"/>
                <w:color w:val="auto"/>
              </w:rPr>
              <w:t>​ ​</w:t>
            </w:r>
          </w:p>
        </w:tc>
        <w:tc>
          <w:tcPr>
            <w:tcW w:w="1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3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-1933575</wp:posOffset>
            </wp:positionV>
            <wp:extent cx="3733165" cy="2025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733165" cy="2025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-2166620</wp:posOffset>
            </wp:positionV>
            <wp:extent cx="3733165" cy="1168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-1067435</wp:posOffset>
            </wp:positionV>
            <wp:extent cx="3733165" cy="2025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733165" cy="2025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-1301115</wp:posOffset>
            </wp:positionV>
            <wp:extent cx="3733165" cy="1168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-208280</wp:posOffset>
            </wp:positionV>
            <wp:extent cx="3733165" cy="2025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733165" cy="2025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B-1 Convertible Preferred Share Exchange</w:t>
      </w:r>
    </w:p>
    <w:p>
      <w:pPr>
        <w:spacing w:after="0" w:line="34"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In December 2021, we entered into a share exchange agreement with Basecamp Bio, a Cayman Islands exempted company limited by shares, and certain holders of the Basecamp Bio series seed shares, or the Basecamp Shares, pursuant to which, the holders of such shares exchanged an aggregate of 7,000,000 Basecamp Shares for 2,161,402 of our Series B-1 convertible preferred shares of the company. Each one Basecamp Share was exchanged for 0.30877158 of our Series B-1 convertible preferred shares, rounded to the nearest whole share. As a result of such share exchange, Basecamp Bio became our wholly owned subsidiary.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99" w:name="page200"/>
    <w:bookmarkEnd w:id="19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The table below sets forth the number of shares of our Series B-1 convertible preferred shares issued in such share exchange to our executive officers, directors, holders of more than 5% of our issued share capital and their affiliated entities or immediate family members. Each Series B-1 preferred share in the table below will automatically convert into and be re-designated as one ordinary share immediately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68580</wp:posOffset>
            </wp:positionV>
            <wp:extent cx="373316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auto"/>
              </w:rPr>
              <w:t>SERIES B-1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rPr>
                <w:sz w:val="20"/>
                <w:szCs w:val="20"/>
                <w:color w:val="auto"/>
              </w:rPr>
            </w:pPr>
            <w:r>
              <w:rPr>
                <w:rFonts w:ascii="Arial" w:cs="Arial" w:eastAsia="Arial" w:hAnsi="Arial"/>
                <w:sz w:val="10"/>
                <w:szCs w:val="10"/>
                <w:b w:val="1"/>
                <w:bCs w:val="1"/>
                <w:color w:val="auto"/>
              </w:rPr>
              <w:t>BASECAMP BIO</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4"/>
          </w:tcPr>
          <w:p>
            <w:pPr>
              <w:jc w:val="center"/>
              <w:ind w:right="28"/>
              <w:spacing w:after="0"/>
              <w:rPr>
                <w:sz w:val="20"/>
                <w:szCs w:val="20"/>
                <w:color w:val="auto"/>
              </w:rPr>
            </w:pPr>
            <w:r>
              <w:rPr>
                <w:rFonts w:ascii="Arial" w:cs="Arial" w:eastAsia="Arial" w:hAnsi="Arial"/>
                <w:sz w:val="10"/>
                <w:szCs w:val="10"/>
                <w:b w:val="1"/>
                <w:bCs w:val="1"/>
                <w:color w:val="auto"/>
              </w:rPr>
              <w:t>CONVERTIBLE</w:t>
            </w: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rPr>
                <w:sz w:val="20"/>
                <w:szCs w:val="20"/>
                <w:color w:val="auto"/>
              </w:rPr>
            </w:pPr>
            <w:r>
              <w:rPr>
                <w:rFonts w:ascii="Arial" w:cs="Arial" w:eastAsia="Arial" w:hAnsi="Arial"/>
                <w:sz w:val="10"/>
                <w:szCs w:val="10"/>
                <w:b w:val="1"/>
                <w:bCs w:val="1"/>
                <w:color w:val="auto"/>
              </w:rPr>
              <w:t>SERIES SEED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auto"/>
              </w:rPr>
              <w:t>PREFERRED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122"/>
              <w:spacing w:after="0"/>
              <w:rPr>
                <w:sz w:val="20"/>
                <w:szCs w:val="20"/>
                <w:color w:val="auto"/>
              </w:rPr>
            </w:pPr>
            <w:r>
              <w:rPr>
                <w:rFonts w:ascii="Arial" w:cs="Arial" w:eastAsia="Arial" w:hAnsi="Arial"/>
                <w:sz w:val="10"/>
                <w:szCs w:val="10"/>
                <w:b w:val="1"/>
                <w:bCs w:val="1"/>
                <w:color w:val="auto"/>
              </w:rPr>
              <w:t>SHARE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42"/>
              <w:spacing w:after="0"/>
              <w:rPr>
                <w:sz w:val="20"/>
                <w:szCs w:val="20"/>
                <w:color w:val="auto"/>
              </w:rPr>
            </w:pPr>
            <w:r>
              <w:rPr>
                <w:rFonts w:ascii="Arial" w:cs="Arial" w:eastAsia="Arial" w:hAnsi="Arial"/>
                <w:sz w:val="10"/>
                <w:szCs w:val="10"/>
                <w:b w:val="1"/>
                <w:bCs w:val="1"/>
                <w:color w:val="auto"/>
              </w:rPr>
              <w:t>SHARE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39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64"/>
        </w:trPr>
        <w:tc>
          <w:tcPr>
            <w:tcW w:w="3920" w:type="dxa"/>
            <w:vAlign w:val="bottom"/>
          </w:tcPr>
          <w:p>
            <w:pPr>
              <w:spacing w:after="0"/>
              <w:rPr>
                <w:sz w:val="20"/>
                <w:szCs w:val="20"/>
                <w:color w:val="auto"/>
              </w:rPr>
            </w:pPr>
            <w:r>
              <w:rPr>
                <w:rFonts w:ascii="Arial" w:cs="Arial" w:eastAsia="Arial" w:hAnsi="Arial"/>
                <w:sz w:val="12"/>
                <w:szCs w:val="12"/>
                <w:b w:val="1"/>
                <w:bCs w:val="1"/>
                <w:color w:val="auto"/>
              </w:rPr>
              <w:t>Greater than 5% shareholders</w:t>
            </w:r>
            <w:r>
              <w:rPr>
                <w:rFonts w:ascii="Arial" w:cs="Arial" w:eastAsia="Arial" w:hAnsi="Arial"/>
                <w:sz w:val="12"/>
                <w:szCs w:val="12"/>
                <w:color w:val="auto"/>
              </w:rPr>
              <w:t>:</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 ​ ​</w:t>
            </w:r>
          </w:p>
        </w:tc>
        <w:tc>
          <w:tcPr>
            <w:tcW w:w="1000" w:type="dxa"/>
            <w:vAlign w:val="bottom"/>
            <w:gridSpan w:val="4"/>
          </w:tcPr>
          <w:p>
            <w:pPr>
              <w:jc w:val="right"/>
              <w:spacing w:after="0"/>
              <w:rPr>
                <w:sz w:val="20"/>
                <w:szCs w:val="20"/>
                <w:color w:val="auto"/>
              </w:rPr>
            </w:pPr>
            <w:r>
              <w:rPr>
                <w:rFonts w:ascii="Arial" w:cs="Arial" w:eastAsia="Arial" w:hAnsi="Arial"/>
                <w:sz w:val="12"/>
                <w:szCs w:val="12"/>
                <w:b w:val="1"/>
                <w:bCs w:val="1"/>
                <w:color w:val="auto"/>
              </w:rPr>
              <w:t>​​​ ​ ​</w:t>
            </w:r>
          </w:p>
        </w:tc>
        <w:tc>
          <w:tcPr>
            <w:tcW w:w="6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b w:val="1"/>
                <w:bCs w:val="1"/>
                <w:color w:val="auto"/>
              </w:rPr>
              <w:t>​ ​​</w:t>
            </w:r>
          </w:p>
        </w:tc>
      </w:tr>
      <w:tr>
        <w:trPr>
          <w:trHeight w:val="184"/>
        </w:trPr>
        <w:tc>
          <w:tcPr>
            <w:tcW w:w="3920" w:type="dxa"/>
            <w:vAlign w:val="bottom"/>
          </w:tcPr>
          <w:p>
            <w:pPr>
              <w:spacing w:after="0"/>
              <w:rPr>
                <w:sz w:val="20"/>
                <w:szCs w:val="20"/>
                <w:color w:val="auto"/>
              </w:rPr>
            </w:pPr>
            <w:r>
              <w:rPr>
                <w:rFonts w:ascii="Arial" w:cs="Arial" w:eastAsia="Arial" w:hAnsi="Arial"/>
                <w:sz w:val="12"/>
                <w:szCs w:val="12"/>
                <w:color w:val="auto"/>
              </w:rPr>
              <w:t>ERVC Healthcare V, L.P.</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720" w:type="dxa"/>
            <w:vAlign w:val="bottom"/>
          </w:tcPr>
          <w:p>
            <w:pPr>
              <w:jc w:val="right"/>
              <w:spacing w:after="0"/>
              <w:rPr>
                <w:sz w:val="20"/>
                <w:szCs w:val="20"/>
                <w:color w:val="auto"/>
              </w:rPr>
            </w:pPr>
            <w:r>
              <w:rPr>
                <w:rFonts w:ascii="Arial" w:cs="Arial" w:eastAsia="Arial" w:hAnsi="Arial"/>
                <w:sz w:val="12"/>
                <w:szCs w:val="12"/>
                <w:color w:val="auto"/>
              </w:rPr>
              <w:t>1,600,000</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600" w:type="dxa"/>
            <w:vAlign w:val="bottom"/>
          </w:tcPr>
          <w:p>
            <w:pPr>
              <w:jc w:val="right"/>
              <w:spacing w:after="0"/>
              <w:rPr>
                <w:sz w:val="20"/>
                <w:szCs w:val="20"/>
                <w:color w:val="auto"/>
              </w:rPr>
            </w:pPr>
            <w:r>
              <w:rPr>
                <w:rFonts w:ascii="Arial" w:cs="Arial" w:eastAsia="Arial" w:hAnsi="Arial"/>
                <w:sz w:val="12"/>
                <w:szCs w:val="12"/>
                <w:color w:val="auto"/>
              </w:rPr>
              <w:t>494,035</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920" w:type="dxa"/>
            <w:vAlign w:val="bottom"/>
          </w:tcPr>
          <w:p>
            <w:pPr>
              <w:spacing w:after="0"/>
              <w:rPr>
                <w:sz w:val="20"/>
                <w:szCs w:val="20"/>
                <w:color w:val="auto"/>
              </w:rPr>
            </w:pPr>
            <w:r>
              <w:rPr>
                <w:rFonts w:ascii="Arial" w:cs="Arial" w:eastAsia="Arial" w:hAnsi="Arial"/>
                <w:sz w:val="12"/>
                <w:szCs w:val="12"/>
                <w:color w:val="auto"/>
              </w:rPr>
              <w:t>F-Prime Capital Partners Life Sciences Fund VI LP</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7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600" w:type="dxa"/>
            <w:vAlign w:val="bottom"/>
          </w:tcPr>
          <w:p>
            <w:pPr>
              <w:jc w:val="right"/>
              <w:spacing w:after="0"/>
              <w:rPr>
                <w:sz w:val="20"/>
                <w:szCs w:val="20"/>
                <w:color w:val="auto"/>
              </w:rPr>
            </w:pPr>
            <w:r>
              <w:rPr>
                <w:rFonts w:ascii="Arial" w:cs="Arial" w:eastAsia="Arial" w:hAnsi="Arial"/>
                <w:sz w:val="12"/>
                <w:szCs w:val="12"/>
                <w:color w:val="auto"/>
              </w:rPr>
              <w:t>463,157</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920" w:type="dxa"/>
            <w:vAlign w:val="bottom"/>
          </w:tcPr>
          <w:p>
            <w:pPr>
              <w:spacing w:after="0"/>
              <w:rPr>
                <w:sz w:val="20"/>
                <w:szCs w:val="20"/>
                <w:color w:val="auto"/>
              </w:rPr>
            </w:pPr>
            <w:r>
              <w:rPr>
                <w:rFonts w:ascii="Arial" w:cs="Arial" w:eastAsia="Arial" w:hAnsi="Arial"/>
                <w:sz w:val="12"/>
                <w:szCs w:val="12"/>
                <w:color w:val="auto"/>
              </w:rPr>
              <w:t>SCC Seed II Holdco, Ltd.</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720" w:type="dxa"/>
            <w:vAlign w:val="bottom"/>
          </w:tcPr>
          <w:p>
            <w:pPr>
              <w:jc w:val="right"/>
              <w:spacing w:after="0"/>
              <w:rPr>
                <w:sz w:val="20"/>
                <w:szCs w:val="20"/>
                <w:color w:val="auto"/>
              </w:rPr>
            </w:pPr>
            <w:r>
              <w:rPr>
                <w:rFonts w:ascii="Arial" w:cs="Arial" w:eastAsia="Arial" w:hAnsi="Arial"/>
                <w:sz w:val="12"/>
                <w:szCs w:val="12"/>
                <w:color w:val="auto"/>
              </w:rPr>
              <w:t>1,100,000</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 ​ ​​</w:t>
            </w:r>
          </w:p>
        </w:tc>
        <w:tc>
          <w:tcPr>
            <w:tcW w:w="600" w:type="dxa"/>
            <w:vAlign w:val="bottom"/>
          </w:tcPr>
          <w:p>
            <w:pPr>
              <w:jc w:val="right"/>
              <w:spacing w:after="0"/>
              <w:rPr>
                <w:sz w:val="20"/>
                <w:szCs w:val="20"/>
                <w:color w:val="auto"/>
              </w:rPr>
            </w:pPr>
            <w:r>
              <w:rPr>
                <w:rFonts w:ascii="Arial" w:cs="Arial" w:eastAsia="Arial" w:hAnsi="Arial"/>
                <w:sz w:val="12"/>
                <w:szCs w:val="12"/>
                <w:color w:val="auto"/>
              </w:rPr>
              <w:t>339,649</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3920" w:type="dxa"/>
            <w:vAlign w:val="bottom"/>
          </w:tcPr>
          <w:p>
            <w:pPr>
              <w:spacing w:after="0"/>
              <w:rPr>
                <w:sz w:val="20"/>
                <w:szCs w:val="20"/>
                <w:color w:val="auto"/>
              </w:rPr>
            </w:pPr>
            <w:r>
              <w:rPr>
                <w:rFonts w:ascii="Arial" w:cs="Arial" w:eastAsia="Arial" w:hAnsi="Arial"/>
                <w:sz w:val="12"/>
                <w:szCs w:val="12"/>
                <w:color w:val="auto"/>
              </w:rPr>
              <w:t>BSCP Holdings Limited</w:t>
            </w:r>
          </w:p>
        </w:tc>
        <w:tc>
          <w:tcPr>
            <w:tcW w:w="1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1,100,000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339,649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2"/>
        </w:trPr>
        <w:tc>
          <w:tcPr>
            <w:tcW w:w="392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720" w:type="dxa"/>
            <w:vAlign w:val="bottom"/>
          </w:tcPr>
          <w:p>
            <w:pPr>
              <w:spacing w:after="0"/>
              <w:rPr>
                <w:sz w:val="13"/>
                <w:szCs w:val="13"/>
                <w:color w:val="auto"/>
              </w:rPr>
            </w:pPr>
          </w:p>
        </w:tc>
        <w:tc>
          <w:tcPr>
            <w:tcW w:w="280" w:type="dxa"/>
            <w:vAlign w:val="bottom"/>
            <w:gridSpan w:val="3"/>
          </w:tcPr>
          <w:p>
            <w:pPr>
              <w:jc w:val="right"/>
              <w:ind w:right="6"/>
              <w:spacing w:after="0"/>
              <w:rPr>
                <w:sz w:val="20"/>
                <w:szCs w:val="20"/>
                <w:color w:val="auto"/>
              </w:rPr>
            </w:pPr>
            <w:r>
              <w:rPr>
                <w:rFonts w:ascii="Arial" w:cs="Arial" w:eastAsia="Arial" w:hAnsi="Arial"/>
                <w:sz w:val="12"/>
                <w:szCs w:val="12"/>
                <w:color w:val="auto"/>
              </w:rPr>
              <w:t>​​ ​ ​</w:t>
            </w:r>
          </w:p>
        </w:tc>
        <w:tc>
          <w:tcPr>
            <w:tcW w:w="6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-208280</wp:posOffset>
            </wp:positionV>
            <wp:extent cx="3733165" cy="2025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733165" cy="2025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-675005</wp:posOffset>
            </wp:positionV>
            <wp:extent cx="3733165" cy="1168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10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Financings</w:t>
      </w:r>
    </w:p>
    <w:p>
      <w:pPr>
        <w:spacing w:after="0" w:line="11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A Convertible Preferred Share Financing</w:t>
      </w:r>
    </w:p>
    <w:p>
      <w:pPr>
        <w:spacing w:after="0" w:line="34" w:lineRule="exact"/>
        <w:rPr>
          <w:sz w:val="20"/>
          <w:szCs w:val="20"/>
          <w:color w:val="auto"/>
        </w:rPr>
      </w:pPr>
    </w:p>
    <w:p>
      <w:pPr>
        <w:ind w:left="1560" w:right="1699"/>
        <w:spacing w:after="0" w:line="305" w:lineRule="auto"/>
        <w:rPr>
          <w:sz w:val="20"/>
          <w:szCs w:val="20"/>
          <w:color w:val="auto"/>
        </w:rPr>
      </w:pPr>
      <w:r>
        <w:rPr>
          <w:rFonts w:ascii="Arial" w:cs="Arial" w:eastAsia="Arial" w:hAnsi="Arial"/>
          <w:sz w:val="12"/>
          <w:szCs w:val="12"/>
          <w:color w:val="auto"/>
        </w:rPr>
        <w:t>In April 2019, we entered into a Series A preferred share purchase agreement with various investors, pursuant to which, in two separate tranches, we issued and sold an aggregate of 19,200,000 shares of our Series A convertible preferred shares at a price per share of  $1.6667 for gross proceeds of  $32.0 million.</w:t>
      </w:r>
    </w:p>
    <w:p>
      <w:pPr>
        <w:spacing w:after="0" w:line="64" w:lineRule="exact"/>
        <w:rPr>
          <w:sz w:val="20"/>
          <w:szCs w:val="20"/>
          <w:color w:val="auto"/>
        </w:rPr>
      </w:pPr>
    </w:p>
    <w:p>
      <w:pPr>
        <w:ind w:left="1560" w:right="1759"/>
        <w:spacing w:after="0" w:line="293" w:lineRule="auto"/>
        <w:rPr>
          <w:sz w:val="20"/>
          <w:szCs w:val="20"/>
          <w:color w:val="auto"/>
        </w:rPr>
      </w:pPr>
      <w:r>
        <w:rPr>
          <w:rFonts w:ascii="Arial" w:cs="Arial" w:eastAsia="Arial" w:hAnsi="Arial"/>
          <w:sz w:val="12"/>
          <w:szCs w:val="12"/>
          <w:color w:val="auto"/>
        </w:rPr>
        <w:t>The table below sets forth the number of shares of our Series A convertible preferred share purchased by our executive officers, directors, holders of more than 5% of our issued share capital and their affiliated entities or immediate family members. Each Series A preferred share in the table below will automatically convert into and be re-designated as one ordinary share immediately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73660</wp:posOffset>
            </wp:positionV>
            <wp:extent cx="373316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44"/>
              <w:spacing w:after="0"/>
              <w:rPr>
                <w:sz w:val="20"/>
                <w:szCs w:val="20"/>
                <w:color w:val="auto"/>
              </w:rPr>
            </w:pPr>
            <w:r>
              <w:rPr>
                <w:rFonts w:ascii="Arial" w:cs="Arial" w:eastAsia="Arial" w:hAnsi="Arial"/>
                <w:sz w:val="10"/>
                <w:szCs w:val="10"/>
                <w:b w:val="1"/>
                <w:bCs w:val="1"/>
                <w:color w:val="auto"/>
              </w:rPr>
              <w:t>SERIES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rPr>
              <w:t>CONVERTIBLE</w:t>
            </w:r>
          </w:p>
        </w:tc>
        <w:tc>
          <w:tcPr>
            <w:tcW w:w="1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auto"/>
              </w:rPr>
              <w:t>AGGREGATE</w:t>
            </w:r>
          </w:p>
        </w:tc>
        <w:tc>
          <w:tcPr>
            <w:tcW w:w="4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44"/>
              <w:spacing w:after="0"/>
              <w:rPr>
                <w:sz w:val="20"/>
                <w:szCs w:val="20"/>
                <w:color w:val="auto"/>
              </w:rPr>
            </w:pPr>
            <w:r>
              <w:rPr>
                <w:rFonts w:ascii="Arial" w:cs="Arial" w:eastAsia="Arial" w:hAnsi="Arial"/>
                <w:sz w:val="10"/>
                <w:szCs w:val="10"/>
                <w:b w:val="1"/>
                <w:bCs w:val="1"/>
                <w:color w:val="auto"/>
              </w:rPr>
              <w:t>PREFERRED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23"/>
              <w:spacing w:after="0"/>
              <w:rPr>
                <w:sz w:val="20"/>
                <w:szCs w:val="20"/>
                <w:color w:val="auto"/>
              </w:rPr>
            </w:pPr>
            <w:r>
              <w:rPr>
                <w:rFonts w:ascii="Arial" w:cs="Arial" w:eastAsia="Arial" w:hAnsi="Arial"/>
                <w:sz w:val="10"/>
                <w:szCs w:val="10"/>
                <w:b w:val="1"/>
                <w:bCs w:val="1"/>
                <w:color w:val="auto"/>
              </w:rPr>
              <w:t>PURCHASE</w:t>
            </w:r>
          </w:p>
        </w:tc>
        <w:tc>
          <w:tcPr>
            <w:tcW w:w="4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4"/>
              <w:spacing w:after="0"/>
              <w:rPr>
                <w:sz w:val="20"/>
                <w:szCs w:val="20"/>
                <w:color w:val="auto"/>
              </w:rPr>
            </w:pPr>
            <w:r>
              <w:rPr>
                <w:rFonts w:ascii="Arial" w:cs="Arial" w:eastAsia="Arial" w:hAnsi="Arial"/>
                <w:sz w:val="10"/>
                <w:szCs w:val="10"/>
                <w:b w:val="1"/>
                <w:bCs w:val="1"/>
                <w:color w:val="auto"/>
              </w:rPr>
              <w:t>SHARE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23"/>
              <w:spacing w:after="0"/>
              <w:rPr>
                <w:sz w:val="20"/>
                <w:szCs w:val="20"/>
                <w:color w:val="auto"/>
              </w:rPr>
            </w:pPr>
            <w:r>
              <w:rPr>
                <w:rFonts w:ascii="Arial" w:cs="Arial" w:eastAsia="Arial" w:hAnsi="Arial"/>
                <w:sz w:val="10"/>
                <w:szCs w:val="10"/>
                <w:b w:val="1"/>
                <w:bCs w:val="1"/>
                <w:color w:val="auto"/>
              </w:rPr>
              <w:t>PRICE</w:t>
            </w:r>
          </w:p>
        </w:tc>
        <w:tc>
          <w:tcPr>
            <w:tcW w:w="40" w:type="dxa"/>
            <w:vAlign w:val="bottom"/>
          </w:tcPr>
          <w:p>
            <w:pPr>
              <w:spacing w:after="0"/>
              <w:rPr>
                <w:sz w:val="11"/>
                <w:szCs w:val="11"/>
                <w:color w:val="auto"/>
              </w:rPr>
            </w:pPr>
          </w:p>
        </w:tc>
      </w:tr>
      <w:tr>
        <w:trPr>
          <w:trHeight w:val="152"/>
        </w:trPr>
        <w:tc>
          <w:tcPr>
            <w:tcW w:w="404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780" w:type="dxa"/>
            <w:vAlign w:val="bottom"/>
          </w:tcPr>
          <w:p>
            <w:pPr>
              <w:jc w:val="center"/>
              <w:ind w:right="24"/>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jc w:val="right"/>
              <w:ind w:right="4"/>
              <w:spacing w:after="0"/>
              <w:rPr>
                <w:sz w:val="20"/>
                <w:szCs w:val="20"/>
                <w:color w:val="auto"/>
              </w:rPr>
            </w:pPr>
            <w:r>
              <w:rPr>
                <w:rFonts w:ascii="Arial" w:cs="Arial" w:eastAsia="Arial" w:hAnsi="Arial"/>
                <w:sz w:val="10"/>
                <w:szCs w:val="10"/>
                <w:b w:val="1"/>
                <w:bCs w:val="1"/>
                <w:color w:val="auto"/>
              </w:rPr>
              <w:t>​ ​</w:t>
            </w:r>
          </w:p>
        </w:tc>
        <w:tc>
          <w:tcPr>
            <w:tcW w:w="680" w:type="dxa"/>
            <w:vAlign w:val="bottom"/>
          </w:tcPr>
          <w:p>
            <w:pPr>
              <w:jc w:val="center"/>
              <w:ind w:right="3"/>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4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Greater than 5% shareholders</w:t>
            </w:r>
            <w:r>
              <w:rPr>
                <w:rFonts w:ascii="Arial" w:cs="Arial" w:eastAsia="Arial" w:hAnsi="Arial"/>
                <w:sz w:val="12"/>
                <w:szCs w:val="12"/>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w:t>
            </w:r>
          </w:p>
        </w:tc>
        <w:tc>
          <w:tcPr>
            <w:tcW w:w="7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w:t>
            </w:r>
          </w:p>
        </w:tc>
        <w:tc>
          <w:tcPr>
            <w:tcW w:w="68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ERVC Healthcare IV, L.P.</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5,400,000​​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9,000,180​</w:t>
            </w:r>
          </w:p>
        </w:tc>
      </w:tr>
      <w:tr>
        <w:trPr>
          <w:trHeight w:val="18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F-Prime Capital Partners Life Sciences Fund VI LP</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4,800,000​​ ​​</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8,000,160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SCC Venture VII Holdco I, Ltd.</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4,200,000​​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7,000,140​</w:t>
            </w: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Qiming</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5,000,100</w:t>
            </w:r>
          </w:p>
        </w:tc>
        <w:tc>
          <w:tcPr>
            <w:tcW w:w="40" w:type="dxa"/>
            <w:vAlign w:val="bottom"/>
          </w:tcPr>
          <w:p>
            <w:pPr>
              <w:spacing w:after="0"/>
              <w:rPr>
                <w:sz w:val="14"/>
                <w:szCs w:val="14"/>
                <w:color w:val="auto"/>
              </w:rPr>
            </w:pPr>
          </w:p>
        </w:tc>
      </w:tr>
      <w:tr>
        <w:trPr>
          <w:trHeight w:val="152"/>
        </w:trPr>
        <w:tc>
          <w:tcPr>
            <w:tcW w:w="40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680" w:type="dxa"/>
            <w:vAlign w:val="bottom"/>
            <w:tcBorders>
              <w:bottom w:val="single" w:sz="8" w:color="auto"/>
            </w:tcBorders>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-675005</wp:posOffset>
            </wp:positionV>
            <wp:extent cx="8572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-675005</wp:posOffset>
            </wp:positionV>
            <wp:extent cx="85725"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6350"/>
                    </a:xfrm>
                    <a:prstGeom prst="rect">
                      <a:avLst/>
                    </a:prstGeom>
                    <a:noFill/>
                  </pic:spPr>
                </pic:pic>
              </a:graphicData>
            </a:graphic>
          </wp:anchor>
        </w:drawing>
      </w:r>
    </w:p>
    <w:p>
      <w:pPr>
        <w:spacing w:after="0" w:line="10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A+ Convertible Preferred Share Financing</w:t>
      </w:r>
    </w:p>
    <w:p>
      <w:pPr>
        <w:spacing w:after="0" w:line="44" w:lineRule="exact"/>
        <w:rPr>
          <w:sz w:val="20"/>
          <w:szCs w:val="20"/>
          <w:color w:val="auto"/>
        </w:rPr>
      </w:pPr>
    </w:p>
    <w:p>
      <w:pPr>
        <w:ind w:left="1560" w:right="1839"/>
        <w:spacing w:after="0" w:line="297" w:lineRule="auto"/>
        <w:rPr>
          <w:sz w:val="20"/>
          <w:szCs w:val="20"/>
          <w:color w:val="auto"/>
        </w:rPr>
      </w:pPr>
      <w:r>
        <w:rPr>
          <w:rFonts w:ascii="Arial" w:cs="Arial" w:eastAsia="Arial" w:hAnsi="Arial"/>
          <w:sz w:val="12"/>
          <w:szCs w:val="12"/>
          <w:color w:val="auto"/>
        </w:rPr>
        <w:t>In March 2020, we entered into a Series A+ preferred share purchase agreement with various investors, pursuant to which we issued and sold an aggregate of 12,799,681 shares of our Series A+ convertible preferred shares at a price per share of  $2.0313 for gross proceeds of  $26.0 million.</w:t>
      </w:r>
    </w:p>
    <w:p>
      <w:pPr>
        <w:spacing w:after="0" w:line="78" w:lineRule="exact"/>
        <w:rPr>
          <w:sz w:val="20"/>
          <w:szCs w:val="20"/>
          <w:color w:val="auto"/>
        </w:rPr>
      </w:pPr>
    </w:p>
    <w:p>
      <w:pPr>
        <w:ind w:left="1560" w:right="1619"/>
        <w:spacing w:after="0" w:line="293" w:lineRule="auto"/>
        <w:rPr>
          <w:sz w:val="20"/>
          <w:szCs w:val="20"/>
          <w:color w:val="auto"/>
        </w:rPr>
      </w:pPr>
      <w:r>
        <w:rPr>
          <w:rFonts w:ascii="Arial" w:cs="Arial" w:eastAsia="Arial" w:hAnsi="Arial"/>
          <w:sz w:val="12"/>
          <w:szCs w:val="12"/>
          <w:color w:val="auto"/>
        </w:rPr>
        <w:t>The table below sets forth the number of shares of our Series A+ convertible preferred shares purchased by our executive officers, directors, holders of more than 5% of our issued share capital and their affiliated entities or immediate family members. Each Series A+ preferred share in the table below will automatically convert into and be re-designated as one ordinary share immediately upon the closing of this offering.</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0" w:name="page201"/>
    <w:bookmarkEnd w:id="200"/>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383540</wp:posOffset>
            </wp:positionV>
            <wp:extent cx="373316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rPr>
              <w:t>SERIES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rPr>
              <w:t>CONVERTIBLE</w:t>
            </w:r>
          </w:p>
        </w:tc>
        <w:tc>
          <w:tcPr>
            <w:tcW w:w="1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auto"/>
              </w:rPr>
              <w:t>AGGREGATE</w:t>
            </w:r>
          </w:p>
        </w:tc>
        <w:tc>
          <w:tcPr>
            <w:tcW w:w="4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Arial" w:cs="Arial" w:eastAsia="Arial" w:hAnsi="Arial"/>
                <w:sz w:val="10"/>
                <w:szCs w:val="10"/>
                <w:b w:val="1"/>
                <w:bCs w:val="1"/>
                <w:color w:val="auto"/>
              </w:rPr>
              <w:t>PREFERRED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22"/>
              <w:spacing w:after="0"/>
              <w:rPr>
                <w:sz w:val="20"/>
                <w:szCs w:val="20"/>
                <w:color w:val="auto"/>
              </w:rPr>
            </w:pPr>
            <w:r>
              <w:rPr>
                <w:rFonts w:ascii="Arial" w:cs="Arial" w:eastAsia="Arial" w:hAnsi="Arial"/>
                <w:sz w:val="10"/>
                <w:szCs w:val="10"/>
                <w:b w:val="1"/>
                <w:bCs w:val="1"/>
                <w:color w:val="auto"/>
              </w:rPr>
              <w:t>PURCHASE</w:t>
            </w:r>
          </w:p>
        </w:tc>
        <w:tc>
          <w:tcPr>
            <w:tcW w:w="4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rPr>
              <w:t>SHARE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0"/>
                <w:szCs w:val="10"/>
                <w:b w:val="1"/>
                <w:bCs w:val="1"/>
                <w:color w:val="auto"/>
              </w:rPr>
              <w:t>PRICE</w:t>
            </w:r>
          </w:p>
        </w:tc>
        <w:tc>
          <w:tcPr>
            <w:tcW w:w="40" w:type="dxa"/>
            <w:vAlign w:val="bottom"/>
          </w:tcPr>
          <w:p>
            <w:pPr>
              <w:spacing w:after="0"/>
              <w:rPr>
                <w:sz w:val="11"/>
                <w:szCs w:val="11"/>
                <w:color w:val="auto"/>
              </w:rPr>
            </w:pPr>
          </w:p>
        </w:tc>
      </w:tr>
      <w:tr>
        <w:trPr>
          <w:trHeight w:val="152"/>
        </w:trPr>
        <w:tc>
          <w:tcPr>
            <w:tcW w:w="404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jc w:val="right"/>
              <w:ind w:right="4"/>
              <w:spacing w:after="0"/>
              <w:rPr>
                <w:sz w:val="20"/>
                <w:szCs w:val="20"/>
                <w:color w:val="auto"/>
              </w:rPr>
            </w:pPr>
            <w:r>
              <w:rPr>
                <w:rFonts w:ascii="Arial" w:cs="Arial" w:eastAsia="Arial" w:hAnsi="Arial"/>
                <w:sz w:val="10"/>
                <w:szCs w:val="10"/>
                <w:b w:val="1"/>
                <w:bCs w:val="1"/>
                <w:color w:val="auto"/>
              </w:rPr>
              <w:t>​ ​</w:t>
            </w:r>
          </w:p>
        </w:tc>
        <w:tc>
          <w:tcPr>
            <w:tcW w:w="680" w:type="dxa"/>
            <w:vAlign w:val="bottom"/>
          </w:tcPr>
          <w:p>
            <w:pPr>
              <w:jc w:val="center"/>
              <w:ind w:right="2"/>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4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Greater than 5% shareholders</w:t>
            </w:r>
            <w:r>
              <w:rPr>
                <w:rFonts w:ascii="Arial" w:cs="Arial" w:eastAsia="Arial" w:hAnsi="Arial"/>
                <w:sz w:val="12"/>
                <w:szCs w:val="12"/>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w:t>
            </w:r>
          </w:p>
        </w:tc>
        <w:tc>
          <w:tcPr>
            <w:tcW w:w="7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w:t>
            </w:r>
          </w:p>
        </w:tc>
        <w:tc>
          <w:tcPr>
            <w:tcW w:w="68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ERVC Healthcare IV, L.P.</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676,906​​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1,374,999​</w:t>
            </w:r>
          </w:p>
        </w:tc>
      </w:tr>
      <w:tr>
        <w:trPr>
          <w:trHeight w:val="18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F-Prime Capital Partners Life Sciences Fund VI LP</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676,906​​ ​​</w:t>
            </w:r>
          </w:p>
        </w:tc>
        <w:tc>
          <w:tcPr>
            <w:tcW w:w="6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7"/>
              </w:rPr>
              <w:t>1,374,999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SCC Venture VII Holdco I, Ltd.</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2,461,477​​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4,999,998​</w:t>
            </w:r>
          </w:p>
        </w:tc>
      </w:tr>
      <w:tr>
        <w:trPr>
          <w:trHeight w:val="18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Qiming</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1,199,970​​ ​​</w:t>
            </w:r>
          </w:p>
        </w:tc>
        <w:tc>
          <w:tcPr>
            <w:tcW w:w="6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7"/>
              </w:rPr>
              <w:t>2,437,499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4040" w:type="dxa"/>
            <w:vAlign w:val="bottom"/>
          </w:tcPr>
          <w:p>
            <w:pPr>
              <w:spacing w:after="0"/>
              <w:rPr>
                <w:sz w:val="20"/>
                <w:szCs w:val="20"/>
                <w:color w:val="auto"/>
              </w:rPr>
            </w:pPr>
            <w:r>
              <w:rPr>
                <w:rFonts w:ascii="Arial" w:cs="Arial" w:eastAsia="Arial" w:hAnsi="Arial"/>
                <w:sz w:val="12"/>
                <w:szCs w:val="12"/>
                <w:color w:val="auto"/>
              </w:rPr>
              <w:t>XX-I SHT Holdings Limited</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4,922,955</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ind w:left="140"/>
              <w:spacing w:after="0"/>
              <w:rPr>
                <w:sz w:val="20"/>
                <w:szCs w:val="20"/>
                <w:color w:val="auto"/>
              </w:rPr>
            </w:pPr>
            <w:r>
              <w:rPr>
                <w:rFonts w:ascii="Arial" w:cs="Arial" w:eastAsia="Arial" w:hAnsi="Arial"/>
                <w:sz w:val="12"/>
                <w:szCs w:val="12"/>
                <w:color w:val="auto"/>
                <w:w w:val="97"/>
              </w:rPr>
              <w:t>9,999,999</w:t>
            </w:r>
          </w:p>
        </w:tc>
        <w:tc>
          <w:tcPr>
            <w:tcW w:w="40" w:type="dxa"/>
            <w:vAlign w:val="bottom"/>
          </w:tcPr>
          <w:p>
            <w:pPr>
              <w:spacing w:after="0"/>
              <w:rPr>
                <w:sz w:val="14"/>
                <w:szCs w:val="14"/>
                <w:color w:val="auto"/>
              </w:rPr>
            </w:pPr>
          </w:p>
        </w:tc>
      </w:tr>
      <w:tr>
        <w:trPr>
          <w:trHeight w:val="152"/>
        </w:trPr>
        <w:tc>
          <w:tcPr>
            <w:tcW w:w="4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 ​​</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 ​​</w:t>
            </w:r>
          </w:p>
        </w:tc>
        <w:tc>
          <w:tcPr>
            <w:tcW w:w="68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-791210</wp:posOffset>
            </wp:positionV>
            <wp:extent cx="8572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-791210</wp:posOffset>
            </wp:positionV>
            <wp:extent cx="8572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6350"/>
                    </a:xfrm>
                    <a:prstGeom prst="rect">
                      <a:avLst/>
                    </a:prstGeom>
                    <a:noFill/>
                  </pic:spPr>
                </pic:pic>
              </a:graphicData>
            </a:graphic>
          </wp:anchor>
        </w:drawing>
      </w:r>
    </w:p>
    <w:p>
      <w:pPr>
        <w:spacing w:after="0" w:line="9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B Convertible Preferred Share Financing</w:t>
      </w:r>
    </w:p>
    <w:p>
      <w:pPr>
        <w:spacing w:after="0" w:line="44"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In a series of closings in July 2021 and April 2022, we entered into a Series B preferred share purchase agreement with various investors, pursuant to which we issued and sold an aggregate of 32,857,004 shares of our Series B convertible preferred shares at a price per share of  $4.0483 for gross proceeds of $133.0 million.</w:t>
      </w:r>
    </w:p>
    <w:p>
      <w:pPr>
        <w:spacing w:after="0" w:line="77" w:lineRule="exact"/>
        <w:rPr>
          <w:sz w:val="20"/>
          <w:szCs w:val="20"/>
          <w:color w:val="auto"/>
        </w:rPr>
      </w:pPr>
    </w:p>
    <w:p>
      <w:pPr>
        <w:ind w:left="1560" w:right="1699"/>
        <w:spacing w:after="0" w:line="282" w:lineRule="auto"/>
        <w:rPr>
          <w:sz w:val="20"/>
          <w:szCs w:val="20"/>
          <w:color w:val="auto"/>
        </w:rPr>
      </w:pPr>
      <w:r>
        <w:rPr>
          <w:rFonts w:ascii="Arial" w:cs="Arial" w:eastAsia="Arial" w:hAnsi="Arial"/>
          <w:sz w:val="12"/>
          <w:szCs w:val="12"/>
          <w:color w:val="auto"/>
        </w:rPr>
        <w:t>The table below sets forth the number of shares of our Series B convertible preferred shares purchased by our executive officers, directors, holders of more than 5% of our issued share capital and their affiliated entities or immediate family members. Each Series B preferred share in the table below will automatically convert into and be re-designated as one ordinary share immediately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71120</wp:posOffset>
            </wp:positionV>
            <wp:extent cx="3733165"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23495</wp:posOffset>
            </wp:positionV>
            <wp:extent cx="3733165" cy="1168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Greater than 5% shareholders</w:t>
      </w:r>
      <w:r>
        <w:rPr>
          <w:rFonts w:ascii="Arial" w:cs="Arial" w:eastAsia="Arial" w:hAnsi="Arial"/>
          <w:sz w:val="12"/>
          <w:szCs w:val="12"/>
          <w:color w:val="auto"/>
        </w:rPr>
        <w:t>:</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ERVC Healthcare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F-Prime Capital Partners Life Sciences Fund VI LP</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SCC Venture VII Holdco 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Entities affiliated with Qiming.</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XX-I SHT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Deep Track Biotechnology Master Fund, Ltd.</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Entities affiliated with BVF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106680</wp:posOffset>
            </wp:positionV>
            <wp:extent cx="373316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Arial" w:cs="Arial" w:eastAsia="Arial" w:hAnsi="Arial"/>
                <w:sz w:val="10"/>
                <w:szCs w:val="10"/>
                <w:b w:val="1"/>
                <w:bCs w:val="1"/>
                <w:color w:val="auto"/>
              </w:rPr>
              <w:t>SERIES B</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CONVERTIBLE</w:t>
            </w: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9"/>
              </w:rPr>
              <w:t>AGGREGATE</w:t>
            </w:r>
          </w:p>
        </w:tc>
        <w:tc>
          <w:tcPr>
            <w:tcW w:w="4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780" w:type="dxa"/>
            <w:vAlign w:val="bottom"/>
          </w:tcPr>
          <w:p>
            <w:pPr>
              <w:jc w:val="center"/>
              <w:ind w:right="43"/>
              <w:spacing w:after="0"/>
              <w:rPr>
                <w:sz w:val="20"/>
                <w:szCs w:val="20"/>
                <w:color w:val="auto"/>
              </w:rPr>
            </w:pPr>
            <w:r>
              <w:rPr>
                <w:rFonts w:ascii="Arial" w:cs="Arial" w:eastAsia="Arial" w:hAnsi="Arial"/>
                <w:sz w:val="10"/>
                <w:szCs w:val="10"/>
                <w:b w:val="1"/>
                <w:bCs w:val="1"/>
                <w:color w:val="auto"/>
              </w:rPr>
              <w:t>PREFERRED</w:t>
            </w:r>
          </w:p>
        </w:tc>
        <w:tc>
          <w:tcPr>
            <w:tcW w:w="180" w:type="dxa"/>
            <w:vAlign w:val="bottom"/>
          </w:tcPr>
          <w:p>
            <w:pPr>
              <w:spacing w:after="0"/>
              <w:rPr>
                <w:sz w:val="11"/>
                <w:szCs w:val="11"/>
                <w:color w:val="auto"/>
              </w:rPr>
            </w:pPr>
          </w:p>
        </w:tc>
        <w:tc>
          <w:tcPr>
            <w:tcW w:w="680" w:type="dxa"/>
            <w:vAlign w:val="bottom"/>
          </w:tcPr>
          <w:p>
            <w:pPr>
              <w:jc w:val="center"/>
              <w:ind w:right="23"/>
              <w:spacing w:after="0"/>
              <w:rPr>
                <w:sz w:val="20"/>
                <w:szCs w:val="20"/>
                <w:color w:val="auto"/>
              </w:rPr>
            </w:pPr>
            <w:r>
              <w:rPr>
                <w:rFonts w:ascii="Arial" w:cs="Arial" w:eastAsia="Arial" w:hAnsi="Arial"/>
                <w:sz w:val="10"/>
                <w:szCs w:val="10"/>
                <w:b w:val="1"/>
                <w:bCs w:val="1"/>
                <w:color w:val="auto"/>
              </w:rPr>
              <w:t>PURCHASE</w:t>
            </w:r>
          </w:p>
        </w:tc>
        <w:tc>
          <w:tcPr>
            <w:tcW w:w="4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rPr>
              <w:t>SHARE</w:t>
            </w:r>
          </w:p>
        </w:tc>
        <w:tc>
          <w:tcPr>
            <w:tcW w:w="180" w:type="dxa"/>
            <w:vAlign w:val="bottom"/>
          </w:tcPr>
          <w:p>
            <w:pPr>
              <w:spacing w:after="0"/>
              <w:rPr>
                <w:sz w:val="11"/>
                <w:szCs w:val="11"/>
                <w:color w:val="auto"/>
              </w:rPr>
            </w:pPr>
          </w:p>
        </w:tc>
        <w:tc>
          <w:tcPr>
            <w:tcW w:w="680" w:type="dxa"/>
            <w:vAlign w:val="bottom"/>
          </w:tcPr>
          <w:p>
            <w:pPr>
              <w:jc w:val="center"/>
              <w:ind w:right="23"/>
              <w:spacing w:after="0"/>
              <w:rPr>
                <w:sz w:val="20"/>
                <w:szCs w:val="20"/>
                <w:color w:val="auto"/>
              </w:rPr>
            </w:pPr>
            <w:r>
              <w:rPr>
                <w:rFonts w:ascii="Arial" w:cs="Arial" w:eastAsia="Arial" w:hAnsi="Arial"/>
                <w:sz w:val="10"/>
                <w:szCs w:val="10"/>
                <w:b w:val="1"/>
                <w:bCs w:val="1"/>
                <w:color w:val="auto"/>
              </w:rPr>
              <w:t>PRICE</w:t>
            </w:r>
          </w:p>
        </w:tc>
        <w:tc>
          <w:tcPr>
            <w:tcW w:w="40" w:type="dxa"/>
            <w:vAlign w:val="bottom"/>
          </w:tcPr>
          <w:p>
            <w:pPr>
              <w:spacing w:after="0"/>
              <w:rPr>
                <w:sz w:val="11"/>
                <w:szCs w:val="11"/>
                <w:color w:val="auto"/>
              </w:rPr>
            </w:pPr>
          </w:p>
        </w:tc>
      </w:tr>
      <w:tr>
        <w:trPr>
          <w:trHeight w:val="152"/>
        </w:trPr>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780" w:type="dxa"/>
            <w:vAlign w:val="bottom"/>
          </w:tcPr>
          <w:p>
            <w:pPr>
              <w:jc w:val="center"/>
              <w:ind w:right="23"/>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jc w:val="right"/>
              <w:ind w:right="4"/>
              <w:spacing w:after="0"/>
              <w:rPr>
                <w:sz w:val="20"/>
                <w:szCs w:val="20"/>
                <w:color w:val="auto"/>
              </w:rPr>
            </w:pPr>
            <w:r>
              <w:rPr>
                <w:rFonts w:ascii="Arial" w:cs="Arial" w:eastAsia="Arial" w:hAnsi="Arial"/>
                <w:sz w:val="10"/>
                <w:szCs w:val="10"/>
                <w:b w:val="1"/>
                <w:bCs w:val="1"/>
                <w:color w:val="auto"/>
              </w:rPr>
              <w:t>​ ​</w:t>
            </w:r>
          </w:p>
        </w:tc>
        <w:tc>
          <w:tcPr>
            <w:tcW w:w="680" w:type="dxa"/>
            <w:vAlign w:val="bottom"/>
          </w:tcPr>
          <w:p>
            <w:pPr>
              <w:jc w:val="center"/>
              <w:ind w:right="3"/>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60" w:type="dxa"/>
            <w:vAlign w:val="bottom"/>
          </w:tcPr>
          <w:p>
            <w:pPr>
              <w:spacing w:after="0"/>
              <w:rPr>
                <w:sz w:val="20"/>
                <w:szCs w:val="20"/>
                <w:color w:val="auto"/>
              </w:rPr>
            </w:pPr>
            <w:r>
              <w:rPr>
                <w:rFonts w:ascii="Arial" w:cs="Arial" w:eastAsia="Arial" w:hAnsi="Arial"/>
                <w:sz w:val="12"/>
                <w:szCs w:val="12"/>
                <w:b w:val="1"/>
                <w:bCs w:val="1"/>
                <w:color w:val="auto"/>
              </w:rPr>
              <w:t>​ ​​</w:t>
            </w:r>
          </w:p>
        </w:tc>
        <w:tc>
          <w:tcPr>
            <w:tcW w:w="7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6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80"/>
        </w:trPr>
        <w:tc>
          <w:tcPr>
            <w:tcW w:w="160" w:type="dxa"/>
            <w:vAlign w:val="bottom"/>
          </w:tcPr>
          <w:p>
            <w:pPr>
              <w:spacing w:after="0"/>
              <w:rPr>
                <w:sz w:val="20"/>
                <w:szCs w:val="20"/>
                <w:color w:val="auto"/>
              </w:rPr>
            </w:pPr>
            <w:r>
              <w:rPr>
                <w:rFonts w:ascii="Arial" w:cs="Arial" w:eastAsia="Arial" w:hAnsi="Arial"/>
                <w:sz w:val="12"/>
                <w:szCs w:val="12"/>
                <w:color w:val="auto"/>
              </w:rPr>
              <w:t>​ ​​</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494,035​​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2,000,002​</w:t>
            </w:r>
          </w:p>
        </w:tc>
      </w:tr>
      <w:tr>
        <w:trPr>
          <w:trHeight w:val="184"/>
        </w:trPr>
        <w:tc>
          <w:tcPr>
            <w:tcW w:w="160" w:type="dxa"/>
            <w:vAlign w:val="bottom"/>
          </w:tcPr>
          <w:p>
            <w:pPr>
              <w:spacing w:after="0"/>
              <w:rPr>
                <w:sz w:val="20"/>
                <w:szCs w:val="20"/>
                <w:color w:val="auto"/>
              </w:rPr>
            </w:pPr>
            <w:r>
              <w:rPr>
                <w:rFonts w:ascii="Arial" w:cs="Arial" w:eastAsia="Arial" w:hAnsi="Arial"/>
                <w:sz w:val="12"/>
                <w:szCs w:val="12"/>
                <w:color w:val="auto"/>
              </w:rPr>
              <w:t>​ ​​</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494,035​​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2,000,002​</w:t>
            </w:r>
          </w:p>
        </w:tc>
      </w:tr>
      <w:tr>
        <w:trPr>
          <w:trHeight w:val="184"/>
        </w:trPr>
        <w:tc>
          <w:tcPr>
            <w:tcW w:w="160" w:type="dxa"/>
            <w:vAlign w:val="bottom"/>
          </w:tcPr>
          <w:p>
            <w:pPr>
              <w:spacing w:after="0"/>
              <w:rPr>
                <w:sz w:val="20"/>
                <w:szCs w:val="20"/>
                <w:color w:val="auto"/>
              </w:rPr>
            </w:pPr>
            <w:r>
              <w:rPr>
                <w:rFonts w:ascii="Arial" w:cs="Arial" w:eastAsia="Arial" w:hAnsi="Arial"/>
                <w:sz w:val="12"/>
                <w:szCs w:val="12"/>
                <w:color w:val="auto"/>
              </w:rPr>
              <w:t>​ ​​</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988,070​​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4,000,004​</w:t>
            </w:r>
          </w:p>
        </w:tc>
      </w:tr>
      <w:tr>
        <w:trPr>
          <w:trHeight w:val="184"/>
        </w:trPr>
        <w:tc>
          <w:tcPr>
            <w:tcW w:w="160" w:type="dxa"/>
            <w:vAlign w:val="bottom"/>
          </w:tcPr>
          <w:p>
            <w:pPr>
              <w:spacing w:after="0"/>
              <w:rPr>
                <w:sz w:val="20"/>
                <w:szCs w:val="20"/>
                <w:color w:val="auto"/>
              </w:rPr>
            </w:pPr>
            <w:r>
              <w:rPr>
                <w:rFonts w:ascii="Arial" w:cs="Arial" w:eastAsia="Arial" w:hAnsi="Arial"/>
                <w:sz w:val="12"/>
                <w:szCs w:val="12"/>
                <w:color w:val="auto"/>
              </w:rPr>
              <w:t>​ ​​</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494,035​​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2,000,002​</w:t>
            </w:r>
          </w:p>
        </w:tc>
      </w:tr>
      <w:tr>
        <w:trPr>
          <w:trHeight w:val="184"/>
        </w:trPr>
        <w:tc>
          <w:tcPr>
            <w:tcW w:w="160" w:type="dxa"/>
            <w:vAlign w:val="bottom"/>
          </w:tcPr>
          <w:p>
            <w:pPr>
              <w:spacing w:after="0"/>
              <w:rPr>
                <w:sz w:val="20"/>
                <w:szCs w:val="20"/>
                <w:color w:val="auto"/>
              </w:rPr>
            </w:pPr>
            <w:r>
              <w:rPr>
                <w:rFonts w:ascii="Arial" w:cs="Arial" w:eastAsia="Arial" w:hAnsi="Arial"/>
                <w:sz w:val="12"/>
                <w:szCs w:val="12"/>
                <w:color w:val="auto"/>
              </w:rPr>
              <w:t>​ ​​</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988,070​​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4,000,004​</w:t>
            </w:r>
          </w:p>
        </w:tc>
      </w:tr>
      <w:tr>
        <w:trPr>
          <w:trHeight w:val="184"/>
        </w:trPr>
        <w:tc>
          <w:tcPr>
            <w:tcW w:w="160" w:type="dxa"/>
            <w:vAlign w:val="bottom"/>
          </w:tcPr>
          <w:p>
            <w:pPr>
              <w:spacing w:after="0"/>
              <w:rPr>
                <w:sz w:val="20"/>
                <w:szCs w:val="20"/>
                <w:color w:val="auto"/>
              </w:rPr>
            </w:pPr>
            <w:r>
              <w:rPr>
                <w:rFonts w:ascii="Arial" w:cs="Arial" w:eastAsia="Arial" w:hAnsi="Arial"/>
                <w:sz w:val="12"/>
                <w:szCs w:val="12"/>
                <w:color w:val="auto"/>
              </w:rPr>
              <w:t>​ ​​</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4,940,345​​ ​​</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19,999,999​</w:t>
            </w:r>
          </w:p>
        </w:tc>
      </w:tr>
    </w:tbl>
    <w:p>
      <w:pPr>
        <w:spacing w:after="0" w:line="4" w:lineRule="exact"/>
        <w:rPr>
          <w:sz w:val="20"/>
          <w:szCs w:val="20"/>
          <w:color w:val="auto"/>
        </w:rPr>
      </w:pPr>
    </w:p>
    <w:p>
      <w:pPr>
        <w:ind w:left="380" w:hanging="269"/>
        <w:spacing w:after="0"/>
        <w:tabs>
          <w:tab w:leader="none" w:pos="3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7,410,518  ​ 30,000,000</w:t>
      </w:r>
    </w:p>
    <w:p>
      <w:pPr>
        <w:spacing w:after="0" w:line="23" w:lineRule="exact"/>
        <w:rPr>
          <w:sz w:val="20"/>
          <w:szCs w:val="20"/>
          <w:color w:val="auto"/>
        </w:rPr>
      </w:pPr>
    </w:p>
    <w:p>
      <w:pPr>
        <w:spacing w:after="0"/>
        <w:tabs>
          <w:tab w:leader="none" w:pos="920" w:val="left"/>
          <w:tab w:leader="none" w:pos="1780"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2"/>
          <w:szCs w:val="12"/>
          <w:color w:val="auto"/>
        </w:rPr>
        <w:t>​​ ​​</w:t>
      </w:r>
      <w:r>
        <w:rPr>
          <w:sz w:val="20"/>
          <w:szCs w:val="20"/>
          <w:color w:val="auto"/>
        </w:rPr>
        <w:tab/>
      </w:r>
      <w:r>
        <w:rPr>
          <w:rFonts w:ascii="Arial" w:cs="Arial" w:eastAsia="Arial" w:hAnsi="Arial"/>
          <w:sz w:val="12"/>
          <w:szCs w:val="12"/>
          <w:color w:val="auto"/>
        </w:rPr>
        <w:t>​</w:t>
      </w:r>
    </w:p>
    <w:p>
      <w:pPr>
        <w:spacing w:after="0" w:line="156" w:lineRule="exact"/>
        <w:rPr>
          <w:sz w:val="20"/>
          <w:szCs w:val="20"/>
          <w:color w:val="auto"/>
        </w:rPr>
      </w:pPr>
    </w:p>
    <w:p>
      <w:pPr>
        <w:sectPr>
          <w:pgSz w:w="11900" w:h="16838" w:orient="portrait"/>
          <w:cols w:equalWidth="0" w:num="2">
            <w:col w:w="4920" w:space="720"/>
            <w:col w:w="3379"/>
          </w:cols>
          <w:pgMar w:left="1440" w:top="109" w:right="1440"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Investors’ Rights, Management, Voting and Co-Sale Agreements</w:t>
      </w:r>
    </w:p>
    <w:p>
      <w:pPr>
        <w:spacing w:after="0" w:line="65" w:lineRule="exact"/>
        <w:rPr>
          <w:sz w:val="20"/>
          <w:szCs w:val="20"/>
          <w:color w:val="auto"/>
        </w:rPr>
      </w:pPr>
    </w:p>
    <w:p>
      <w:pPr>
        <w:ind w:left="1560" w:right="1719"/>
        <w:spacing w:after="0" w:line="276" w:lineRule="auto"/>
        <w:rPr>
          <w:sz w:val="20"/>
          <w:szCs w:val="20"/>
          <w:color w:val="auto"/>
        </w:rPr>
      </w:pPr>
      <w:r>
        <w:rPr>
          <w:rFonts w:ascii="Arial" w:cs="Arial" w:eastAsia="Arial" w:hAnsi="Arial"/>
          <w:sz w:val="12"/>
          <w:szCs w:val="12"/>
          <w:color w:val="auto"/>
        </w:rPr>
        <w:t>In connection with our convertible preferred share financings, we entered into investors’ rights, voting and right of first refusal and co-sale agreements containing registration rights, information rights, rights of first offer, voting rights and rights of first refusal, among other things, with certain holders of our shares. The holders of more than 5% of our issued share capital listed above are parties to these agreements. Our executive officers and directors who are parties to these agreements or who are related to parties to these agreements are Dr. Stevens, Mr. Yoon and Dr. Farid.</w:t>
      </w:r>
    </w:p>
    <w:p>
      <w:pPr>
        <w:spacing w:after="0" w:line="82" w:lineRule="exact"/>
        <w:rPr>
          <w:sz w:val="20"/>
          <w:szCs w:val="20"/>
          <w:color w:val="auto"/>
        </w:rPr>
      </w:pPr>
    </w:p>
    <w:p>
      <w:pPr>
        <w:ind w:left="1560" w:right="1659"/>
        <w:spacing w:after="0" w:line="272" w:lineRule="auto"/>
        <w:rPr>
          <w:sz w:val="20"/>
          <w:szCs w:val="20"/>
          <w:color w:val="auto"/>
        </w:rPr>
      </w:pPr>
      <w:r>
        <w:rPr>
          <w:rFonts w:ascii="Arial" w:cs="Arial" w:eastAsia="Arial" w:hAnsi="Arial"/>
          <w:sz w:val="12"/>
          <w:szCs w:val="12"/>
          <w:color w:val="auto"/>
        </w:rPr>
        <w:t>These shareholder agreements will terminate upon the closing of this offering, except for the registration rights granted under our investors’ rights agreement, which will terminate upon the earliest of  (i) the closing of a liquidation event; (ii) the fifth year anniversary of the consummation of an initial public offering; and</w:t>
      </w:r>
    </w:p>
    <w:p>
      <w:pPr>
        <w:spacing w:after="0" w:line="1" w:lineRule="exact"/>
        <w:rPr>
          <w:sz w:val="20"/>
          <w:szCs w:val="20"/>
          <w:color w:val="auto"/>
        </w:rPr>
      </w:pPr>
    </w:p>
    <w:p>
      <w:pPr>
        <w:ind w:left="1560" w:right="1699" w:firstLine="5"/>
        <w:spacing w:after="0" w:line="278" w:lineRule="auto"/>
        <w:tabs>
          <w:tab w:leader="none" w:pos="1757"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at such time, following an initial public offering, when all registrable securities held by each shareholder can be sold without limitation and without registration in compliance with pursuant to Rule 144 of the Securities Act, or Rule 144. For a description of the registration rights, see the section titled “Ordinary Shares and American Depositary Shares Eligible for Future Sale—Registration Rights.”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01" w:name="page202"/>
    <w:bookmarkEnd w:id="20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Initial Public Offering Participation Rights</w:t>
      </w:r>
    </w:p>
    <w:p>
      <w:pPr>
        <w:spacing w:after="0" w:line="75"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We entered into a letter agreement in July 2021, as amended in December 2021, with Biotechnology Value Fund, L.P., Biotechnology Value Fund II, L.P, and Biotechnology Value Trading Fund OS, L.P., or collectively, BVF, a beneficial owner of more than 5% of our issued share capital. The letter agreement grants BVF a participation right to purchase in this offering its pro-rata percentage of the total number of ADSs sold in this offering as calculated immediately prior to this offering, at the public offering price, subject to compliance with applicable securities laws. The letter agreement further provides that, under certain circumstances in which BVF is unable to participate in this offering, we are required to offer BVF our ordinary shares through a separate private placement to be concurrent with this offering. We anticipate that any offer made pursuant to these rights will be made in connection with this offering.</w:t>
      </w:r>
    </w:p>
    <w:p>
      <w:pPr>
        <w:spacing w:after="0" w:line="12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Certain Transactions with Schrödinger</w:t>
      </w:r>
    </w:p>
    <w:p>
      <w:pPr>
        <w:spacing w:after="0" w:line="11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Annapurna Collaboration</w:t>
      </w:r>
    </w:p>
    <w:p>
      <w:pPr>
        <w:spacing w:after="0" w:line="44"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In February 2017, our wholly-owned subsidiary, Annapurna Bio, Inc. entered into a Collaboration Agreement, or the Annapurna Collaboration, with Schrödinger, LLC, a wholly-owned subsidiary of Schrödinger, or collectively, the Schrödinger Entities, to discover and develop novel, orally bioavailable, small molecule inhibitors of the apelin receptor. In consideration for its performance of activities under the Annapurna Collaboration, the Schrödinger Entities received approximately 600,000 shares of common stock of Annapurna Bio, Inc., which were exchanged for 1,200,000 of our ordinary shares in 2019. Ramy Farid, Ph.D., is Chief Executive Officer of Schrödinger and a member of our board of directors. The Annapurna Collaboration expired in February 2020.</w:t>
      </w:r>
    </w:p>
    <w:p>
      <w:pPr>
        <w:spacing w:after="0" w:line="12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Gasherbrum Collaboration</w:t>
      </w:r>
    </w:p>
    <w:p>
      <w:pPr>
        <w:spacing w:after="0" w:line="44"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In April 2017, our wholly-owned subsidiary, Gasherbrum Bio, Inc. entered into a Collaboration Agreement, or the Gasherbrum Collaboration, with the Schrödinger Entities, to discover and develop novel, orally bioavailable, small molecule inhibitors of GLP1R. In consideration for its performance of activities under the Gasherbrum Collaboration, the Schrödinger Entities received approximately 600,000 shares of common stock of Gasherbrum Bio, Inc., which were exchanged for 600,000 of our ordinary shares in 2019. Ramy Farid, Ph.D., is Chief Executive Officer of Schrödinger and a member of our board of directors. The Gasherbrum Collaboration expired in April 2020.</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Lhotse Collaboration</w:t>
      </w:r>
    </w:p>
    <w:p>
      <w:pPr>
        <w:spacing w:after="0" w:line="44" w:lineRule="exact"/>
        <w:rPr>
          <w:sz w:val="20"/>
          <w:szCs w:val="20"/>
          <w:color w:val="auto"/>
        </w:rPr>
      </w:pPr>
    </w:p>
    <w:p>
      <w:pPr>
        <w:ind w:left="1560" w:right="1659"/>
        <w:spacing w:after="0" w:line="288" w:lineRule="auto"/>
        <w:rPr>
          <w:sz w:val="20"/>
          <w:szCs w:val="20"/>
          <w:color w:val="auto"/>
        </w:rPr>
      </w:pPr>
      <w:r>
        <w:rPr>
          <w:rFonts w:ascii="Arial" w:cs="Arial" w:eastAsia="Arial" w:hAnsi="Arial"/>
          <w:sz w:val="12"/>
          <w:szCs w:val="12"/>
          <w:color w:val="auto"/>
        </w:rPr>
        <w:t>In October 2020, our wholly-owned subsidiary, Lhotse entered into a Collaboration Agreement with Schrödinger, LLC. For more information regarding this agreement, see the section titled “Business—Lhotse Collaboration Agreement with Schrödinger, LLC.”</w:t>
      </w:r>
    </w:p>
    <w:p>
      <w:pPr>
        <w:spacing w:after="0" w:line="11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Employment Arrangements and Indemnification Agreements</w:t>
      </w:r>
    </w:p>
    <w:p>
      <w:pPr>
        <w:spacing w:after="0" w:line="65" w:lineRule="exact"/>
        <w:rPr>
          <w:sz w:val="20"/>
          <w:szCs w:val="20"/>
          <w:color w:val="auto"/>
        </w:rPr>
      </w:pPr>
    </w:p>
    <w:p>
      <w:pPr>
        <w:jc w:val="both"/>
        <w:ind w:left="1560" w:right="1739"/>
        <w:spacing w:after="0" w:line="288" w:lineRule="auto"/>
        <w:rPr>
          <w:sz w:val="20"/>
          <w:szCs w:val="20"/>
          <w:color w:val="auto"/>
        </w:rPr>
      </w:pPr>
      <w:r>
        <w:rPr>
          <w:rFonts w:ascii="Arial" w:cs="Arial" w:eastAsia="Arial" w:hAnsi="Arial"/>
          <w:sz w:val="12"/>
          <w:szCs w:val="12"/>
          <w:color w:val="auto"/>
        </w:rPr>
        <w:t>We have entered into employment agreements and offer letters with certain of our executive officers. For more information regarding these agreements with our executive officers, see the section titled “Executive and Director Compensation—Employment Arrangements with Our Named Executive Officers.”</w:t>
      </w:r>
    </w:p>
    <w:p>
      <w:pPr>
        <w:spacing w:after="0" w:line="74"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We have entered into indemnification agreements with certain of our current directors and executive officers, and intend to enter into new indemnification agreements with each of our current directors and executive officers before the completion of this offering. We also maintain a general liability insurance policy which covers certain liabilities of our directors and executive officers arising out of claims based on acts or omissions in their capacities as directors or officers.</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Policies and Procedures for Related Party Transactions</w:t>
      </w:r>
    </w:p>
    <w:p>
      <w:pPr>
        <w:spacing w:after="0" w:line="75"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We have adopted a written related-person transactions policy prior to the completion of this offering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 Transactions involving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2" w:name="page203"/>
    <w:bookmarkEnd w:id="20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jc w:val="both"/>
        <w:ind w:left="1560" w:right="1619"/>
        <w:spacing w:after="0" w:line="282" w:lineRule="auto"/>
        <w:rPr>
          <w:sz w:val="20"/>
          <w:szCs w:val="20"/>
          <w:color w:val="auto"/>
        </w:rPr>
      </w:pPr>
      <w:r>
        <w:rPr>
          <w:rFonts w:ascii="Arial" w:cs="Arial" w:eastAsia="Arial" w:hAnsi="Arial"/>
          <w:sz w:val="12"/>
          <w:szCs w:val="12"/>
          <w:color w:val="auto"/>
        </w:rPr>
        <w:t>compensation for services provided to us as an employee, consultant or director are not considered related-person transactions under this policy. A related person is any executive officer, director, nominee to become a director or a holder of more than five percent of our common stock, including any of their immediate family members and affiliates, including entities owned or controlled by such persons.</w:t>
      </w:r>
    </w:p>
    <w:p>
      <w:pPr>
        <w:spacing w:after="0" w:line="77"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 but not limited to:</w:t>
      </w:r>
    </w:p>
    <w:p>
      <w:pPr>
        <w:spacing w:after="0" w:line="23" w:lineRule="exact"/>
        <w:rPr>
          <w:sz w:val="20"/>
          <w:szCs w:val="20"/>
          <w:color w:val="auto"/>
        </w:rPr>
      </w:pPr>
    </w:p>
    <w:p>
      <w:pPr>
        <w:ind w:left="1980" w:hanging="157"/>
        <w:spacing w:after="0"/>
        <w:tabs>
          <w:tab w:leader="none" w:pos="19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risks, costs and benefits to us;</w:t>
      </w:r>
    </w:p>
    <w:p>
      <w:pPr>
        <w:spacing w:after="0" w:line="65" w:lineRule="exact"/>
        <w:rPr>
          <w:rFonts w:ascii="Arial" w:cs="Arial" w:eastAsia="Arial" w:hAnsi="Arial"/>
          <w:sz w:val="12"/>
          <w:szCs w:val="12"/>
          <w:color w:val="auto"/>
        </w:rPr>
      </w:pPr>
    </w:p>
    <w:p>
      <w:pPr>
        <w:ind w:left="1980" w:right="1899" w:hanging="157"/>
        <w:spacing w:after="0" w:line="308" w:lineRule="auto"/>
        <w:tabs>
          <w:tab w:leader="none" w:pos="19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impact on a director’s independence in the event the related person is a director, immediate family member of a director or an entity with which a director is affiliated;</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terms of the transaction;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availability of other sources for comparable services or products;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terms available to or from, as the case may be, unrelated third parties.</w:t>
      </w:r>
    </w:p>
    <w:p>
      <w:pPr>
        <w:spacing w:after="0" w:line="123" w:lineRule="exact"/>
        <w:rPr>
          <w:sz w:val="20"/>
          <w:szCs w:val="20"/>
          <w:color w:val="auto"/>
        </w:rPr>
      </w:pPr>
    </w:p>
    <w:p>
      <w:pPr>
        <w:ind w:left="1560" w:right="1579"/>
        <w:spacing w:after="0" w:line="308" w:lineRule="auto"/>
        <w:rPr>
          <w:sz w:val="20"/>
          <w:szCs w:val="20"/>
          <w:color w:val="auto"/>
        </w:rPr>
      </w:pPr>
      <w:r>
        <w:rPr>
          <w:rFonts w:ascii="Arial" w:cs="Arial" w:eastAsia="Arial" w:hAnsi="Arial"/>
          <w:sz w:val="12"/>
          <w:szCs w:val="12"/>
          <w:color w:val="auto"/>
        </w:rPr>
        <w:t>In the event a director has an interest in the proposed transaction, the director must recuse himself or herself from the deliberations and approval.</w:t>
      </w:r>
    </w:p>
    <w:p>
      <w:pPr>
        <w:spacing w:after="0" w:line="10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Directed Share Program</w:t>
      </w:r>
    </w:p>
    <w:p>
      <w:pPr>
        <w:spacing w:after="0" w:line="75"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At our request, the underwriters have reserved up to 5% of the ADSs offered by this prospectus, excluding the additional ADSs that the underwriters have a 30-day option to purchase, for sale, at the initial public offering price, to certain of our directors, officers, employees, and other persons related to the company. If purchased by our directors and officers, these ADSs will be subject to a 180-day lock-up restriction. The number of ADSs available for sale to the general public will be reduced to the extent these individuals purchase such reserved shares. Any reserved ADSs that are not so purchased will be offered by the underwriters to the general public on the same basis as the other shares offered by this prospectus. See the section titled “Underwriting—Directed​ Share Program”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3" w:name="page204"/>
    <w:bookmarkEnd w:id="203"/>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PRINCIPAL SHAREHOLDERS</w:t>
      </w:r>
    </w:p>
    <w:p>
      <w:pPr>
        <w:spacing w:after="0" w:line="253" w:lineRule="exact"/>
        <w:rPr>
          <w:sz w:val="20"/>
          <w:szCs w:val="20"/>
          <w:color w:val="auto"/>
        </w:rPr>
      </w:pPr>
    </w:p>
    <w:p>
      <w:pPr>
        <w:ind w:left="1560" w:right="1959"/>
        <w:spacing w:after="0" w:line="308" w:lineRule="auto"/>
        <w:rPr>
          <w:sz w:val="20"/>
          <w:szCs w:val="20"/>
          <w:color w:val="auto"/>
        </w:rPr>
      </w:pPr>
      <w:r>
        <w:rPr>
          <w:rFonts w:ascii="Arial" w:cs="Arial" w:eastAsia="Arial" w:hAnsi="Arial"/>
          <w:sz w:val="12"/>
          <w:szCs w:val="12"/>
          <w:color w:val="auto"/>
        </w:rPr>
        <w:t>The following table sets forth, as of December 31, 2022, information regarding beneficial ownership of ordinary shares by:</w:t>
      </w:r>
    </w:p>
    <w:p>
      <w:pPr>
        <w:spacing w:after="0" w:line="33" w:lineRule="exact"/>
        <w:rPr>
          <w:sz w:val="20"/>
          <w:szCs w:val="20"/>
          <w:color w:val="auto"/>
        </w:rPr>
      </w:pPr>
    </w:p>
    <w:p>
      <w:pPr>
        <w:ind w:left="1980" w:right="1819" w:hanging="157"/>
        <w:spacing w:after="0" w:line="308" w:lineRule="auto"/>
        <w:tabs>
          <w:tab w:leader="none" w:pos="19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each person, or group of affiliated persons, known by us to beneficially own more than 5% of our issued share capital;</w:t>
      </w:r>
    </w:p>
    <w:p>
      <w:pPr>
        <w:spacing w:after="0" w:line="22" w:lineRule="exact"/>
        <w:rPr>
          <w:rFonts w:ascii="Arial" w:cs="Arial" w:eastAsia="Arial" w:hAnsi="Arial"/>
          <w:sz w:val="12"/>
          <w:szCs w:val="12"/>
          <w:color w:val="auto"/>
        </w:rPr>
      </w:pPr>
    </w:p>
    <w:p>
      <w:pPr>
        <w:ind w:left="1980" w:hanging="157"/>
        <w:spacing w:after="0"/>
        <w:tabs>
          <w:tab w:leader="none" w:pos="19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each of our named executive officers;</w:t>
      </w:r>
    </w:p>
    <w:p>
      <w:pPr>
        <w:spacing w:after="0" w:line="84" w:lineRule="exact"/>
        <w:rPr>
          <w:rFonts w:ascii="Arial" w:cs="Arial" w:eastAsia="Arial" w:hAnsi="Arial"/>
          <w:sz w:val="12"/>
          <w:szCs w:val="12"/>
          <w:color w:val="auto"/>
        </w:rPr>
      </w:pPr>
    </w:p>
    <w:p>
      <w:pPr>
        <w:ind w:left="1980" w:hanging="157"/>
        <w:spacing w:after="0"/>
        <w:tabs>
          <w:tab w:leader="none" w:pos="19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each of our directors; and</w:t>
      </w:r>
    </w:p>
    <w:p>
      <w:pPr>
        <w:spacing w:after="0" w:line="84" w:lineRule="exact"/>
        <w:rPr>
          <w:rFonts w:ascii="Arial" w:cs="Arial" w:eastAsia="Arial" w:hAnsi="Arial"/>
          <w:sz w:val="12"/>
          <w:szCs w:val="12"/>
          <w:color w:val="auto"/>
        </w:rPr>
      </w:pPr>
    </w:p>
    <w:p>
      <w:pPr>
        <w:ind w:left="1980" w:hanging="157"/>
        <w:spacing w:after="0"/>
        <w:tabs>
          <w:tab w:leader="none" w:pos="19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all of our current executive officers and directors as a group.</w:t>
      </w:r>
    </w:p>
    <w:p>
      <w:pPr>
        <w:spacing w:after="0" w:line="113" w:lineRule="exact"/>
        <w:rPr>
          <w:sz w:val="20"/>
          <w:szCs w:val="20"/>
          <w:color w:val="auto"/>
        </w:rPr>
      </w:pPr>
    </w:p>
    <w:p>
      <w:pPr>
        <w:ind w:left="1560" w:right="1659"/>
        <w:spacing w:after="0" w:line="283" w:lineRule="auto"/>
        <w:rPr>
          <w:sz w:val="20"/>
          <w:szCs w:val="20"/>
          <w:color w:val="auto"/>
        </w:rPr>
      </w:pPr>
      <w:r>
        <w:rPr>
          <w:rFonts w:ascii="Arial" w:cs="Arial" w:eastAsia="Arial" w:hAnsi="Arial"/>
          <w:sz w:val="12"/>
          <w:szCs w:val="12"/>
          <w:color w:val="auto"/>
        </w:rPr>
        <w:t>The percentage ownership information under the column titled “Before Offering” is based on 77,544,741 ordinary shares outstanding as of December 31, 2022 assuming the conversion of all outstanding preferred shares into an aggregate of 67,018,087 ordinary shares in connection with the closing of this offering.</w:t>
      </w:r>
    </w:p>
    <w:p>
      <w:pPr>
        <w:spacing w:after="0" w:line="1" w:lineRule="exact"/>
        <w:rPr>
          <w:sz w:val="20"/>
          <w:szCs w:val="20"/>
          <w:color w:val="auto"/>
        </w:rPr>
      </w:pPr>
    </w:p>
    <w:p>
      <w:pPr>
        <w:ind w:left="1560" w:right="1659"/>
        <w:spacing w:after="0" w:line="289" w:lineRule="auto"/>
        <w:rPr>
          <w:sz w:val="20"/>
          <w:szCs w:val="20"/>
          <w:color w:val="auto"/>
        </w:rPr>
      </w:pPr>
      <w:r>
        <w:rPr>
          <w:rFonts w:ascii="Arial" w:cs="Arial" w:eastAsia="Arial" w:hAnsi="Arial"/>
          <w:sz w:val="12"/>
          <w:szCs w:val="12"/>
          <w:color w:val="auto"/>
        </w:rPr>
        <w:t>The percentage ownership information under the column titled “After Offering” is based on the sale of 32,220,000 ordinary shares represented by ADSs in this offering. The percentage ownership information assumes no purchases of any ADSs pursuant to the directed share program described in the section titled “Underwriting—Directed Share Program” or otherwise by the beneficial owners identified in the table below.</w:t>
      </w:r>
    </w:p>
    <w:p>
      <w:pPr>
        <w:spacing w:after="0" w:line="83" w:lineRule="exact"/>
        <w:rPr>
          <w:sz w:val="20"/>
          <w:szCs w:val="20"/>
          <w:color w:val="auto"/>
        </w:rPr>
      </w:pPr>
    </w:p>
    <w:p>
      <w:pPr>
        <w:ind w:left="1560" w:right="1579"/>
        <w:spacing w:after="0" w:line="279" w:lineRule="auto"/>
        <w:rPr>
          <w:sz w:val="20"/>
          <w:szCs w:val="20"/>
          <w:color w:val="auto"/>
        </w:rPr>
      </w:pPr>
      <w:r>
        <w:rPr>
          <w:rFonts w:ascii="Arial" w:cs="Arial" w:eastAsia="Arial" w:hAnsi="Arial"/>
          <w:sz w:val="12"/>
          <w:szCs w:val="12"/>
          <w:color w:val="auto"/>
        </w:rPr>
        <w:t>Beneficial ownership is determined according to the rules of the SEC and generally means that a person has beneficial ownership of a security if he, she or it possesses sole or shared voting or investment power of that security. In addition, the rules include ordinary shares issuable upon the exercise of options that are currently exercisable or exercisable within 60 days of December 31, 2022. These shares are deemed to be outstanding and beneficially owned by the person holding those options for the purpose of computing</w:t>
      </w:r>
    </w:p>
    <w:p>
      <w:pPr>
        <w:ind w:left="1560" w:right="1739"/>
        <w:spacing w:after="0" w:line="287" w:lineRule="auto"/>
        <w:rPr>
          <w:sz w:val="20"/>
          <w:szCs w:val="20"/>
          <w:color w:val="auto"/>
        </w:rPr>
      </w:pPr>
      <w:r>
        <w:rPr>
          <w:rFonts w:ascii="Arial" w:cs="Arial" w:eastAsia="Arial" w:hAnsi="Arial"/>
          <w:sz w:val="12"/>
          <w:szCs w:val="12"/>
          <w:color w:val="auto"/>
        </w:rPr>
        <w:t>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84" w:lineRule="exact"/>
        <w:rPr>
          <w:sz w:val="20"/>
          <w:szCs w:val="20"/>
          <w:color w:val="auto"/>
        </w:rPr>
      </w:pPr>
    </w:p>
    <w:p>
      <w:pPr>
        <w:ind w:left="1560" w:right="1579"/>
        <w:spacing w:after="0" w:line="308" w:lineRule="auto"/>
        <w:rPr>
          <w:sz w:val="20"/>
          <w:szCs w:val="20"/>
          <w:color w:val="auto"/>
        </w:rPr>
      </w:pPr>
      <w:r>
        <w:rPr>
          <w:rFonts w:ascii="Arial" w:cs="Arial" w:eastAsia="Arial" w:hAnsi="Arial"/>
          <w:sz w:val="12"/>
          <w:szCs w:val="12"/>
          <w:color w:val="auto"/>
        </w:rPr>
        <w:t>Unless otherwise noted below, the address for each beneficial owner listed in the table below is c/o Structure Therapeutics Inc., 611 Gateway Blvd., Suite 223, 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4" w:name="page205"/>
    <w:bookmarkEnd w:id="204"/>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383540</wp:posOffset>
            </wp:positionV>
            <wp:extent cx="3733165"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0"/>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11"/>
                <w:szCs w:val="11"/>
                <w:color w:val="auto"/>
              </w:rPr>
            </w:pPr>
          </w:p>
        </w:tc>
        <w:tc>
          <w:tcPr>
            <w:tcW w:w="1500" w:type="dxa"/>
            <w:vAlign w:val="bottom"/>
            <w:gridSpan w:val="8"/>
          </w:tcPr>
          <w:p>
            <w:pPr>
              <w:jc w:val="right"/>
              <w:ind w:right="28"/>
              <w:spacing w:after="0"/>
              <w:rPr>
                <w:sz w:val="20"/>
                <w:szCs w:val="20"/>
                <w:color w:val="auto"/>
              </w:rPr>
            </w:pPr>
            <w:r>
              <w:rPr>
                <w:rFonts w:ascii="Arial" w:cs="Arial" w:eastAsia="Arial" w:hAnsi="Arial"/>
                <w:sz w:val="10"/>
                <w:szCs w:val="10"/>
                <w:b w:val="1"/>
                <w:bCs w:val="1"/>
                <w:color w:val="auto"/>
              </w:rPr>
              <w:t>PERCENTAGE OF SHARES</w:t>
            </w: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360" w:type="dxa"/>
            <w:vAlign w:val="bottom"/>
            <w:gridSpan w:val="6"/>
          </w:tcPr>
          <w:p>
            <w:pPr>
              <w:jc w:val="right"/>
              <w:spacing w:after="0"/>
              <w:rPr>
                <w:sz w:val="20"/>
                <w:szCs w:val="20"/>
                <w:color w:val="auto"/>
              </w:rPr>
            </w:pPr>
            <w:r>
              <w:rPr>
                <w:rFonts w:ascii="Arial" w:cs="Arial" w:eastAsia="Arial" w:hAnsi="Arial"/>
                <w:sz w:val="10"/>
                <w:szCs w:val="10"/>
                <w:b w:val="1"/>
                <w:bCs w:val="1"/>
                <w:color w:val="auto"/>
              </w:rPr>
              <w:t>BENEFICIALLY OWNED</w:t>
            </w:r>
          </w:p>
        </w:tc>
        <w:tc>
          <w:tcPr>
            <w:tcW w:w="10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8"/>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rPr>
              <w:t>BENEFICIALLY</w:t>
            </w:r>
          </w:p>
        </w:tc>
        <w:tc>
          <w:tcPr>
            <w:tcW w:w="10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0"/>
                <w:szCs w:val="10"/>
                <w:b w:val="1"/>
                <w:bCs w:val="1"/>
                <w:color w:val="auto"/>
              </w:rPr>
              <w:t>BEFORE</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AFTER</w:t>
            </w: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20"/>
                <w:szCs w:val="20"/>
                <w:color w:val="auto"/>
              </w:rPr>
            </w:pPr>
            <w:r>
              <w:rPr>
                <w:rFonts w:ascii="Arial" w:cs="Arial" w:eastAsia="Arial" w:hAnsi="Arial"/>
                <w:sz w:val="10"/>
                <w:szCs w:val="10"/>
                <w:b w:val="1"/>
                <w:bCs w:val="1"/>
                <w:color w:val="auto"/>
              </w:rPr>
              <w:t>NAME OF BENEFICIAL OWNER</w:t>
            </w:r>
          </w:p>
        </w:tc>
        <w:tc>
          <w:tcPr>
            <w:tcW w:w="160" w:type="dxa"/>
            <w:vAlign w:val="bottom"/>
            <w:gridSpan w:val="2"/>
          </w:tcPr>
          <w:p>
            <w:pPr>
              <w:jc w:val="right"/>
              <w:spacing w:after="0"/>
              <w:rPr>
                <w:sz w:val="20"/>
                <w:szCs w:val="20"/>
                <w:color w:val="auto"/>
              </w:rPr>
            </w:pPr>
            <w:r>
              <w:rPr>
                <w:rFonts w:ascii="Arial" w:cs="Arial" w:eastAsia="Arial" w:hAnsi="Arial"/>
                <w:sz w:val="10"/>
                <w:szCs w:val="10"/>
                <w:b w:val="1"/>
                <w:bCs w:val="1"/>
                <w:color w:val="auto"/>
              </w:rPr>
              <w:t>​ ​</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OWNED</w:t>
            </w:r>
          </w:p>
        </w:tc>
        <w:tc>
          <w:tcPr>
            <w:tcW w:w="720" w:type="dxa"/>
            <w:vAlign w:val="bottom"/>
            <w:gridSpan w:val="3"/>
          </w:tcPr>
          <w:p>
            <w:pPr>
              <w:jc w:val="right"/>
              <w:spacing w:after="0"/>
              <w:rPr>
                <w:sz w:val="20"/>
                <w:szCs w:val="20"/>
                <w:color w:val="auto"/>
              </w:rPr>
            </w:pPr>
            <w:r>
              <w:rPr>
                <w:rFonts w:ascii="Arial" w:cs="Arial" w:eastAsia="Arial" w:hAnsi="Arial"/>
                <w:sz w:val="10"/>
                <w:szCs w:val="10"/>
                <w:b w:val="1"/>
                <w:bCs w:val="1"/>
                <w:color w:val="auto"/>
              </w:rPr>
              <w:t>​ ​ OFFERING</w:t>
            </w:r>
          </w:p>
        </w:tc>
        <w:tc>
          <w:tcPr>
            <w:tcW w:w="20" w:type="dxa"/>
            <w:vAlign w:val="bottom"/>
          </w:tcPr>
          <w:p>
            <w:pPr>
              <w:spacing w:after="0"/>
              <w:rPr>
                <w:sz w:val="12"/>
                <w:szCs w:val="12"/>
                <w:color w:val="auto"/>
              </w:rPr>
            </w:pPr>
          </w:p>
        </w:tc>
        <w:tc>
          <w:tcPr>
            <w:tcW w:w="860" w:type="dxa"/>
            <w:vAlign w:val="bottom"/>
            <w:gridSpan w:val="5"/>
          </w:tcPr>
          <w:p>
            <w:pPr>
              <w:jc w:val="right"/>
              <w:spacing w:after="0"/>
              <w:rPr>
                <w:sz w:val="20"/>
                <w:szCs w:val="20"/>
                <w:color w:val="auto"/>
              </w:rPr>
            </w:pPr>
            <w:r>
              <w:rPr>
                <w:rFonts w:ascii="Arial" w:cs="Arial" w:eastAsia="Arial" w:hAnsi="Arial"/>
                <w:sz w:val="10"/>
                <w:szCs w:val="10"/>
                <w:b w:val="1"/>
                <w:bCs w:val="1"/>
                <w:color w:val="auto"/>
              </w:rPr>
              <w:t>​ ​ OFFERING ​</w:t>
            </w: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80" w:type="dxa"/>
            <w:vAlign w:val="bottom"/>
          </w:tcPr>
          <w:p>
            <w:pPr>
              <w:spacing w:after="0" w:line="117" w:lineRule="exact"/>
              <w:rPr>
                <w:sz w:val="20"/>
                <w:szCs w:val="20"/>
                <w:color w:val="auto"/>
              </w:rPr>
            </w:pPr>
            <w:r>
              <w:rPr>
                <w:rFonts w:ascii="Arial" w:cs="Arial" w:eastAsia="Arial" w:hAnsi="Arial"/>
                <w:sz w:val="12"/>
                <w:szCs w:val="12"/>
                <w:b w:val="1"/>
                <w:bCs w:val="1"/>
                <w:color w:val="auto"/>
              </w:rPr>
              <w:t>Greater than 5% Shareholders:</w:t>
            </w:r>
          </w:p>
        </w:tc>
        <w:tc>
          <w:tcPr>
            <w:tcW w:w="16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w:t>
            </w:r>
          </w:p>
        </w:tc>
        <w:tc>
          <w:tcPr>
            <w:tcW w:w="7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spacing w:after="0" w:line="117" w:lineRule="exact"/>
              <w:rPr>
                <w:sz w:val="20"/>
                <w:szCs w:val="20"/>
                <w:color w:val="auto"/>
              </w:rPr>
            </w:pPr>
            <w:r>
              <w:rPr>
                <w:rFonts w:ascii="Arial" w:cs="Arial" w:eastAsia="Arial" w:hAnsi="Arial"/>
                <w:sz w:val="12"/>
                <w:szCs w:val="12"/>
                <w:b w:val="1"/>
                <w:bCs w:val="1"/>
                <w:color w:val="auto"/>
              </w:rPr>
              <w:t>​ ​ ​ ​</w:t>
            </w:r>
          </w:p>
        </w:tc>
        <w:tc>
          <w:tcPr>
            <w:tcW w:w="12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0"/>
                <w:szCs w:val="10"/>
                <w:color w:val="auto"/>
              </w:rPr>
            </w:pPr>
          </w:p>
        </w:tc>
        <w:tc>
          <w:tcPr>
            <w:tcW w:w="14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 ​​</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20"/>
                <w:szCs w:val="20"/>
                <w:color w:val="auto"/>
              </w:rPr>
            </w:pPr>
            <w:r>
              <w:rPr>
                <w:rFonts w:ascii="Arial" w:cs="Arial" w:eastAsia="Arial" w:hAnsi="Arial"/>
                <w:sz w:val="12"/>
                <w:szCs w:val="12"/>
                <w:color w:val="auto"/>
              </w:rPr>
              <w:t>Entities affiliated with ERVC Healthcare IV, L.P.</w:t>
            </w:r>
            <w:r>
              <w:rPr>
                <w:rFonts w:ascii="Arial" w:cs="Arial" w:eastAsia="Arial" w:hAnsi="Arial"/>
                <w:sz w:val="15"/>
                <w:szCs w:val="15"/>
                <w:color w:val="auto"/>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6,473,761​​​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8.35%​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5.90%​​</w:t>
            </w:r>
          </w:p>
        </w:tc>
        <w:tc>
          <w:tcPr>
            <w:tcW w:w="0" w:type="dxa"/>
            <w:vAlign w:val="bottom"/>
          </w:tcPr>
          <w:p>
            <w:pPr>
              <w:spacing w:after="0"/>
              <w:rPr>
                <w:sz w:val="1"/>
                <w:szCs w:val="1"/>
                <w:color w:val="auto"/>
              </w:rPr>
            </w:pPr>
          </w:p>
        </w:tc>
      </w:tr>
      <w:tr>
        <w:trPr>
          <w:trHeight w:val="146"/>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F-Prime Capital Partners Life Sciences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Fund VI LP</w:t>
            </w:r>
            <w:r>
              <w:rPr>
                <w:rFonts w:ascii="Arial" w:cs="Arial" w:eastAsia="Arial" w:hAnsi="Arial"/>
                <w:sz w:val="15"/>
                <w:szCs w:val="15"/>
                <w:color w:val="auto"/>
                <w:vertAlign w:val="superscript"/>
              </w:rPr>
              <w:t>(2)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5,816,554​​​</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7.50%​ ​ ​</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Entities affiliated with Qiming</w:t>
            </w:r>
            <w:r>
              <w:rPr>
                <w:rFonts w:ascii="Arial" w:cs="Arial" w:eastAsia="Arial" w:hAnsi="Arial"/>
                <w:sz w:val="15"/>
                <w:szCs w:val="15"/>
                <w:color w:val="auto"/>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4,941,022​​​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6.37%​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4.50%​​</w:t>
            </w:r>
          </w:p>
        </w:tc>
        <w:tc>
          <w:tcPr>
            <w:tcW w:w="0" w:type="dxa"/>
            <w:vAlign w:val="bottom"/>
          </w:tcPr>
          <w:p>
            <w:pPr>
              <w:spacing w:after="0"/>
              <w:rPr>
                <w:sz w:val="1"/>
                <w:szCs w:val="1"/>
                <w:color w:val="auto"/>
              </w:rPr>
            </w:pPr>
          </w:p>
        </w:tc>
      </w:tr>
      <w:tr>
        <w:trPr>
          <w:trHeight w:val="164"/>
        </w:trPr>
        <w:tc>
          <w:tcPr>
            <w:tcW w:w="33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Entities affiliated with XX-I SHT Holdings Limited</w:t>
            </w:r>
            <w:r>
              <w:rPr>
                <w:rFonts w:ascii="Arial" w:cs="Arial" w:eastAsia="Arial" w:hAnsi="Arial"/>
                <w:sz w:val="15"/>
                <w:szCs w:val="15"/>
                <w:color w:val="auto"/>
                <w:vertAlign w:val="superscript"/>
              </w:rPr>
              <w:t>(4)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6,250,674​​​</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8.06%​ ​ ​</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Entities affiliated with Biotechnology Value Fund</w:t>
            </w:r>
            <w:r>
              <w:rPr>
                <w:rFonts w:ascii="Arial" w:cs="Arial" w:eastAsia="Arial" w:hAnsi="Arial"/>
                <w:sz w:val="15"/>
                <w:szCs w:val="15"/>
                <w:color w:val="auto"/>
                <w:vertAlign w:val="superscript"/>
              </w:rPr>
              <w:t>(5)</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7,410,518​​​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9.56%​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6.75%​​</w:t>
            </w:r>
          </w:p>
        </w:tc>
        <w:tc>
          <w:tcPr>
            <w:tcW w:w="0" w:type="dxa"/>
            <w:vAlign w:val="bottom"/>
          </w:tcPr>
          <w:p>
            <w:pPr>
              <w:spacing w:after="0"/>
              <w:rPr>
                <w:sz w:val="1"/>
                <w:szCs w:val="1"/>
                <w:color w:val="auto"/>
              </w:rPr>
            </w:pPr>
          </w:p>
        </w:tc>
      </w:tr>
      <w:tr>
        <w:trPr>
          <w:trHeight w:val="164"/>
        </w:trPr>
        <w:tc>
          <w:tcPr>
            <w:tcW w:w="33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Entities affiliated with Sequoia Capital China</w:t>
            </w:r>
            <w:r>
              <w:rPr>
                <w:rFonts w:ascii="Arial" w:cs="Arial" w:eastAsia="Arial" w:hAnsi="Arial"/>
                <w:sz w:val="15"/>
                <w:szCs w:val="15"/>
                <w:color w:val="auto"/>
                <w:vertAlign w:val="superscript"/>
              </w:rPr>
              <w:t>(6)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7,989,196​​​</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10.30%​ ​ ​</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Deep Track Biotechnology Master Fund, Ltd.</w:t>
            </w:r>
            <w:r>
              <w:rPr>
                <w:rFonts w:ascii="Arial" w:cs="Arial" w:eastAsia="Arial" w:hAnsi="Arial"/>
                <w:sz w:val="15"/>
                <w:szCs w:val="15"/>
                <w:color w:val="auto"/>
                <w:vertAlign w:val="superscript"/>
              </w:rPr>
              <w:t>(7)</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4,940,345​​​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6.37%​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4.50%​​</w:t>
            </w:r>
          </w:p>
        </w:tc>
        <w:tc>
          <w:tcPr>
            <w:tcW w:w="0" w:type="dxa"/>
            <w:vAlign w:val="bottom"/>
          </w:tcPr>
          <w:p>
            <w:pPr>
              <w:spacing w:after="0"/>
              <w:rPr>
                <w:sz w:val="1"/>
                <w:szCs w:val="1"/>
                <w:color w:val="auto"/>
              </w:rPr>
            </w:pPr>
          </w:p>
        </w:tc>
      </w:tr>
      <w:tr>
        <w:trPr>
          <w:trHeight w:val="137"/>
        </w:trPr>
        <w:tc>
          <w:tcPr>
            <w:tcW w:w="3380" w:type="dxa"/>
            <w:vAlign w:val="bottom"/>
          </w:tcPr>
          <w:p>
            <w:pPr>
              <w:spacing w:after="0" w:line="137" w:lineRule="exact"/>
              <w:rPr>
                <w:sz w:val="20"/>
                <w:szCs w:val="20"/>
                <w:color w:val="auto"/>
              </w:rPr>
            </w:pPr>
            <w:r>
              <w:rPr>
                <w:rFonts w:ascii="Arial" w:cs="Arial" w:eastAsia="Arial" w:hAnsi="Arial"/>
                <w:sz w:val="12"/>
                <w:szCs w:val="12"/>
                <w:b w:val="1"/>
                <w:bCs w:val="1"/>
                <w:color w:val="auto"/>
              </w:rPr>
              <w:t>Named Executive Officers and Directors:</w:t>
            </w:r>
          </w:p>
        </w:tc>
        <w:tc>
          <w:tcPr>
            <w:tcW w:w="16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780" w:type="dxa"/>
            <w:vAlign w:val="bottom"/>
          </w:tcPr>
          <w:p>
            <w:pPr>
              <w:spacing w:after="0"/>
              <w:rPr>
                <w:sz w:val="11"/>
                <w:szCs w:val="11"/>
                <w:color w:val="auto"/>
              </w:rPr>
            </w:pPr>
          </w:p>
        </w:tc>
        <w:tc>
          <w:tcPr>
            <w:tcW w:w="1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1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620" w:type="dxa"/>
            <w:vAlign w:val="bottom"/>
            <w:gridSpan w:val="3"/>
          </w:tcPr>
          <w:p>
            <w:pPr>
              <w:jc w:val="right"/>
              <w:spacing w:after="0" w:line="137" w:lineRule="exact"/>
              <w:rPr>
                <w:sz w:val="20"/>
                <w:szCs w:val="20"/>
                <w:color w:val="auto"/>
              </w:rPr>
            </w:pPr>
            <w:r>
              <w:rPr>
                <w:rFonts w:ascii="Arial" w:cs="Arial" w:eastAsia="Arial" w:hAnsi="Arial"/>
                <w:sz w:val="12"/>
                <w:szCs w:val="12"/>
                <w:b w:val="1"/>
                <w:bCs w:val="1"/>
                <w:color w:val="auto"/>
              </w:rPr>
              <w:t>​ ​ ​ ​</w:t>
            </w:r>
          </w:p>
        </w:tc>
        <w:tc>
          <w:tcPr>
            <w:tcW w:w="1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1"/>
                <w:szCs w:val="11"/>
                <w:color w:val="auto"/>
              </w:rPr>
            </w:pPr>
          </w:p>
        </w:tc>
        <w:tc>
          <w:tcPr>
            <w:tcW w:w="14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 ​​</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20"/>
                <w:szCs w:val="20"/>
                <w:color w:val="auto"/>
              </w:rPr>
            </w:pPr>
            <w:r>
              <w:rPr>
                <w:rFonts w:ascii="Arial" w:cs="Arial" w:eastAsia="Arial" w:hAnsi="Arial"/>
                <w:sz w:val="12"/>
                <w:szCs w:val="12"/>
                <w:color w:val="auto"/>
              </w:rPr>
              <w:t>Raymond Stevens, Ph.D.</w:t>
            </w:r>
            <w:r>
              <w:rPr>
                <w:rFonts w:ascii="Arial" w:cs="Arial" w:eastAsia="Arial" w:hAnsi="Arial"/>
                <w:sz w:val="15"/>
                <w:szCs w:val="15"/>
                <w:color w:val="auto"/>
                <w:vertAlign w:val="superscript"/>
              </w:rPr>
              <w:t>(8)</w:t>
            </w:r>
            <w:r>
              <w:rPr>
                <w:rFonts w:ascii="Arial" w:cs="Arial" w:eastAsia="Arial" w:hAnsi="Arial"/>
                <w:sz w:val="12"/>
                <w:szCs w:val="12"/>
                <w:color w:val="auto"/>
              </w:rPr>
              <w:t>.</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2,998,857​​​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3.85%​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64"/>
        </w:trPr>
        <w:tc>
          <w:tcPr>
            <w:tcW w:w="33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Jun Yoon</w:t>
            </w:r>
            <w:r>
              <w:rPr>
                <w:rFonts w:ascii="Arial" w:cs="Arial" w:eastAsia="Arial" w:hAnsi="Arial"/>
                <w:sz w:val="15"/>
                <w:szCs w:val="15"/>
                <w:color w:val="auto"/>
                <w:vertAlign w:val="superscript"/>
              </w:rPr>
              <w:t>(9)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2,753,666​​​</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3.54%​ ​ ​</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line="156" w:lineRule="exact"/>
              <w:rPr>
                <w:sz w:val="20"/>
                <w:szCs w:val="20"/>
                <w:color w:val="auto"/>
              </w:rPr>
            </w:pPr>
            <w:r>
              <w:rPr>
                <w:rFonts w:ascii="Arial" w:cs="Arial" w:eastAsia="Arial" w:hAnsi="Arial"/>
                <w:sz w:val="12"/>
                <w:szCs w:val="12"/>
                <w:color w:val="auto"/>
              </w:rPr>
              <w:t>Mark Bach, M.D., Ph.D.</w:t>
            </w:r>
            <w:r>
              <w:rPr>
                <w:rFonts w:ascii="Arial" w:cs="Arial" w:eastAsia="Arial" w:hAnsi="Arial"/>
                <w:sz w:val="15"/>
                <w:szCs w:val="15"/>
                <w:color w:val="auto"/>
                <w:vertAlign w:val="superscript"/>
              </w:rPr>
              <w:t>(10)</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242,337​​​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Yingli Ma, Ph.D.</w:t>
            </w:r>
            <w:r>
              <w:rPr>
                <w:rFonts w:ascii="Arial" w:cs="Arial" w:eastAsia="Arial" w:hAnsi="Arial"/>
                <w:sz w:val="15"/>
                <w:szCs w:val="15"/>
                <w:color w:val="auto"/>
                <w:vertAlign w:val="superscript"/>
              </w:rPr>
              <w:t>(11)</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175,000​​​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Daniel G. Welch</w:t>
            </w:r>
            <w:r>
              <w:rPr>
                <w:rFonts w:ascii="Arial" w:cs="Arial" w:eastAsia="Arial" w:hAnsi="Arial"/>
                <w:sz w:val="15"/>
                <w:szCs w:val="15"/>
                <w:color w:val="auto"/>
                <w:vertAlign w:val="superscript"/>
              </w:rPr>
              <w:t>(12)</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1,302,630​​​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1.65%​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Sharon Tetlow</w:t>
            </w:r>
            <w:r>
              <w:rPr>
                <w:rFonts w:ascii="Arial" w:cs="Arial" w:eastAsia="Arial" w:hAnsi="Arial"/>
                <w:sz w:val="15"/>
                <w:szCs w:val="15"/>
                <w:color w:val="auto"/>
                <w:vertAlign w:val="superscript"/>
              </w:rPr>
              <w:t>(13)</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80,000​​​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Ramy Farid, Ph.D.</w:t>
            </w:r>
            <w:r>
              <w:rPr>
                <w:rFonts w:ascii="Arial" w:cs="Arial" w:eastAsia="Arial" w:hAnsi="Arial"/>
                <w:sz w:val="15"/>
                <w:szCs w:val="15"/>
                <w:color w:val="auto"/>
                <w:vertAlign w:val="superscript"/>
              </w:rPr>
              <w:t>(14)</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3,260,495​​​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4.20%​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64"/>
        </w:trPr>
        <w:tc>
          <w:tcPr>
            <w:tcW w:w="3380" w:type="dxa"/>
            <w:vAlign w:val="bottom"/>
          </w:tcPr>
          <w:p>
            <w:pPr>
              <w:spacing w:after="0" w:line="164" w:lineRule="exact"/>
              <w:rPr>
                <w:sz w:val="20"/>
                <w:szCs w:val="20"/>
                <w:color w:val="auto"/>
              </w:rPr>
            </w:pPr>
            <w:r>
              <w:rPr>
                <w:rFonts w:ascii="Arial" w:cs="Arial" w:eastAsia="Arial" w:hAnsi="Arial"/>
                <w:sz w:val="12"/>
                <w:szCs w:val="12"/>
                <w:color w:val="auto"/>
              </w:rPr>
              <w:t>Jessica Lifton</w:t>
            </w:r>
            <w:r>
              <w:rPr>
                <w:rFonts w:ascii="Arial" w:cs="Arial" w:eastAsia="Arial" w:hAnsi="Arial"/>
                <w:sz w:val="15"/>
                <w:szCs w:val="15"/>
                <w:color w:val="auto"/>
                <w:vertAlign w:val="superscript"/>
              </w:rPr>
              <w:t>(15)</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20"/>
                <w:szCs w:val="20"/>
                <w:color w:val="auto"/>
              </w:rPr>
            </w:pPr>
            <w:r>
              <w:rPr>
                <w:rFonts w:ascii="Arial" w:cs="Arial" w:eastAsia="Arial" w:hAnsi="Arial"/>
                <w:sz w:val="12"/>
                <w:szCs w:val="12"/>
                <w:color w:val="auto"/>
              </w:rPr>
              <w:t>Chen Yu, M.D.</w:t>
            </w:r>
            <w:r>
              <w:rPr>
                <w:rFonts w:ascii="Arial" w:cs="Arial" w:eastAsia="Arial" w:hAnsi="Arial"/>
                <w:sz w:val="15"/>
                <w:szCs w:val="15"/>
                <w:color w:val="auto"/>
                <w:vertAlign w:val="superscript"/>
              </w:rPr>
              <w:t>(16)</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3,458,242​​​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4.46%​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20"/>
                <w:szCs w:val="20"/>
                <w:color w:val="auto"/>
              </w:rPr>
            </w:pPr>
            <w:r>
              <w:rPr>
                <w:rFonts w:ascii="Arial" w:cs="Arial" w:eastAsia="Arial" w:hAnsi="Arial"/>
                <w:sz w:val="12"/>
                <w:szCs w:val="12"/>
                <w:color w:val="auto"/>
              </w:rPr>
              <w:t>Eric Dobmeier</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20"/>
                <w:szCs w:val="20"/>
                <w:color w:val="auto"/>
              </w:rPr>
            </w:pPr>
            <w:r>
              <w:rPr>
                <w:rFonts w:ascii="Arial" w:cs="Arial" w:eastAsia="Arial" w:hAnsi="Arial"/>
                <w:sz w:val="12"/>
                <w:szCs w:val="12"/>
                <w:color w:val="auto"/>
              </w:rPr>
              <w:t>Joanne Waldstreicher, M.D.</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20"/>
                <w:szCs w:val="20"/>
                <w:color w:val="auto"/>
              </w:rPr>
            </w:pPr>
            <w:r>
              <w:rPr>
                <w:rFonts w:ascii="Arial" w:cs="Arial" w:eastAsia="Arial" w:hAnsi="Arial"/>
                <w:sz w:val="12"/>
                <w:szCs w:val="12"/>
                <w:color w:val="auto"/>
              </w:rPr>
              <w:t>All current executive officers and directors as a group</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20"/>
              <w:spacing w:after="0"/>
              <w:rPr>
                <w:sz w:val="20"/>
                <w:szCs w:val="20"/>
                <w:color w:val="auto"/>
              </w:rPr>
            </w:pPr>
            <w:r>
              <w:rPr>
                <w:rFonts w:ascii="Arial" w:cs="Arial" w:eastAsia="Arial" w:hAnsi="Arial"/>
                <w:sz w:val="12"/>
                <w:szCs w:val="12"/>
                <w:color w:val="auto"/>
              </w:rPr>
              <w:t>(13 persons)</w:t>
            </w:r>
            <w:r>
              <w:rPr>
                <w:rFonts w:ascii="Arial" w:cs="Arial" w:eastAsia="Arial" w:hAnsi="Arial"/>
                <w:sz w:val="15"/>
                <w:szCs w:val="15"/>
                <w:color w:val="auto"/>
                <w:vertAlign w:val="superscript"/>
              </w:rPr>
              <w:t>(17)</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14,892,457</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88"/>
              <w:spacing w:after="0"/>
              <w:rPr>
                <w:sz w:val="20"/>
                <w:szCs w:val="20"/>
                <w:color w:val="auto"/>
              </w:rPr>
            </w:pPr>
            <w:r>
              <w:rPr>
                <w:rFonts w:ascii="Arial" w:cs="Arial" w:eastAsia="Arial" w:hAnsi="Arial"/>
                <w:sz w:val="12"/>
                <w:szCs w:val="12"/>
                <w:color w:val="auto"/>
              </w:rPr>
              <w:t>18.53%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13.23%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-1534160</wp:posOffset>
            </wp:positionV>
            <wp:extent cx="3733165" cy="920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733165"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-1129030</wp:posOffset>
            </wp:positionV>
            <wp:extent cx="3733165" cy="1041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733165" cy="1041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-920115</wp:posOffset>
            </wp:positionV>
            <wp:extent cx="3733165" cy="1041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733165" cy="1041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-711835</wp:posOffset>
            </wp:positionV>
            <wp:extent cx="3733165" cy="1041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733165" cy="1041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-502920</wp:posOffset>
            </wp:positionV>
            <wp:extent cx="3733165" cy="920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733165"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-318770</wp:posOffset>
            </wp:positionV>
            <wp:extent cx="3733165" cy="3067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733165" cy="30670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-2461260</wp:posOffset>
            </wp:positionV>
            <wp:extent cx="3733165" cy="920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733165" cy="92075"/>
                    </a:xfrm>
                    <a:prstGeom prst="rect">
                      <a:avLst/>
                    </a:prstGeom>
                    <a:noFill/>
                  </pic:spPr>
                </pic:pic>
              </a:graphicData>
            </a:graphic>
          </wp:anchor>
        </w:drawing>
      </w:r>
    </w:p>
    <w:p>
      <w:pPr>
        <w:spacing w:after="0" w:line="26" w:lineRule="exact"/>
        <w:rPr>
          <w:sz w:val="20"/>
          <w:szCs w:val="20"/>
          <w:color w:val="auto"/>
        </w:rPr>
      </w:pPr>
    </w:p>
    <w:p>
      <w:pPr>
        <w:ind w:left="1720" w:hanging="155"/>
        <w:spacing w:after="0"/>
        <w:tabs>
          <w:tab w:leader="none" w:pos="1720" w:val="left"/>
        </w:tabs>
        <w:numPr>
          <w:ilvl w:val="0"/>
          <w:numId w:val="108"/>
        </w:numPr>
        <w:rPr>
          <w:rFonts w:ascii="Arial" w:cs="Arial" w:eastAsia="Arial" w:hAnsi="Arial"/>
          <w:sz w:val="9"/>
          <w:szCs w:val="9"/>
          <w:color w:val="auto"/>
        </w:rPr>
      </w:pPr>
      <w:r>
        <w:rPr>
          <w:rFonts w:ascii="Arial" w:cs="Arial" w:eastAsia="Arial" w:hAnsi="Arial"/>
          <w:sz w:val="9"/>
          <w:szCs w:val="9"/>
          <w:color w:val="auto"/>
        </w:rPr>
        <w:t>Represents beneficial ownership of less than 1%.</w:t>
      </w:r>
    </w:p>
    <w:p>
      <w:pPr>
        <w:spacing w:after="0" w:line="71" w:lineRule="exact"/>
        <w:rPr>
          <w:sz w:val="20"/>
          <w:szCs w:val="20"/>
          <w:color w:val="auto"/>
        </w:rPr>
      </w:pPr>
    </w:p>
    <w:p>
      <w:pPr>
        <w:ind w:left="1720" w:right="1579" w:hanging="155"/>
        <w:spacing w:after="0" w:line="237" w:lineRule="auto"/>
        <w:tabs>
          <w:tab w:leader="none" w:pos="1720" w:val="left"/>
        </w:tabs>
        <w:numPr>
          <w:ilvl w:val="0"/>
          <w:numId w:val="109"/>
        </w:numPr>
        <w:rPr>
          <w:rFonts w:ascii="Arial" w:cs="Arial" w:eastAsia="Arial" w:hAnsi="Arial"/>
          <w:sz w:val="14"/>
          <w:szCs w:val="14"/>
          <w:color w:val="auto"/>
          <w:vertAlign w:val="superscript"/>
        </w:rPr>
      </w:pPr>
      <w:r>
        <w:rPr>
          <w:rFonts w:ascii="Arial" w:cs="Arial" w:eastAsia="Arial" w:hAnsi="Arial"/>
          <w:sz w:val="9"/>
          <w:szCs w:val="9"/>
          <w:color w:val="auto"/>
        </w:rPr>
        <w:t>Consists of  (i) 624,239 ordinary shares issuable upon conversion of convertible preferred shares held by ERVC Healthcare IV, L.P.; (ii) 494,035 ordinary shares issuable upon conversion of convertible preferred shares held by ERVC Healthcare V, L.P.; (iii) 89,201 ordinary shares issuable upon conversion of convertible preferred shares held by ERVC Healthcare Advisors IV, L.P. and (iv) 5,266,286 ordinary shares issuable upon conversion of convertible preferred shares held by Eight Roads Investments. The general partner of ERVC Healthcare IV, L.P. is ERVC Healthcare Advisors IV, L.P. The general partner of ERVC Healthcare V, L.P. is ERVC Healthcare Advisors V, L.P. The general partner of ERVC Healthcare Advisors IV, L.P. and ERVC Healthcare Advisors V, L.P. is Eight Roads GP, which is ultimately controlled by Eight Roads Shareholdings Limited. Eight Roads Investments is ultimately controlled by Eight Roads Shareholdings Limited. Allan Pelvang is deemed to be the natural person who controls Eight Roads Shareholdings Limited, being its Senior Manager. The above entities and certain other entities related to the above entities are subject to a voting limitation that prevents these entities from voting any shares in excess of 4.99% (in the aggregate) of our total outstanding voting securities on certain matters. The address of the above entities is Pembroke Hall, 42 Crow Lane, Pembroke, Bermuda HM 19.</w:t>
      </w:r>
    </w:p>
    <w:p>
      <w:pPr>
        <w:spacing w:after="0" w:line="56" w:lineRule="exact"/>
        <w:rPr>
          <w:rFonts w:ascii="Arial" w:cs="Arial" w:eastAsia="Arial" w:hAnsi="Arial"/>
          <w:sz w:val="14"/>
          <w:szCs w:val="14"/>
          <w:color w:val="auto"/>
          <w:vertAlign w:val="superscript"/>
        </w:rPr>
      </w:pPr>
    </w:p>
    <w:p>
      <w:pPr>
        <w:ind w:left="1720" w:right="1579" w:hanging="155"/>
        <w:spacing w:after="0" w:line="238" w:lineRule="auto"/>
        <w:tabs>
          <w:tab w:leader="none" w:pos="1720" w:val="left"/>
        </w:tabs>
        <w:numPr>
          <w:ilvl w:val="0"/>
          <w:numId w:val="109"/>
        </w:numPr>
        <w:rPr>
          <w:rFonts w:ascii="Arial" w:cs="Arial" w:eastAsia="Arial" w:hAnsi="Arial"/>
          <w:sz w:val="14"/>
          <w:szCs w:val="14"/>
          <w:color w:val="auto"/>
          <w:vertAlign w:val="superscript"/>
        </w:rPr>
      </w:pPr>
      <w:r>
        <w:rPr>
          <w:rFonts w:ascii="Arial" w:cs="Arial" w:eastAsia="Arial" w:hAnsi="Arial"/>
          <w:sz w:val="9"/>
          <w:szCs w:val="9"/>
          <w:color w:val="auto"/>
        </w:rPr>
        <w:t>Consists of  (i) 965,115 ordinary shares issuable upon conversion of convertible preferred shares held by F-Prime Capital Partners Life Sciences Fund VI LP; (ii) 2,234,648 ordinary shares issuable upon conversion of convertible preferred shares held by an entity managed by Impresa Management LLC; (iii) 2,534,756 ordinary shares issuable upon conversion of convertible preferred shares held by an entity managed by Impresa Management LLC; and (iv) 82,035 ordinary shares issuable upon conversion of convertible preferred shares held by F-Prime Capital Partners Life Sciences Advisors Fund VI LP. The general partner of F-Prime Capital Partners Life Sciences Fund VI LP is F-Prime Capital Partners Life Sciences Advisors Fund VI LP. F-Prime Capital Partners Life Sciences Advisors Fund VI LP is solely managed by Impresa Management LLC, the managing member of its general partner and its investment manager. Impresa Management LLC is owned, directly or indirectly, by various shareholders and employees of FMR LLC. Impresa Management LLC is managed on a day-to-day basis by its Chief Financial Officer, Matthew Borden, and as such, Mr. Borden may be deemed to have voting and dispositive power with respect to all shares held by the above entities. The individual and each of the entities listed above expressly disclaims beneficial ownership of the securities listed above not directly held by such individual or entity. The above entities and certain other entities related to the above entities are subject to a voting limitation that prevents these entities from voting any shares in excess of 4.99% (in the aggregate) of our total outstanding voting securities on certain matters. The address of the above entities is 245 Summer Street, Boston, MA 02210.</w:t>
      </w:r>
    </w:p>
    <w:p>
      <w:pPr>
        <w:spacing w:after="0" w:line="59" w:lineRule="exact"/>
        <w:rPr>
          <w:rFonts w:ascii="Arial" w:cs="Arial" w:eastAsia="Arial" w:hAnsi="Arial"/>
          <w:sz w:val="14"/>
          <w:szCs w:val="14"/>
          <w:color w:val="auto"/>
          <w:vertAlign w:val="superscript"/>
        </w:rPr>
      </w:pPr>
    </w:p>
    <w:p>
      <w:pPr>
        <w:ind w:left="1720" w:right="1579" w:hanging="155"/>
        <w:spacing w:after="0" w:line="233" w:lineRule="auto"/>
        <w:tabs>
          <w:tab w:leader="none" w:pos="1720" w:val="left"/>
        </w:tabs>
        <w:numPr>
          <w:ilvl w:val="0"/>
          <w:numId w:val="109"/>
        </w:numPr>
        <w:rPr>
          <w:rFonts w:ascii="Arial" w:cs="Arial" w:eastAsia="Arial" w:hAnsi="Arial"/>
          <w:sz w:val="14"/>
          <w:szCs w:val="14"/>
          <w:color w:val="auto"/>
          <w:vertAlign w:val="superscript"/>
        </w:rPr>
      </w:pPr>
      <w:r>
        <w:rPr>
          <w:rFonts w:ascii="Arial" w:cs="Arial" w:eastAsia="Arial" w:hAnsi="Arial"/>
          <w:sz w:val="9"/>
          <w:szCs w:val="9"/>
          <w:color w:val="auto"/>
        </w:rPr>
        <w:t>Consists of  (i) 4,811,551 ordinary shares issuable upon conversion of convertible preferred shares held by Qiming Venture Partners VI, L.P. and (ii) 129,471 ordinary shares issuable upon conversion of convertible preferred shares held by Qiming Managing Directors Fund VI, L.P. The general partner of Qiming Venture Partners VI, L.P. is Qiming GP VI, L.P., a Cayman Islands exempted limited partnership, whose general partner is Qiming Corporate GP VI, Ltd., a Cayman Islands limited company which is also the general partner of Qiming Managing Directors Fund VI, L.P. The voting and investment power of the shares held by Qiming Venture Partners VI, L.P. and Qiming Managing Directors Fund VI, L.P. in the company is exercised by Qiming Corporate GP VI, Ltd., which is beneficially owned by Duane Kuang, Gary Rieschel, Nisa Leung and Robert Headley, who disclaim beneficial ownership of such shares, except to the extent of any pecuniary interest therein. The address for each of the entities is PO Box 309, Ugland House, Grand Cayman, KY1-1104, Cayman Islands.</w:t>
      </w:r>
    </w:p>
    <w:p>
      <w:pPr>
        <w:spacing w:after="0" w:line="49" w:lineRule="exact"/>
        <w:rPr>
          <w:rFonts w:ascii="Arial" w:cs="Arial" w:eastAsia="Arial" w:hAnsi="Arial"/>
          <w:sz w:val="14"/>
          <w:szCs w:val="14"/>
          <w:color w:val="auto"/>
          <w:vertAlign w:val="superscript"/>
        </w:rPr>
      </w:pPr>
    </w:p>
    <w:p>
      <w:pPr>
        <w:ind w:left="1720" w:right="1779" w:hanging="155"/>
        <w:spacing w:after="0" w:line="203" w:lineRule="auto"/>
        <w:tabs>
          <w:tab w:leader="none" w:pos="1720" w:val="left"/>
        </w:tabs>
        <w:numPr>
          <w:ilvl w:val="0"/>
          <w:numId w:val="109"/>
        </w:numPr>
        <w:rPr>
          <w:rFonts w:ascii="Arial" w:cs="Arial" w:eastAsia="Arial" w:hAnsi="Arial"/>
          <w:sz w:val="14"/>
          <w:szCs w:val="14"/>
          <w:color w:val="auto"/>
          <w:vertAlign w:val="superscript"/>
        </w:rPr>
      </w:pPr>
      <w:r>
        <w:rPr>
          <w:rFonts w:ascii="Arial" w:cs="Arial" w:eastAsia="Arial" w:hAnsi="Arial"/>
          <w:sz w:val="9"/>
          <w:szCs w:val="9"/>
          <w:color w:val="auto"/>
        </w:rPr>
        <w:t>Consists of  (i) 5,911,025 ordinary shares issuable upon conversion of convertible preferred shares held by XX-I SHT Holdings Limited and (ii) 339,649 ordinary shares issuable upon conversion of convertible preferred shares held by BSCP Holdings Limited. XX-I SHT Holdings</w:t>
      </w:r>
    </w:p>
    <w:p>
      <w:pPr>
        <w:ind w:left="1720" w:right="1639"/>
        <w:spacing w:after="0" w:line="252" w:lineRule="auto"/>
        <w:rPr>
          <w:sz w:val="20"/>
          <w:szCs w:val="20"/>
          <w:color w:val="auto"/>
        </w:rPr>
      </w:pPr>
      <w:r>
        <w:rPr>
          <w:rFonts w:ascii="Arial" w:cs="Arial" w:eastAsia="Arial" w:hAnsi="Arial"/>
          <w:sz w:val="9"/>
          <w:szCs w:val="9"/>
          <w:color w:val="auto"/>
        </w:rPr>
        <w:t>Limited and BSCP Holdings Limited are incorporated in the Cayman Islands and are wholly owned by Hillhouse Fund IV, L.P. Hillhouse Investment Management, Ltd., or HIM, acts as the sole management company of Hillhouse Fund IV, L.P. HIM is deemed to be the beneficial owner of, and to control the voting power of, the shares held by XX-I SHT Holdings Limited and BSCP Holdings Limited, respectively. Mr. Lei Zhang may be deemed to have controlling power over HIM. Mr. Lei Zhang disclaims beneficial ownership of all of the shares held by XX-I SHT Holdings Limited and BSCP Holdings Limited, except to the extent of his pecuniary interest therein. The address of XX-I SHT Holdings Limited and BSCP Holdings Limited is 89 Nexus Way, Camana Bay, PO Box 31106, Grand Cayman KY1-1205, Cayman Islands.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5" w:name="page206"/>
    <w:bookmarkEnd w:id="20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1720" w:right="1599" w:hanging="155"/>
        <w:spacing w:after="0" w:line="241" w:lineRule="auto"/>
        <w:tabs>
          <w:tab w:leader="none" w:pos="1720" w:val="left"/>
        </w:tabs>
        <w:numPr>
          <w:ilvl w:val="0"/>
          <w:numId w:val="110"/>
        </w:numPr>
        <w:rPr>
          <w:rFonts w:ascii="Arial" w:cs="Arial" w:eastAsia="Arial" w:hAnsi="Arial"/>
          <w:sz w:val="14"/>
          <w:szCs w:val="14"/>
          <w:color w:val="auto"/>
          <w:vertAlign w:val="superscript"/>
        </w:rPr>
      </w:pPr>
      <w:r>
        <w:rPr>
          <w:rFonts w:ascii="Arial" w:cs="Arial" w:eastAsia="Arial" w:hAnsi="Arial"/>
          <w:sz w:val="9"/>
          <w:szCs w:val="9"/>
          <w:color w:val="auto"/>
        </w:rPr>
        <w:t>Consists of  (i) 4,018,253 ordinary shares issuable upon conversion of convertible preferred shares held by Biotechnology Value Fund, L.P., or BVF1, (ii) 2,929,660 ordinary shares issuable upon conversion of convertible preferred shares held by Biotechnology Value Fund II, L.P., or BVF2, and (iii) 462,605 ordinary shares issuable upon conversion of convertible preferred shares held by Biotechnology Value Trading Fund OS, L.P., or Trading Fund OS. BVF I GP LLC, or BVF GP, as the general partner of BVF1, may be deemed to beneficially own the shares beneficially owned by BVF1. BVF II GP LLC, or BVF2 GP, as the general partner of BVF2, may be deemed to beneficially own the shares beneficially owned by BVF2. BVF Partners OS Ltd., or Partners OS, as the general partner of Trading Fund OS, may be deemed to beneficially own the shares beneficially owned by Trading Fund OS. BVF GP Holdings LLC, or BVF GPH, as the sole member of each of BVF GP and BVF2 GP, may be deemed to beneficially own the shares beneficially owned in the aggregate by BVF1 and BVF2. BVF Partners L.P., or BVF Partners, as the investment manager of BVF1, BVF2, Trading Fund OS and the sole member of Partners OS, may be deemed to beneficially own the shares beneficially owned in the aggregate by BVF1, BVF2 and Trading Fund OS. BVF Inc., as the general partner of BVF Partners, may be deemed to beneficially own the shares beneficially owned by BVF Partners. Mark Lampert, as a director and officer of BVF Inc., has voting and disposition power over the shares and may be deemed to beneficially own the shares owned by BVF Inc. Entities affiliated with BVF Partners collectively hold more than 5% of our issued share capital. The business address of BVF1, BVF GP, BVF2, BVF2 GP, BVF GPH, BVF Partners, BVF Inc., Mr. Lampert and Ms. Lifton is 44 Montgomery St., 40th Floor, San Francisco, California 94104. The business address of Trading Fund OS and Partners OS is PO Box 309 Ugland House, Grand Cayman, KY1-1104, Cayman Islands.</w:t>
      </w:r>
    </w:p>
    <w:p>
      <w:pPr>
        <w:spacing w:after="0" w:line="56" w:lineRule="exact"/>
        <w:rPr>
          <w:rFonts w:ascii="Arial" w:cs="Arial" w:eastAsia="Arial" w:hAnsi="Arial"/>
          <w:sz w:val="14"/>
          <w:szCs w:val="14"/>
          <w:color w:val="auto"/>
          <w:vertAlign w:val="superscript"/>
        </w:rPr>
      </w:pPr>
    </w:p>
    <w:p>
      <w:pPr>
        <w:ind w:left="1720" w:right="1579" w:hanging="155"/>
        <w:spacing w:after="0" w:line="233" w:lineRule="auto"/>
        <w:tabs>
          <w:tab w:leader="none" w:pos="1720" w:val="left"/>
        </w:tabs>
        <w:numPr>
          <w:ilvl w:val="0"/>
          <w:numId w:val="110"/>
        </w:numPr>
        <w:rPr>
          <w:rFonts w:ascii="Arial" w:cs="Arial" w:eastAsia="Arial" w:hAnsi="Arial"/>
          <w:sz w:val="14"/>
          <w:szCs w:val="14"/>
          <w:color w:val="auto"/>
          <w:vertAlign w:val="superscript"/>
        </w:rPr>
      </w:pPr>
      <w:r>
        <w:rPr>
          <w:rFonts w:ascii="Arial" w:cs="Arial" w:eastAsia="Arial" w:hAnsi="Arial"/>
          <w:sz w:val="9"/>
          <w:szCs w:val="9"/>
          <w:color w:val="auto"/>
        </w:rPr>
        <w:t>Consists of  (i) 7,649,547 ordinary shares issuable upon conversion of convertible preferred shares held by SCC Venture VII Holdco I, Ltd. and (ii) 339,649 ordinary shares issuable upon conversion of convertible preferred shares held by SCC Seed II Holdco, Ltd. The sole shareholder of SCC Venture VII Holdco I, Ltd. is Sequoia Capital China Venture Fund VII, L.P. The general partner of Sequoia Capital China Venture Fund VII, L.P. is SC China Venture VII Management, L.P., whose general partner is SC China Holding Limited. The sole shareholder of SCC Seed II Holdco, Ltd. is Sequoia Capital China Seed Fund II, L.P. The general partner of Sequoia Capital China Seed Fund II, L.P. is SC China Seed Fund II Management, L.P., whose general partner is SC China Holding Limited. SC China Holding Limited is wholly owned by SNP China Enterprises Limited, which in turn is wholly owned by Mr. Neil Nanpeng Shen. The address for each of SCC Venture VII Holdco I, Ltd. and SCC Seed II Holdco, Ltd. is Maples Corporate Services Limited, PO Box 309, Ugland House, Grand Cayman, KY1- 1104, Cayman Islands.</w:t>
      </w:r>
    </w:p>
    <w:p>
      <w:pPr>
        <w:spacing w:after="0" w:line="58" w:lineRule="exact"/>
        <w:rPr>
          <w:rFonts w:ascii="Arial" w:cs="Arial" w:eastAsia="Arial" w:hAnsi="Arial"/>
          <w:sz w:val="14"/>
          <w:szCs w:val="14"/>
          <w:color w:val="auto"/>
          <w:vertAlign w:val="superscript"/>
        </w:rPr>
      </w:pPr>
    </w:p>
    <w:p>
      <w:pPr>
        <w:ind w:left="1720" w:right="1619" w:hanging="155"/>
        <w:spacing w:after="0" w:line="229" w:lineRule="auto"/>
        <w:tabs>
          <w:tab w:leader="none" w:pos="1720" w:val="left"/>
        </w:tabs>
        <w:numPr>
          <w:ilvl w:val="0"/>
          <w:numId w:val="110"/>
        </w:numPr>
        <w:rPr>
          <w:rFonts w:ascii="Arial" w:cs="Arial" w:eastAsia="Arial" w:hAnsi="Arial"/>
          <w:sz w:val="14"/>
          <w:szCs w:val="14"/>
          <w:color w:val="auto"/>
          <w:vertAlign w:val="superscript"/>
        </w:rPr>
      </w:pPr>
      <w:r>
        <w:rPr>
          <w:rFonts w:ascii="Arial" w:cs="Arial" w:eastAsia="Arial" w:hAnsi="Arial"/>
          <w:sz w:val="9"/>
          <w:szCs w:val="9"/>
          <w:color w:val="auto"/>
        </w:rPr>
        <w:t>Consists of 4,940,345 ordinary shares issuable upon conversion of convertible preferred shares held by Deep Track Biotechnology Master Fund, Ltd., or the Master Fund. Deep Track Capital, LP, or the Investment Manager serves as the investment manager to the Master Fund and may be deemed to beneficially own such shares. Deep Track Capital GP, LLC, or the General Partner, is the General Partner of the Investment Manager. David Kroin is the Chief Investment Officer of the Investment Manager and managing member of the General Partner and may be deemed to beneficially own such shares. The business address of the Master Fund, the Investment Manager, the General Partner and Mr. Kroin is 200 Greenwich Avenue, 3rd Floor, Greenwich, CT 06830.</w:t>
      </w:r>
    </w:p>
    <w:p>
      <w:pPr>
        <w:spacing w:after="0" w:line="58" w:lineRule="exact"/>
        <w:rPr>
          <w:rFonts w:ascii="Arial" w:cs="Arial" w:eastAsia="Arial" w:hAnsi="Arial"/>
          <w:sz w:val="14"/>
          <w:szCs w:val="14"/>
          <w:color w:val="auto"/>
          <w:vertAlign w:val="superscript"/>
        </w:rPr>
      </w:pPr>
    </w:p>
    <w:p>
      <w:pPr>
        <w:ind w:left="1720" w:right="1679" w:hanging="155"/>
        <w:spacing w:after="0" w:line="229" w:lineRule="auto"/>
        <w:tabs>
          <w:tab w:leader="none" w:pos="1720" w:val="left"/>
        </w:tabs>
        <w:numPr>
          <w:ilvl w:val="0"/>
          <w:numId w:val="110"/>
        </w:numPr>
        <w:rPr>
          <w:rFonts w:ascii="Arial" w:cs="Arial" w:eastAsia="Arial" w:hAnsi="Arial"/>
          <w:sz w:val="14"/>
          <w:szCs w:val="14"/>
          <w:color w:val="auto"/>
          <w:vertAlign w:val="superscript"/>
        </w:rPr>
      </w:pPr>
      <w:r>
        <w:rPr>
          <w:rFonts w:ascii="Arial" w:cs="Arial" w:eastAsia="Arial" w:hAnsi="Arial"/>
          <w:sz w:val="9"/>
          <w:szCs w:val="9"/>
          <w:color w:val="auto"/>
        </w:rPr>
        <w:t>Consists of  (i) 1,063,664 ordinary shares held by Raymond Stevens, Ph.D., of which 81,821 ordinary shares will be subject to our right of repurchase as of March 1, 2023; (ii) 1,554,586 ordinary shares held by Raymond Stevens and Vivian Urena-Stevens, as Co-Trustees of the Stevens 2001 Revocable Trust, dated March 28, 2001, or the Stevens Trust; (iii) 100,000 ordinary shares Dr. Stevens has the right to acquire within 60 days of December 31, 2022 pursuant to the early exercise of a share option; and (iv) 280,607 ordinary shares Dr. Stevens has the right to acquire within 60 days of December 31, 2022 pursuant to the exercise of share options. Dr. Stevens shares voting and dispositive power with respect to the shares held by the Stevens Trust.</w:t>
      </w:r>
    </w:p>
    <w:p>
      <w:pPr>
        <w:spacing w:after="0" w:line="58" w:lineRule="exact"/>
        <w:rPr>
          <w:rFonts w:ascii="Arial" w:cs="Arial" w:eastAsia="Arial" w:hAnsi="Arial"/>
          <w:sz w:val="14"/>
          <w:szCs w:val="14"/>
          <w:color w:val="auto"/>
          <w:vertAlign w:val="superscript"/>
        </w:rPr>
      </w:pPr>
    </w:p>
    <w:p>
      <w:pPr>
        <w:ind w:left="1720" w:right="1599" w:hanging="155"/>
        <w:spacing w:after="0" w:line="229" w:lineRule="auto"/>
        <w:tabs>
          <w:tab w:leader="none" w:pos="1720" w:val="left"/>
        </w:tabs>
        <w:numPr>
          <w:ilvl w:val="0"/>
          <w:numId w:val="110"/>
        </w:numPr>
        <w:rPr>
          <w:rFonts w:ascii="Arial" w:cs="Arial" w:eastAsia="Arial" w:hAnsi="Arial"/>
          <w:sz w:val="14"/>
          <w:szCs w:val="14"/>
          <w:color w:val="auto"/>
          <w:vertAlign w:val="superscript"/>
        </w:rPr>
      </w:pPr>
      <w:r>
        <w:rPr>
          <w:rFonts w:ascii="Arial" w:cs="Arial" w:eastAsia="Arial" w:hAnsi="Arial"/>
          <w:sz w:val="9"/>
          <w:szCs w:val="9"/>
          <w:color w:val="auto"/>
        </w:rPr>
        <w:t>Consists of  (i) 1,063,664 ordinary shares held by Jun Yoon, of which 81,821 ordinary shares will be subject to our right of repurchase as of March 1, 2023; (ii) 1,554,586 ordinary shares held by JUN SIK YOON and HAYUNG YANG YOON, Trustees of THE YOON FAMILY TRUST, dated December 11, 2019, or the Yoon Trust; (iii) 100,000 ordinary shares Mr. Yoon has the right to acquire within 60 days of December 31, 2022 pursuant to the early exercise of a share option. Mr. Yoon shares voting and dispositive power with respect to the shares held by the Yoon Trust and (iv) 35,416 ordinary shares Mr. Yoon has the right to acquire within 60 days of December 31, 2022 pursuant to the exercise of share options. Mr. Yoon resigned from the board of directors effective February 2, 2023.</w:t>
      </w:r>
    </w:p>
    <w:p>
      <w:pPr>
        <w:spacing w:after="0" w:line="58" w:lineRule="exact"/>
        <w:rPr>
          <w:rFonts w:ascii="Arial" w:cs="Arial" w:eastAsia="Arial" w:hAnsi="Arial"/>
          <w:sz w:val="14"/>
          <w:szCs w:val="14"/>
          <w:color w:val="auto"/>
          <w:vertAlign w:val="superscript"/>
        </w:rPr>
      </w:pPr>
    </w:p>
    <w:p>
      <w:pPr>
        <w:ind w:left="1720" w:right="1619" w:hanging="155"/>
        <w:spacing w:after="0"/>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Consists of 242,337 ordinary shares Dr. Bach has the right to acquire within 60 days of December 31, 2022 pursuant to the exercise of a share option.</w:t>
      </w:r>
    </w:p>
    <w:p>
      <w:pPr>
        <w:spacing w:after="0" w:line="130" w:lineRule="exact"/>
        <w:rPr>
          <w:rFonts w:ascii="Arial" w:cs="Arial" w:eastAsia="Arial" w:hAnsi="Arial"/>
          <w:sz w:val="13"/>
          <w:szCs w:val="13"/>
          <w:color w:val="auto"/>
          <w:vertAlign w:val="superscript"/>
        </w:rPr>
      </w:pPr>
    </w:p>
    <w:p>
      <w:pPr>
        <w:ind w:left="1720" w:right="1699" w:hanging="155"/>
        <w:spacing w:after="0"/>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Consists of 175,000 ordinary shares Dr. Ma has the right to acquire within 60 days of December 31, 2022 pursuant to the exercise of a share option.</w:t>
      </w:r>
    </w:p>
    <w:p>
      <w:pPr>
        <w:spacing w:after="0" w:line="121" w:lineRule="exact"/>
        <w:rPr>
          <w:rFonts w:ascii="Arial" w:cs="Arial" w:eastAsia="Arial" w:hAnsi="Arial"/>
          <w:sz w:val="13"/>
          <w:szCs w:val="13"/>
          <w:color w:val="auto"/>
          <w:vertAlign w:val="superscript"/>
        </w:rPr>
      </w:pPr>
    </w:p>
    <w:p>
      <w:pPr>
        <w:ind w:left="1720" w:right="1919" w:hanging="155"/>
        <w:spacing w:after="0" w:line="222" w:lineRule="auto"/>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Consists of  (i) 1,179,122 ordinary shares Mr. Welch has the right to acquire within 60 days of December 31, 2022 pursuant to the early exercise of a share option and (ii) 123,508 ordinary shares issuable upon conversion of convertible preferred shares.</w:t>
      </w:r>
    </w:p>
    <w:p>
      <w:pPr>
        <w:spacing w:after="0" w:line="57" w:lineRule="exact"/>
        <w:rPr>
          <w:rFonts w:ascii="Arial" w:cs="Arial" w:eastAsia="Arial" w:hAnsi="Arial"/>
          <w:sz w:val="13"/>
          <w:szCs w:val="13"/>
          <w:color w:val="auto"/>
          <w:vertAlign w:val="superscript"/>
        </w:rPr>
      </w:pPr>
    </w:p>
    <w:p>
      <w:pPr>
        <w:ind w:left="1720" w:right="1619" w:hanging="155"/>
        <w:spacing w:after="0"/>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Consists of 80,000 ordinary shares Ms. Tetlow has the right to acquire within 60 days of December 31, 2022 pursuant to the early exercise of a share option.</w:t>
      </w:r>
    </w:p>
    <w:p>
      <w:pPr>
        <w:spacing w:after="0" w:line="130" w:lineRule="exact"/>
        <w:rPr>
          <w:rFonts w:ascii="Arial" w:cs="Arial" w:eastAsia="Arial" w:hAnsi="Arial"/>
          <w:sz w:val="13"/>
          <w:szCs w:val="13"/>
          <w:color w:val="auto"/>
          <w:vertAlign w:val="superscript"/>
        </w:rPr>
      </w:pPr>
    </w:p>
    <w:p>
      <w:pPr>
        <w:ind w:left="1720" w:right="1679" w:hanging="155"/>
        <w:spacing w:after="0" w:line="246" w:lineRule="auto"/>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Represents (i) 2,618,250 ordinary shares held by Schrödinger, Inc., or Schrödinger, and (ii) 642,245 ordinary share issuable upon convertible preferred shares held by Schrodinger. Ramy Farid Ph.D., a member of our board of directors, is the President, Chief Executive Officer and a member of the board of directors of Schrödinger and may be deemed to share voting and dispositive power over the shares held by Schrödinger. Dr. Farid disclaims beneficial ownership of the shares held by Schrödinger. The address of Schrödinger is 1540 Broadway, 24th Floor, New York, New York 10036.</w:t>
      </w:r>
    </w:p>
    <w:p>
      <w:pPr>
        <w:spacing w:after="0" w:line="131" w:lineRule="exact"/>
        <w:rPr>
          <w:rFonts w:ascii="Arial" w:cs="Arial" w:eastAsia="Arial" w:hAnsi="Arial"/>
          <w:sz w:val="13"/>
          <w:szCs w:val="13"/>
          <w:color w:val="auto"/>
          <w:vertAlign w:val="superscript"/>
        </w:rPr>
      </w:pPr>
    </w:p>
    <w:p>
      <w:pPr>
        <w:ind w:left="1720" w:hanging="155"/>
        <w:spacing w:after="0"/>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Ms. Lifton resigned from the board of directors effective February 2, 2023.</w:t>
      </w:r>
    </w:p>
    <w:p>
      <w:pPr>
        <w:spacing w:after="0" w:line="56" w:lineRule="exact"/>
        <w:rPr>
          <w:rFonts w:ascii="Arial" w:cs="Arial" w:eastAsia="Arial" w:hAnsi="Arial"/>
          <w:sz w:val="13"/>
          <w:szCs w:val="13"/>
          <w:color w:val="auto"/>
          <w:vertAlign w:val="superscript"/>
        </w:rPr>
      </w:pPr>
    </w:p>
    <w:p>
      <w:pPr>
        <w:ind w:left="1720" w:right="1679" w:hanging="155"/>
        <w:spacing w:after="0"/>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Consists of 3,458,242 ordinary shares issuable upon conversion of convertible preferred shares held by TCG Crossover Fund I, L.P., or TCG. Dr. Yu shares voting and dispositive power with respect to the shares held by TCG. Dr. Yu resigned from the board of directors effective February 2, 2023.</w:t>
      </w:r>
    </w:p>
    <w:p>
      <w:pPr>
        <w:spacing w:after="0" w:line="135" w:lineRule="exact"/>
        <w:rPr>
          <w:rFonts w:ascii="Arial" w:cs="Arial" w:eastAsia="Arial" w:hAnsi="Arial"/>
          <w:sz w:val="13"/>
          <w:szCs w:val="13"/>
          <w:color w:val="auto"/>
          <w:vertAlign w:val="superscript"/>
        </w:rPr>
      </w:pPr>
    </w:p>
    <w:p>
      <w:pPr>
        <w:ind w:left="1720" w:right="1619" w:hanging="155"/>
        <w:spacing w:after="0" w:line="246" w:lineRule="auto"/>
        <w:tabs>
          <w:tab w:leader="none" w:pos="1720" w:val="left"/>
        </w:tabs>
        <w:numPr>
          <w:ilvl w:val="0"/>
          <w:numId w:val="110"/>
        </w:numPr>
        <w:rPr>
          <w:rFonts w:ascii="Arial" w:cs="Arial" w:eastAsia="Arial" w:hAnsi="Arial"/>
          <w:sz w:val="13"/>
          <w:szCs w:val="13"/>
          <w:color w:val="auto"/>
          <w:vertAlign w:val="superscript"/>
        </w:rPr>
      </w:pPr>
      <w:r>
        <w:rPr>
          <w:rFonts w:ascii="Arial" w:cs="Arial" w:eastAsia="Arial" w:hAnsi="Arial"/>
          <w:sz w:val="8"/>
          <w:szCs w:val="8"/>
          <w:color w:val="auto"/>
        </w:rPr>
        <w:t>Consists of  (i) the shares described in note (8) through note (16) above; (ii) 417,666 ordinary shares Xichen Lin, Ph.D., has the right to acquire within 60 days of December 31, 2022 pursuant to the exercise of share options, and (iii) 203,564 ordinary shares Melita Sun Jung., has the right to acquire within 60 days of December 31, 2022 pursuant to the exercise of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6" w:name="page207"/>
    <w:bookmarkEnd w:id="206"/>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DESCRIPTION OF SHARE CAPITAL</w:t>
      </w:r>
    </w:p>
    <w:p>
      <w:pPr>
        <w:spacing w:after="0" w:line="253" w:lineRule="exact"/>
        <w:rPr>
          <w:sz w:val="20"/>
          <w:szCs w:val="20"/>
          <w:color w:val="auto"/>
        </w:rPr>
      </w:pPr>
    </w:p>
    <w:p>
      <w:pPr>
        <w:jc w:val="both"/>
        <w:ind w:left="1560" w:right="1599"/>
        <w:spacing w:after="0" w:line="288" w:lineRule="auto"/>
        <w:rPr>
          <w:sz w:val="20"/>
          <w:szCs w:val="20"/>
          <w:color w:val="auto"/>
        </w:rPr>
      </w:pPr>
      <w:r>
        <w:rPr>
          <w:rFonts w:ascii="Arial" w:cs="Arial" w:eastAsia="Arial" w:hAnsi="Arial"/>
          <w:sz w:val="12"/>
          <w:szCs w:val="12"/>
          <w:color w:val="auto"/>
        </w:rPr>
        <w:t>We are a Cayman Islands exempted company incorporated with limited liability and our affairs are governed by our amended and restated memorandum and articles of association, the Companies Act (as amended) of the Cayman Islands, or Companies Act, and the common law of the Cayman Islands.</w:t>
      </w:r>
    </w:p>
    <w:p>
      <w:pPr>
        <w:spacing w:after="0" w:line="64" w:lineRule="exact"/>
        <w:rPr>
          <w:sz w:val="20"/>
          <w:szCs w:val="20"/>
          <w:color w:val="auto"/>
        </w:rPr>
      </w:pPr>
    </w:p>
    <w:p>
      <w:pPr>
        <w:ind w:left="1560" w:right="1839"/>
        <w:spacing w:after="0" w:line="274" w:lineRule="auto"/>
        <w:rPr>
          <w:sz w:val="20"/>
          <w:szCs w:val="20"/>
          <w:color w:val="auto"/>
        </w:rPr>
      </w:pPr>
      <w:r>
        <w:rPr>
          <w:rFonts w:ascii="Arial" w:cs="Arial" w:eastAsia="Arial" w:hAnsi="Arial"/>
          <w:sz w:val="12"/>
          <w:szCs w:val="12"/>
          <w:color w:val="auto"/>
        </w:rPr>
        <w:t>Upon the closing of this offering, our authorized share capital will be $60,000 divided into 600,000,000 shares, of which (i) 500,000,000 are designated as ordinary shares, par value of  $0.0001 per share and</w:t>
      </w:r>
    </w:p>
    <w:p>
      <w:pPr>
        <w:ind w:left="1560" w:right="1779" w:firstLine="5"/>
        <w:spacing w:after="0" w:line="283" w:lineRule="auto"/>
        <w:tabs>
          <w:tab w:leader="none" w:pos="173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100,000,000 shares, par value of  $0.0001 per share of such class or classes (however designated) of shares, as our board of directors may determine in accordance with our amended and restated memorandum and articles of association.</w:t>
      </w:r>
    </w:p>
    <w:p>
      <w:pPr>
        <w:spacing w:after="0" w:line="76" w:lineRule="exact"/>
        <w:rPr>
          <w:sz w:val="20"/>
          <w:szCs w:val="20"/>
          <w:color w:val="auto"/>
        </w:rPr>
      </w:pPr>
    </w:p>
    <w:p>
      <w:pPr>
        <w:ind w:left="1560" w:right="1759"/>
        <w:spacing w:after="0" w:line="275" w:lineRule="auto"/>
        <w:rPr>
          <w:sz w:val="20"/>
          <w:szCs w:val="20"/>
          <w:color w:val="auto"/>
        </w:rPr>
      </w:pPr>
      <w:r>
        <w:rPr>
          <w:rFonts w:ascii="Arial" w:cs="Arial" w:eastAsia="Arial" w:hAnsi="Arial"/>
          <w:sz w:val="12"/>
          <w:szCs w:val="12"/>
          <w:color w:val="auto"/>
        </w:rPr>
        <w:t>As of December 31, 2022, we had 10,526,654 ordinary shares, 19,200,000 Series A convertible preferred shares, 12,799,681 Series A+ convertible preferred shares, 32,857,004 Series B convertible preferred shares and 2,161,402 Series B-1 convertible preferred shares issued and outstanding. All of our shares issued and outstanding prior to the completion of this offering are fully paid, and all of our shares to be issued in this offering will be issued as fully paid. Immediately upon the closing of this offering, all of our outstanding preferred shares will be automatically converted and re-designated into an aggregate of 67,018,087 ordinary shares.</w:t>
      </w:r>
    </w:p>
    <w:p>
      <w:pPr>
        <w:spacing w:after="0" w:line="82"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Following this offering, our board of directors may, without further action by our shareholders, fix the rights, preferences, privileges, and restrictions of up to an aggregate of 100,000,000 other shares, including preferred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preferred shares, could adversely affect the voting power of holders of ADSs and ordinary shares and the likelihood that such holders will receive dividend payments and payments upon liquidation. In addition, the issuance of other shares, including preferred shares, could have the effect of delaying, deferring, or preventing a change of control or other corporate action. Upon the completion of this offering, no preferred shares will be outstanding, and we have no present plan to issue any preferred shares.</w:t>
      </w:r>
    </w:p>
    <w:p>
      <w:pPr>
        <w:spacing w:after="0" w:line="12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Amended and Restated Memorandum and Articles of Association</w:t>
      </w:r>
    </w:p>
    <w:p>
      <w:pPr>
        <w:spacing w:after="0" w:line="65"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Our shareholders have adopted an amended and restated memorandum and articles of association, which will become effective and replace our current amended and restated memorandum and articles of association in its entirety immediately upon the completion of this offering. The following are summaries of material provisions of the amended and restated memorandum and articles of association that we expect to become effective immediately upon the completion of this offering, and of the Companies Act, insofar as they relate to the material terms of our ordinary shares.</w:t>
      </w:r>
    </w:p>
    <w:p>
      <w:pPr>
        <w:spacing w:after="0" w:line="82"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i w:val="1"/>
          <w:iCs w:val="1"/>
          <w:color w:val="auto"/>
        </w:rPr>
        <w:t xml:space="preserve">Objects of Our Company. </w:t>
      </w:r>
      <w:r>
        <w:rPr>
          <w:rFonts w:ascii="Arial" w:cs="Arial" w:eastAsia="Arial" w:hAnsi="Arial"/>
          <w:sz w:val="12"/>
          <w:szCs w:val="12"/>
          <w:color w:val="auto"/>
        </w:rPr>
        <w:t>Under our amended and restated memorandum and articles of association, the</w:t>
      </w:r>
      <w:r>
        <w:rPr>
          <w:rFonts w:ascii="Arial" w:cs="Arial" w:eastAsia="Arial" w:hAnsi="Arial"/>
          <w:sz w:val="12"/>
          <w:szCs w:val="12"/>
          <w:i w:val="1"/>
          <w:iCs w:val="1"/>
          <w:color w:val="auto"/>
        </w:rPr>
        <w:t xml:space="preserve"> </w:t>
      </w:r>
      <w:r>
        <w:rPr>
          <w:rFonts w:ascii="Arial" w:cs="Arial" w:eastAsia="Arial" w:hAnsi="Arial"/>
          <w:sz w:val="12"/>
          <w:szCs w:val="12"/>
          <w:color w:val="auto"/>
        </w:rPr>
        <w:t>objects of our company are unrestricted and we have the full power and authority to carry out any object not prohibited by the law of the Cayman Islands.</w:t>
      </w:r>
    </w:p>
    <w:p>
      <w:pPr>
        <w:spacing w:after="0" w:line="74" w:lineRule="exact"/>
        <w:rPr>
          <w:sz w:val="20"/>
          <w:szCs w:val="20"/>
          <w:color w:val="auto"/>
        </w:rPr>
      </w:pPr>
    </w:p>
    <w:p>
      <w:pPr>
        <w:ind w:left="1560" w:right="1679"/>
        <w:spacing w:after="0" w:line="288" w:lineRule="auto"/>
        <w:rPr>
          <w:sz w:val="20"/>
          <w:szCs w:val="20"/>
          <w:color w:val="auto"/>
        </w:rPr>
      </w:pPr>
      <w:r>
        <w:rPr>
          <w:rFonts w:ascii="Arial" w:cs="Arial" w:eastAsia="Arial" w:hAnsi="Arial"/>
          <w:sz w:val="12"/>
          <w:szCs w:val="12"/>
          <w:i w:val="1"/>
          <w:iCs w:val="1"/>
          <w:color w:val="auto"/>
        </w:rPr>
        <w:t xml:space="preserve">Ordinary Shares. </w:t>
      </w:r>
      <w:r>
        <w:rPr>
          <w:rFonts w:ascii="Arial" w:cs="Arial" w:eastAsia="Arial" w:hAnsi="Arial"/>
          <w:sz w:val="12"/>
          <w:szCs w:val="12"/>
          <w:color w:val="auto"/>
        </w:rPr>
        <w:t>Our ordinary shares are issued in registered form and are issued when registered in our</w:t>
      </w:r>
      <w:r>
        <w:rPr>
          <w:rFonts w:ascii="Arial" w:cs="Arial" w:eastAsia="Arial" w:hAnsi="Arial"/>
          <w:sz w:val="12"/>
          <w:szCs w:val="12"/>
          <w:i w:val="1"/>
          <w:iCs w:val="1"/>
          <w:color w:val="auto"/>
        </w:rPr>
        <w:t xml:space="preserve"> </w:t>
      </w:r>
      <w:r>
        <w:rPr>
          <w:rFonts w:ascii="Arial" w:cs="Arial" w:eastAsia="Arial" w:hAnsi="Arial"/>
          <w:sz w:val="12"/>
          <w:szCs w:val="12"/>
          <w:color w:val="auto"/>
        </w:rPr>
        <w:t>register of members. We may not issue shares to bearer. Our shareholders who are nonresidents of the Cayman Islands may freely hold and vote their shares.</w:t>
      </w:r>
    </w:p>
    <w:p>
      <w:pPr>
        <w:spacing w:after="0" w:line="64"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The holders of our ordinary shares are entitled to such dividends as may be declared by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directors. In addition, our shareholders may declare dividends by ordinary resolution, but no dividend shall exceed the amount recommended by our directors. Our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7" w:name="page208"/>
    <w:bookmarkEnd w:id="20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93" w:lineRule="auto"/>
        <w:rPr>
          <w:sz w:val="20"/>
          <w:szCs w:val="20"/>
          <w:color w:val="auto"/>
        </w:rPr>
      </w:pPr>
      <w:r>
        <w:rPr>
          <w:rFonts w:ascii="Arial" w:cs="Arial" w:eastAsia="Arial" w:hAnsi="Arial"/>
          <w:sz w:val="12"/>
          <w:szCs w:val="12"/>
          <w:color w:val="auto"/>
        </w:rPr>
        <w:t>in no circumstances may a dividend be paid if this would result in our inability to pay our debts as they fall due in the ordinary course of business immediately following the date on which the distribution or dividend is paid.</w:t>
      </w:r>
    </w:p>
    <w:p>
      <w:pPr>
        <w:spacing w:after="0" w:line="156"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i w:val="1"/>
          <w:iCs w:val="1"/>
          <w:color w:val="auto"/>
        </w:rPr>
        <w:t xml:space="preserve">Voting Rights. </w:t>
      </w:r>
      <w:r>
        <w:rPr>
          <w:rFonts w:ascii="Arial" w:cs="Arial" w:eastAsia="Arial" w:hAnsi="Arial"/>
          <w:sz w:val="12"/>
          <w:szCs w:val="12"/>
          <w:color w:val="auto"/>
        </w:rPr>
        <w:t>Holders of our ordinary shares are entitled to one vote per share. Voting at any</w:t>
      </w:r>
      <w:r>
        <w:rPr>
          <w:rFonts w:ascii="Arial" w:cs="Arial" w:eastAsia="Arial" w:hAnsi="Arial"/>
          <w:sz w:val="12"/>
          <w:szCs w:val="12"/>
          <w:i w:val="1"/>
          <w:iCs w:val="1"/>
          <w:color w:val="auto"/>
        </w:rPr>
        <w:t xml:space="preserve"> </w:t>
      </w:r>
      <w:r>
        <w:rPr>
          <w:rFonts w:ascii="Arial" w:cs="Arial" w:eastAsia="Arial" w:hAnsi="Arial"/>
          <w:sz w:val="12"/>
          <w:szCs w:val="12"/>
          <w:color w:val="auto"/>
        </w:rPr>
        <w:t>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p>
    <w:p>
      <w:pPr>
        <w:spacing w:after="0" w:line="17" w:lineRule="exact"/>
        <w:rPr>
          <w:sz w:val="20"/>
          <w:szCs w:val="20"/>
          <w:color w:val="auto"/>
        </w:rPr>
      </w:pPr>
    </w:p>
    <w:p>
      <w:pPr>
        <w:ind w:left="1560" w:right="1639"/>
        <w:spacing w:after="0" w:line="265" w:lineRule="auto"/>
        <w:rPr>
          <w:sz w:val="20"/>
          <w:szCs w:val="20"/>
          <w:color w:val="auto"/>
        </w:rPr>
      </w:pPr>
      <w:r>
        <w:rPr>
          <w:rFonts w:ascii="Arial" w:cs="Arial" w:eastAsia="Arial" w:hAnsi="Arial"/>
          <w:sz w:val="12"/>
          <w:szCs w:val="12"/>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spacing w:after="0" w:line="178"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i w:val="1"/>
          <w:iCs w:val="1"/>
          <w:color w:val="auto"/>
        </w:rPr>
        <w:t>General Meetings of Shareholders</w:t>
      </w:r>
      <w:r>
        <w:rPr>
          <w:rFonts w:ascii="Arial" w:cs="Arial" w:eastAsia="Arial" w:hAnsi="Arial"/>
          <w:sz w:val="12"/>
          <w:szCs w:val="12"/>
          <w:color w:val="auto"/>
        </w:rPr>
        <w:t>. Shareholders’ general meetings may be convened by a majority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directors. Advance notice of at least 10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86"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shareholders representing in aggregate not less than one-third of the votes attaching to the issued and outstanding shares of our company entitled to vote at general meetings, our board of directors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p>
    <w:p>
      <w:pPr>
        <w:spacing w:after="0" w:line="84" w:lineRule="exact"/>
        <w:rPr>
          <w:sz w:val="20"/>
          <w:szCs w:val="20"/>
          <w:color w:val="auto"/>
        </w:rPr>
      </w:pPr>
    </w:p>
    <w:p>
      <w:pPr>
        <w:ind w:left="1560" w:right="1619"/>
        <w:spacing w:after="0" w:line="288" w:lineRule="auto"/>
        <w:rPr>
          <w:sz w:val="20"/>
          <w:szCs w:val="20"/>
          <w:color w:val="auto"/>
        </w:rPr>
      </w:pPr>
      <w:r>
        <w:rPr>
          <w:rFonts w:ascii="Arial" w:cs="Arial" w:eastAsia="Arial" w:hAnsi="Arial"/>
          <w:sz w:val="12"/>
          <w:szCs w:val="12"/>
          <w:i w:val="1"/>
          <w:iCs w:val="1"/>
          <w:color w:val="auto"/>
        </w:rPr>
        <w:t xml:space="preserve">Transfer of Ordinary Shares. </w:t>
      </w:r>
      <w:r>
        <w:rPr>
          <w:rFonts w:ascii="Arial" w:cs="Arial" w:eastAsia="Arial" w:hAnsi="Arial"/>
          <w:sz w:val="12"/>
          <w:szCs w:val="12"/>
          <w:color w:val="auto"/>
        </w:rPr>
        <w:t>Subject to the restrictions set out below, any of our shareholders may transfer</w:t>
      </w:r>
      <w:r>
        <w:rPr>
          <w:rFonts w:ascii="Arial" w:cs="Arial" w:eastAsia="Arial" w:hAnsi="Arial"/>
          <w:sz w:val="12"/>
          <w:szCs w:val="12"/>
          <w:i w:val="1"/>
          <w:iCs w:val="1"/>
          <w:color w:val="auto"/>
        </w:rPr>
        <w:t xml:space="preserve"> </w:t>
      </w:r>
      <w:r>
        <w:rPr>
          <w:rFonts w:ascii="Arial" w:cs="Arial" w:eastAsia="Arial" w:hAnsi="Arial"/>
          <w:sz w:val="12"/>
          <w:szCs w:val="12"/>
          <w:color w:val="auto"/>
        </w:rPr>
        <w:t>all or any of his, her or its ordinary shares by an instrument of transfer in the usual or common form or any other form approved by our board of directors.</w:t>
      </w:r>
    </w:p>
    <w:p>
      <w:pPr>
        <w:spacing w:after="0" w:line="16"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25" w:lineRule="exact"/>
        <w:rPr>
          <w:sz w:val="20"/>
          <w:szCs w:val="20"/>
          <w:color w:val="auto"/>
        </w:rPr>
      </w:pPr>
    </w:p>
    <w:p>
      <w:pPr>
        <w:ind w:left="1980" w:right="1619" w:hanging="157"/>
        <w:spacing w:after="0" w:line="288" w:lineRule="auto"/>
        <w:tabs>
          <w:tab w:leader="none" w:pos="19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instrument of transfer is in respect of only one class of ordinary shares;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instrument of transfer is properly stamped, if required;</w:t>
      </w:r>
    </w:p>
    <w:p>
      <w:pPr>
        <w:spacing w:after="0" w:line="65"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 the case of a transfer to joint holders, the number of joint holders to whom the ordinary share is to be transferred does not exceed four; and</w:t>
      </w:r>
    </w:p>
    <w:p>
      <w:pPr>
        <w:spacing w:after="0" w:line="13" w:lineRule="exact"/>
        <w:rPr>
          <w:rFonts w:ascii="Arial" w:cs="Arial" w:eastAsia="Arial" w:hAnsi="Arial"/>
          <w:sz w:val="12"/>
          <w:szCs w:val="12"/>
          <w:color w:val="auto"/>
        </w:rPr>
      </w:pPr>
    </w:p>
    <w:p>
      <w:pPr>
        <w:ind w:left="1980" w:right="1839" w:hanging="157"/>
        <w:spacing w:after="0" w:line="308" w:lineRule="auto"/>
        <w:tabs>
          <w:tab w:leader="none" w:pos="19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 fee of such maximum sum as Nasdaq may determine to be payable or such lesser sum as our directors may from time to time require is paid to us in respect thereof.</w:t>
      </w:r>
    </w:p>
    <w:p>
      <w:pPr>
        <w:spacing w:after="0" w:line="52" w:lineRule="exact"/>
        <w:rPr>
          <w:sz w:val="20"/>
          <w:szCs w:val="20"/>
          <w:color w:val="auto"/>
        </w:rPr>
      </w:pPr>
    </w:p>
    <w:p>
      <w:pPr>
        <w:ind w:left="1560" w:right="1719"/>
        <w:spacing w:after="0" w:line="308" w:lineRule="auto"/>
        <w:rPr>
          <w:sz w:val="20"/>
          <w:szCs w:val="20"/>
          <w:color w:val="auto"/>
        </w:rPr>
      </w:pPr>
      <w:r>
        <w:rPr>
          <w:rFonts w:ascii="Arial" w:cs="Arial" w:eastAsia="Arial" w:hAnsi="Arial"/>
          <w:sz w:val="12"/>
          <w:szCs w:val="12"/>
          <w:color w:val="auto"/>
        </w:rPr>
        <w:t>If our directors refuse to register a transfer they shall, within three months after the date on which the instrument of transfer was lodged, send to each of the transferor and the transferee notice of such refusal.</w:t>
      </w:r>
    </w:p>
    <w:p>
      <w:pPr>
        <w:spacing w:after="0" w:line="62" w:lineRule="exact"/>
        <w:rPr>
          <w:sz w:val="20"/>
          <w:szCs w:val="20"/>
          <w:color w:val="auto"/>
        </w:rPr>
      </w:pPr>
    </w:p>
    <w:p>
      <w:pPr>
        <w:ind w:left="1560" w:right="1739"/>
        <w:spacing w:after="0" w:line="282" w:lineRule="auto"/>
        <w:rPr>
          <w:sz w:val="20"/>
          <w:szCs w:val="20"/>
          <w:color w:val="auto"/>
        </w:rPr>
      </w:pPr>
      <w:r>
        <w:rPr>
          <w:rFonts w:ascii="Arial" w:cs="Arial" w:eastAsia="Arial" w:hAnsi="Arial"/>
          <w:sz w:val="12"/>
          <w:szCs w:val="12"/>
          <w:color w:val="auto"/>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8" w:name="page209"/>
    <w:bookmarkEnd w:id="20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79"/>
        <w:spacing w:after="0" w:line="262" w:lineRule="auto"/>
        <w:rPr>
          <w:sz w:val="20"/>
          <w:szCs w:val="20"/>
          <w:color w:val="auto"/>
        </w:rPr>
      </w:pPr>
      <w:r>
        <w:rPr>
          <w:rFonts w:ascii="Arial" w:cs="Arial" w:eastAsia="Arial" w:hAnsi="Arial"/>
          <w:sz w:val="12"/>
          <w:szCs w:val="12"/>
          <w:i w:val="1"/>
          <w:iCs w:val="1"/>
          <w:color w:val="auto"/>
        </w:rPr>
        <w:t xml:space="preserve">Liquidation. </w:t>
      </w:r>
      <w:r>
        <w:rPr>
          <w:rFonts w:ascii="Arial" w:cs="Arial" w:eastAsia="Arial" w:hAnsi="Arial"/>
          <w:sz w:val="12"/>
          <w:szCs w:val="12"/>
          <w:color w:val="auto"/>
        </w:rPr>
        <w:t>On the winding up of our company, if the assets available for distribution amongst our</w:t>
      </w:r>
      <w:r>
        <w:rPr>
          <w:rFonts w:ascii="Arial" w:cs="Arial" w:eastAsia="Arial" w:hAnsi="Arial"/>
          <w:sz w:val="12"/>
          <w:szCs w:val="12"/>
          <w:i w:val="1"/>
          <w:iCs w:val="1"/>
          <w:color w:val="auto"/>
        </w:rPr>
        <w:t xml:space="preserve"> </w:t>
      </w:r>
      <w:r>
        <w:rPr>
          <w:rFonts w:ascii="Arial" w:cs="Arial" w:eastAsia="Arial" w:hAnsi="Arial"/>
          <w:sz w:val="12"/>
          <w:szCs w:val="12"/>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81" w:lineRule="exact"/>
        <w:rPr>
          <w:sz w:val="20"/>
          <w:szCs w:val="20"/>
          <w:color w:val="auto"/>
        </w:rPr>
      </w:pPr>
    </w:p>
    <w:p>
      <w:pPr>
        <w:ind w:left="1560" w:right="1779"/>
        <w:spacing w:after="0" w:line="271" w:lineRule="auto"/>
        <w:rPr>
          <w:sz w:val="20"/>
          <w:szCs w:val="20"/>
          <w:color w:val="auto"/>
        </w:rPr>
      </w:pPr>
      <w:r>
        <w:rPr>
          <w:rFonts w:ascii="Arial" w:cs="Arial" w:eastAsia="Arial" w:hAnsi="Arial"/>
          <w:sz w:val="12"/>
          <w:szCs w:val="12"/>
          <w:i w:val="1"/>
          <w:iCs w:val="1"/>
          <w:color w:val="auto"/>
        </w:rPr>
        <w:t xml:space="preserve">Calls on Shares and Forfeiture of Shares. </w:t>
      </w:r>
      <w:r>
        <w:rPr>
          <w:rFonts w:ascii="Arial" w:cs="Arial" w:eastAsia="Arial" w:hAnsi="Arial"/>
          <w:sz w:val="12"/>
          <w:szCs w:val="12"/>
          <w:color w:val="auto"/>
        </w:rPr>
        <w:t>Our board of directors may from time to time make calls upon</w:t>
      </w:r>
      <w:r>
        <w:rPr>
          <w:rFonts w:ascii="Arial" w:cs="Arial" w:eastAsia="Arial" w:hAnsi="Arial"/>
          <w:sz w:val="12"/>
          <w:szCs w:val="12"/>
          <w:i w:val="1"/>
          <w:iCs w:val="1"/>
          <w:color w:val="auto"/>
        </w:rPr>
        <w:t xml:space="preserve"> </w:t>
      </w:r>
      <w:r>
        <w:rPr>
          <w:rFonts w:ascii="Arial" w:cs="Arial" w:eastAsia="Arial" w:hAnsi="Arial"/>
          <w:sz w:val="12"/>
          <w:szCs w:val="12"/>
          <w:color w:val="auto"/>
        </w:rPr>
        <w:t>shareholders for any amounts unpaid on their shares in a notice served to such shareholders at least</w:t>
      </w:r>
    </w:p>
    <w:p>
      <w:pPr>
        <w:ind w:left="1560" w:right="1599"/>
        <w:spacing w:after="0" w:line="271" w:lineRule="auto"/>
        <w:rPr>
          <w:sz w:val="20"/>
          <w:szCs w:val="20"/>
          <w:color w:val="auto"/>
        </w:rPr>
      </w:pPr>
      <w:r>
        <w:rPr>
          <w:rFonts w:ascii="Arial" w:cs="Arial" w:eastAsia="Arial" w:hAnsi="Arial"/>
          <w:sz w:val="12"/>
          <w:szCs w:val="12"/>
          <w:color w:val="auto"/>
        </w:rPr>
        <w:t>14 days prior to the specified time and place of payment. The shares that have been called upon and remain unpaid are subject to forfeiture.</w:t>
      </w:r>
    </w:p>
    <w:p>
      <w:pPr>
        <w:spacing w:after="0" w:line="73"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i w:val="1"/>
          <w:iCs w:val="1"/>
          <w:color w:val="auto"/>
        </w:rPr>
        <w:t xml:space="preserve">Redemption, Repurchase and Surrender of Shares. </w:t>
      </w:r>
      <w:r>
        <w:rPr>
          <w:rFonts w:ascii="Arial" w:cs="Arial" w:eastAsia="Arial" w:hAnsi="Arial"/>
          <w:sz w:val="12"/>
          <w:szCs w:val="12"/>
          <w:color w:val="auto"/>
        </w:rPr>
        <w:t>Our ordinary shares are not subject to redemption</w:t>
      </w:r>
      <w:r>
        <w:rPr>
          <w:rFonts w:ascii="Arial" w:cs="Arial" w:eastAsia="Arial" w:hAnsi="Arial"/>
          <w:sz w:val="12"/>
          <w:szCs w:val="12"/>
          <w:i w:val="1"/>
          <w:iCs w:val="1"/>
          <w:color w:val="auto"/>
        </w:rPr>
        <w:t xml:space="preserve"> </w:t>
      </w:r>
      <w:r>
        <w:rPr>
          <w:rFonts w:ascii="Arial" w:cs="Arial" w:eastAsia="Arial" w:hAnsi="Arial"/>
          <w:sz w:val="12"/>
          <w:szCs w:val="12"/>
          <w:color w:val="auto"/>
        </w:rPr>
        <w:t>provisions. We may issue shares on terms that such shares are subject to redemption, at our option or at the option of the holders of these shares, on such terms and in such manner as may be determined by our board of directors. We may also repurchase any of our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spacing w:after="0" w:line="230"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i w:val="1"/>
          <w:iCs w:val="1"/>
          <w:color w:val="auto"/>
        </w:rPr>
        <w:t xml:space="preserve">Variations of Rights of Shares. </w:t>
      </w:r>
      <w:r>
        <w:rPr>
          <w:rFonts w:ascii="Arial" w:cs="Arial" w:eastAsia="Arial" w:hAnsi="Arial"/>
          <w:sz w:val="12"/>
          <w:szCs w:val="12"/>
          <w:color w:val="auto"/>
        </w:rPr>
        <w:t>If at any time our share capital is divided into different classes or series of</w:t>
      </w:r>
      <w:r>
        <w:rPr>
          <w:rFonts w:ascii="Arial" w:cs="Arial" w:eastAsia="Arial" w:hAnsi="Arial"/>
          <w:sz w:val="12"/>
          <w:szCs w:val="12"/>
          <w:i w:val="1"/>
          <w:iCs w:val="1"/>
          <w:color w:val="auto"/>
        </w:rPr>
        <w:t xml:space="preserve"> </w:t>
      </w:r>
      <w:r>
        <w:rPr>
          <w:rFonts w:ascii="Arial" w:cs="Arial" w:eastAsia="Arial" w:hAnsi="Arial"/>
          <w:sz w:val="12"/>
          <w:szCs w:val="12"/>
          <w:color w:val="auto"/>
        </w:rPr>
        <w:t>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81" w:lineRule="exact"/>
        <w:rPr>
          <w:sz w:val="20"/>
          <w:szCs w:val="20"/>
          <w:color w:val="auto"/>
        </w:rPr>
      </w:pPr>
    </w:p>
    <w:p>
      <w:pPr>
        <w:ind w:left="1560" w:right="1859"/>
        <w:spacing w:after="0" w:line="280" w:lineRule="auto"/>
        <w:rPr>
          <w:sz w:val="20"/>
          <w:szCs w:val="20"/>
          <w:color w:val="auto"/>
        </w:rPr>
      </w:pPr>
      <w:r>
        <w:rPr>
          <w:rFonts w:ascii="Arial" w:cs="Arial" w:eastAsia="Arial" w:hAnsi="Arial"/>
          <w:sz w:val="12"/>
          <w:szCs w:val="12"/>
          <w:i w:val="1"/>
          <w:iCs w:val="1"/>
          <w:color w:val="auto"/>
        </w:rPr>
        <w:t xml:space="preserve">Issuance of Additional Shares. </w:t>
      </w:r>
      <w:r>
        <w:rPr>
          <w:rFonts w:ascii="Arial" w:cs="Arial" w:eastAsia="Arial" w:hAnsi="Arial"/>
          <w:sz w:val="12"/>
          <w:szCs w:val="12"/>
          <w:color w:val="auto"/>
        </w:rPr>
        <w:t>Our amended and restated memorandum of association authorizes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directors to issue additional ordinary shares from time to time as our board of directors shall determine, to the extent of available authorized but unissued shares.</w:t>
      </w:r>
    </w:p>
    <w:p>
      <w:pPr>
        <w:spacing w:after="0" w:line="68" w:lineRule="exact"/>
        <w:rPr>
          <w:sz w:val="20"/>
          <w:szCs w:val="20"/>
          <w:color w:val="auto"/>
        </w:rPr>
      </w:pPr>
    </w:p>
    <w:p>
      <w:pPr>
        <w:ind w:left="1560" w:right="1719"/>
        <w:spacing w:after="0" w:line="280" w:lineRule="auto"/>
        <w:rPr>
          <w:sz w:val="20"/>
          <w:szCs w:val="20"/>
          <w:color w:val="auto"/>
        </w:rPr>
      </w:pPr>
      <w:r>
        <w:rPr>
          <w:rFonts w:ascii="Arial" w:cs="Arial" w:eastAsia="Arial" w:hAnsi="Arial"/>
          <w:sz w:val="12"/>
          <w:szCs w:val="12"/>
          <w:color w:val="auto"/>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20" w:lineRule="exact"/>
        <w:rPr>
          <w:sz w:val="20"/>
          <w:szCs w:val="20"/>
          <w:color w:val="auto"/>
        </w:rPr>
      </w:pPr>
    </w:p>
    <w:p>
      <w:pPr>
        <w:ind w:left="1980" w:hanging="157"/>
        <w:spacing w:after="0"/>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designation of the series;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number of shares of the series;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dividend rights, dividend rates, conversion rights, voting rights;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rights and terms of redemption and liquidation preferences;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any other powers, preferences and relative, participating, optional and other special rights.</w:t>
      </w:r>
    </w:p>
    <w:p>
      <w:pPr>
        <w:spacing w:after="0" w:line="113"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Our board of directors may issue preferred shares without action by our shareholders to the extent authorized but unissued. Issuance of these shares may dilute the voting power of holders of ordinary shares.</w:t>
      </w:r>
    </w:p>
    <w:p>
      <w:pPr>
        <w:spacing w:after="0" w:line="62" w:lineRule="exact"/>
        <w:rPr>
          <w:sz w:val="20"/>
          <w:szCs w:val="20"/>
          <w:color w:val="auto"/>
        </w:rPr>
      </w:pPr>
    </w:p>
    <w:p>
      <w:pPr>
        <w:jc w:val="both"/>
        <w:ind w:left="1560" w:right="1659"/>
        <w:spacing w:after="0" w:line="270" w:lineRule="auto"/>
        <w:rPr>
          <w:sz w:val="20"/>
          <w:szCs w:val="20"/>
          <w:color w:val="auto"/>
        </w:rPr>
      </w:pPr>
      <w:r>
        <w:rPr>
          <w:rFonts w:ascii="Arial" w:cs="Arial" w:eastAsia="Arial" w:hAnsi="Arial"/>
          <w:sz w:val="12"/>
          <w:szCs w:val="12"/>
          <w:i w:val="1"/>
          <w:iCs w:val="1"/>
          <w:color w:val="auto"/>
        </w:rPr>
        <w:t xml:space="preserve">Inspection of Books and Records. </w:t>
      </w:r>
      <w:r>
        <w:rPr>
          <w:rFonts w:ascii="Arial" w:cs="Arial" w:eastAsia="Arial" w:hAnsi="Arial"/>
          <w:sz w:val="12"/>
          <w:szCs w:val="12"/>
          <w:color w:val="auto"/>
        </w:rPr>
        <w:t>Holders of our ordinary shares will have no general right under Cayman</w:t>
      </w:r>
      <w:r>
        <w:rPr>
          <w:rFonts w:ascii="Arial" w:cs="Arial" w:eastAsia="Arial" w:hAnsi="Arial"/>
          <w:sz w:val="12"/>
          <w:szCs w:val="12"/>
          <w:i w:val="1"/>
          <w:iCs w:val="1"/>
          <w:color w:val="auto"/>
        </w:rPr>
        <w:t xml:space="preserve"> </w:t>
      </w:r>
      <w:r>
        <w:rPr>
          <w:rFonts w:ascii="Arial" w:cs="Arial" w:eastAsia="Arial" w:hAnsi="Arial"/>
          <w:sz w:val="12"/>
          <w:szCs w:val="12"/>
          <w:color w:val="auto"/>
        </w:rPr>
        <w:t>Islands law to inspect or obtain copies of our corporate records (except for the memorandum and articles of association of our company, any special resolutions passed by our company and the register of mortgages and charges of our company). However, we will provide our shareholders with annual audited consolidated financial statements. See the section titled “Where You Can Find Additional Information.”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09" w:name="page210"/>
    <w:bookmarkEnd w:id="20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jc w:val="both"/>
        <w:ind w:left="1560" w:right="1879"/>
        <w:spacing w:after="0" w:line="280" w:lineRule="auto"/>
        <w:rPr>
          <w:sz w:val="20"/>
          <w:szCs w:val="20"/>
          <w:color w:val="auto"/>
        </w:rPr>
      </w:pPr>
      <w:r>
        <w:rPr>
          <w:rFonts w:ascii="Arial" w:cs="Arial" w:eastAsia="Arial" w:hAnsi="Arial"/>
          <w:sz w:val="12"/>
          <w:szCs w:val="12"/>
          <w:i w:val="1"/>
          <w:iCs w:val="1"/>
          <w:color w:val="auto"/>
        </w:rPr>
        <w:t xml:space="preserve">Anti-Takeover Provisions. </w:t>
      </w:r>
      <w:r>
        <w:rPr>
          <w:rFonts w:ascii="Arial" w:cs="Arial" w:eastAsia="Arial" w:hAnsi="Arial"/>
          <w:sz w:val="12"/>
          <w:szCs w:val="12"/>
          <w:color w:val="auto"/>
        </w:rPr>
        <w:t>Some provisions of our amended and restated memorandum and articles of</w:t>
      </w:r>
      <w:r>
        <w:rPr>
          <w:rFonts w:ascii="Arial" w:cs="Arial" w:eastAsia="Arial" w:hAnsi="Arial"/>
          <w:sz w:val="12"/>
          <w:szCs w:val="12"/>
          <w:i w:val="1"/>
          <w:iCs w:val="1"/>
          <w:color w:val="auto"/>
        </w:rPr>
        <w:t xml:space="preserve"> </w:t>
      </w:r>
      <w:r>
        <w:rPr>
          <w:rFonts w:ascii="Arial" w:cs="Arial" w:eastAsia="Arial" w:hAnsi="Arial"/>
          <w:sz w:val="12"/>
          <w:szCs w:val="12"/>
          <w:color w:val="auto"/>
        </w:rPr>
        <w:t>association may discourage, delay or prevent a change of control of our company or management that shareholders may consider favorable, including provisions that:</w:t>
      </w:r>
    </w:p>
    <w:p>
      <w:pPr>
        <w:spacing w:after="0" w:line="20" w:lineRule="exact"/>
        <w:rPr>
          <w:sz w:val="20"/>
          <w:szCs w:val="20"/>
          <w:color w:val="auto"/>
        </w:rPr>
      </w:pPr>
    </w:p>
    <w:p>
      <w:pPr>
        <w:ind w:left="1980" w:right="1579" w:hanging="157"/>
        <w:spacing w:after="0" w:line="288" w:lineRule="auto"/>
        <w:tabs>
          <w:tab w:leader="none" w:pos="19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limit the ability of shareholders to requisition and convene general meetings of shareholders.</w:t>
      </w:r>
    </w:p>
    <w:p>
      <w:pPr>
        <w:spacing w:after="0" w:line="104" w:lineRule="exact"/>
        <w:rPr>
          <w:sz w:val="20"/>
          <w:szCs w:val="20"/>
          <w:color w:val="auto"/>
        </w:rPr>
      </w:pPr>
    </w:p>
    <w:p>
      <w:pPr>
        <w:jc w:val="both"/>
        <w:ind w:left="1560" w:right="1599"/>
        <w:spacing w:after="0" w:line="280" w:lineRule="auto"/>
        <w:rPr>
          <w:sz w:val="20"/>
          <w:szCs w:val="20"/>
          <w:color w:val="auto"/>
        </w:rPr>
      </w:pPr>
      <w:r>
        <w:rPr>
          <w:rFonts w:ascii="Arial" w:cs="Arial" w:eastAsia="Arial" w:hAnsi="Arial"/>
          <w:sz w:val="12"/>
          <w:szCs w:val="12"/>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68" w:lineRule="exact"/>
        <w:rPr>
          <w:sz w:val="20"/>
          <w:szCs w:val="20"/>
          <w:color w:val="auto"/>
        </w:rPr>
      </w:pPr>
    </w:p>
    <w:p>
      <w:pPr>
        <w:ind w:left="1560" w:right="1679"/>
        <w:spacing w:after="0" w:line="266" w:lineRule="auto"/>
        <w:rPr>
          <w:sz w:val="20"/>
          <w:szCs w:val="20"/>
          <w:color w:val="auto"/>
        </w:rPr>
      </w:pPr>
      <w:r>
        <w:rPr>
          <w:rFonts w:ascii="Arial" w:cs="Arial" w:eastAsia="Arial" w:hAnsi="Arial"/>
          <w:sz w:val="12"/>
          <w:szCs w:val="12"/>
          <w:i w:val="1"/>
          <w:iCs w:val="1"/>
          <w:color w:val="auto"/>
        </w:rPr>
        <w:t xml:space="preserve">Exempted Company. </w:t>
      </w:r>
      <w:r>
        <w:rPr>
          <w:rFonts w:ascii="Arial" w:cs="Arial" w:eastAsia="Arial" w:hAnsi="Arial"/>
          <w:sz w:val="12"/>
          <w:szCs w:val="12"/>
          <w:color w:val="auto"/>
        </w:rPr>
        <w:t>We are an exempted company with limited liability under the Companies Act.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38" w:lineRule="exact"/>
        <w:rPr>
          <w:sz w:val="20"/>
          <w:szCs w:val="20"/>
          <w:color w:val="auto"/>
        </w:rPr>
      </w:pPr>
    </w:p>
    <w:p>
      <w:pPr>
        <w:ind w:left="1980" w:hanging="157"/>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does not have to file an annual return of its shareholders with the Registrar of Companies;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is not required to open its register of members for inspection;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does not have to hold an annual general meeting;</w:t>
      </w:r>
    </w:p>
    <w:p>
      <w:pPr>
        <w:spacing w:after="0" w:line="55" w:lineRule="exact"/>
        <w:rPr>
          <w:rFonts w:ascii="Arial" w:cs="Arial" w:eastAsia="Arial" w:hAnsi="Arial"/>
          <w:sz w:val="12"/>
          <w:szCs w:val="12"/>
          <w:color w:val="auto"/>
        </w:rPr>
      </w:pPr>
    </w:p>
    <w:p>
      <w:pPr>
        <w:ind w:left="1980" w:right="1919" w:hanging="157"/>
        <w:spacing w:after="0" w:line="308" w:lineRule="auto"/>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may obtain an undertaking against the imposition of any future taxation (such undertakings are usually given for 20 years in the first instance);</w:t>
      </w:r>
    </w:p>
    <w:p>
      <w:pPr>
        <w:spacing w:after="0" w:line="3" w:lineRule="exact"/>
        <w:rPr>
          <w:rFonts w:ascii="Arial" w:cs="Arial" w:eastAsia="Arial" w:hAnsi="Arial"/>
          <w:sz w:val="12"/>
          <w:szCs w:val="12"/>
          <w:color w:val="auto"/>
        </w:rPr>
      </w:pPr>
    </w:p>
    <w:p>
      <w:pPr>
        <w:ind w:left="1980" w:right="1979" w:hanging="157"/>
        <w:spacing w:after="0" w:line="308" w:lineRule="auto"/>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may register by way of continuation in another jurisdiction and be deregistered in the Cayman Islands;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may register as a limited duration company;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may register as a segregated portfolio company.</w:t>
      </w:r>
    </w:p>
    <w:p>
      <w:pPr>
        <w:spacing w:after="0" w:line="113"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Registration Rights</w:t>
      </w:r>
    </w:p>
    <w:p>
      <w:pPr>
        <w:spacing w:after="0" w:line="34" w:lineRule="exact"/>
        <w:rPr>
          <w:sz w:val="20"/>
          <w:szCs w:val="20"/>
          <w:color w:val="auto"/>
        </w:rPr>
      </w:pPr>
    </w:p>
    <w:p>
      <w:pPr>
        <w:ind w:left="1560" w:right="1619"/>
        <w:spacing w:after="0" w:line="265" w:lineRule="auto"/>
        <w:rPr>
          <w:sz w:val="20"/>
          <w:szCs w:val="20"/>
          <w:color w:val="auto"/>
        </w:rPr>
      </w:pPr>
      <w:r>
        <w:rPr>
          <w:rFonts w:ascii="Arial" w:cs="Arial" w:eastAsia="Arial" w:hAnsi="Arial"/>
          <w:sz w:val="12"/>
          <w:szCs w:val="12"/>
          <w:color w:val="auto"/>
        </w:rPr>
        <w:t>Upon the closing of this offering, holders of 67,018,087 of our ordinary shares, or registrable securities, or their permitted transferees or assigns will be entitled to the following rights with respect to the registration of such shares for public resale under the Securities Act pursuant to an investor rights agreement by and among us and certain of our shareholders, until such shares can otherwise be sold without restriction under Rule 144, or until the rights otherwise terminate pursuant to the terms of the investor rights agreement. The registration of our ordinary shares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If at any time beginning six months after the closing of this offering the holders of at least 50% of the registrable securities then outstanding request in writing that we effect a registration with respect to at least 20% of such registrable securities (or a lesser percentage if the anticipated aggregate price to the public from the offering is expected to exceed ten million dollars), we may be required to register their ordinary shares. We are obligated to effect at most two registrations in response to these demand registration rights.</w:t>
      </w:r>
    </w:p>
    <w:p>
      <w:pPr>
        <w:spacing w:after="0" w:line="76"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If at any time after we become entitled under the Securities Act to register securities on a registration statement on Form S-3 (or comparable or substantially similar form), holders holding at least 20% of the registrable securities then outstanding request in writing that we effect a registration with respect to registrable securities at an aggregate price to the public in the offering of at least two million dollars, we will be required to file such registration statement as soon as practicable and in any event within 45 days after the date of such request; provided, however, that we will not be required to effect such a registration if, within the twelve-month period immediately preceding the date of such written request, we have already effected two registrations on Form S-3 for the holders of registrable securities.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0" w:name="page211"/>
    <w:bookmarkEnd w:id="21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68"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Following the closing of this offering, in the event that we propose to register any of our securities for cash, either for our own account or for the account of other shareholders, holders of our registrable securities will be entitled to certain “piggyback” registration rights allowing them to include their registrable securities in such registration, subject to certain marketing and other limitations. As a result, whenever we propose to file a registration statement other than with respect to certain exempt transactions, these holders will be entitled to notice of the registration and will have the right to include their registrable securities in the registration subject to certain limitations.</w:t>
      </w:r>
    </w:p>
    <w:p>
      <w:pPr>
        <w:spacing w:after="0" w:line="78"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Ordinarily, other than selling expenses, we will be required to pay all expenses incurred by us related to any registration effected pursuant to the exercise of these registration rights. These expenses may include all registration, filing, and qualification fees; printers’ and accounting fees; fees and disbursements of our counsel; and reasonable fees and disbursements of a counsel for the selling shareholders.</w:t>
      </w:r>
    </w:p>
    <w:p>
      <w:pPr>
        <w:spacing w:after="0" w:line="73"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The registration rights terminate upon the earliest to occur of: (i) the closing of a liquidation event, as defined in our amended and restated memorandum and articles of association, (ii) the fifth anniversary of the closing of this offering, or (iii) with respect to the registration rights of an individual holder, when the holder can sell all of such holder’s registrable securities without limitation and without registration under Rule 144 under the Securities Act.</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Differences in Corporate Law</w:t>
      </w:r>
    </w:p>
    <w:p>
      <w:pPr>
        <w:spacing w:after="0" w:line="65"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79"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i w:val="1"/>
          <w:iCs w:val="1"/>
          <w:color w:val="auto"/>
        </w:rPr>
        <w:t xml:space="preserve">Mergers and Similar Arrangements. </w:t>
      </w:r>
      <w:r>
        <w:rPr>
          <w:rFonts w:ascii="Arial" w:cs="Arial" w:eastAsia="Arial" w:hAnsi="Arial"/>
          <w:sz w:val="12"/>
          <w:szCs w:val="12"/>
          <w:color w:val="auto"/>
        </w:rPr>
        <w:t>The Companies Act permits mergers and consolidations between</w:t>
      </w:r>
      <w:r>
        <w:rPr>
          <w:rFonts w:ascii="Arial" w:cs="Arial" w:eastAsia="Arial" w:hAnsi="Arial"/>
          <w:sz w:val="12"/>
          <w:szCs w:val="12"/>
          <w:i w:val="1"/>
          <w:iCs w:val="1"/>
          <w:color w:val="auto"/>
        </w:rPr>
        <w:t xml:space="preserve"> </w:t>
      </w:r>
      <w:r>
        <w:rPr>
          <w:rFonts w:ascii="Arial" w:cs="Arial" w:eastAsia="Arial" w:hAnsi="Arial"/>
          <w:sz w:val="12"/>
          <w:szCs w:val="12"/>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83" w:lineRule="exact"/>
        <w:rPr>
          <w:sz w:val="20"/>
          <w:szCs w:val="20"/>
          <w:color w:val="auto"/>
        </w:rPr>
      </w:pPr>
    </w:p>
    <w:p>
      <w:pPr>
        <w:ind w:left="1560" w:right="1639"/>
        <w:spacing w:after="0" w:line="270" w:lineRule="auto"/>
        <w:rPr>
          <w:sz w:val="20"/>
          <w:szCs w:val="20"/>
          <w:color w:val="auto"/>
        </w:rPr>
      </w:pPr>
      <w:r>
        <w:rPr>
          <w:rFonts w:ascii="Arial" w:cs="Arial" w:eastAsia="Arial" w:hAnsi="Arial"/>
          <w:sz w:val="12"/>
          <w:szCs w:val="12"/>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75" w:lineRule="exact"/>
        <w:rPr>
          <w:sz w:val="20"/>
          <w:szCs w:val="20"/>
          <w:color w:val="auto"/>
        </w:rPr>
      </w:pPr>
    </w:p>
    <w:p>
      <w:pPr>
        <w:ind w:left="1560" w:right="1839"/>
        <w:spacing w:after="0" w:line="291" w:lineRule="auto"/>
        <w:rPr>
          <w:sz w:val="20"/>
          <w:szCs w:val="20"/>
          <w:color w:val="auto"/>
        </w:rPr>
      </w:pPr>
      <w:r>
        <w:rPr>
          <w:rFonts w:ascii="Arial" w:cs="Arial" w:eastAsia="Arial" w:hAnsi="Arial"/>
          <w:sz w:val="12"/>
          <w:szCs w:val="12"/>
          <w:color w:val="auto"/>
        </w:rPr>
        <w:t>The consent of each holder of a fixed or floating security interest over a constituent company is required unless this requirement is waived by a court in the Cayman Islands.</w:t>
      </w:r>
    </w:p>
    <w:p>
      <w:pPr>
        <w:spacing w:after="0" w:line="62" w:lineRule="exact"/>
        <w:rPr>
          <w:sz w:val="20"/>
          <w:szCs w:val="20"/>
          <w:color w:val="auto"/>
        </w:rPr>
      </w:pPr>
    </w:p>
    <w:p>
      <w:pPr>
        <w:ind w:left="1560" w:right="1579"/>
        <w:spacing w:after="0" w:line="291" w:lineRule="auto"/>
        <w:rPr>
          <w:sz w:val="20"/>
          <w:szCs w:val="20"/>
          <w:color w:val="auto"/>
        </w:rPr>
      </w:pPr>
      <w:r>
        <w:rPr>
          <w:rFonts w:ascii="Arial" w:cs="Arial" w:eastAsia="Arial" w:hAnsi="Arial"/>
          <w:sz w:val="12"/>
          <w:szCs w:val="12"/>
          <w:color w:val="auto"/>
        </w:rPr>
        <w:t>Save in certain limited circumstances, a shareholder of a Cayman Islands constituent company who dissents from the merger or consolidation is entitled to payment of the fair value of his, her or its shares (which, if not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1" w:name="page212"/>
    <w:bookmarkEnd w:id="21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76"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31" w:lineRule="exact"/>
        <w:rPr>
          <w:sz w:val="20"/>
          <w:szCs w:val="20"/>
          <w:color w:val="auto"/>
        </w:rPr>
      </w:pPr>
    </w:p>
    <w:p>
      <w:pPr>
        <w:ind w:left="1980" w:hanging="157"/>
        <w:spacing w:after="0"/>
        <w:tabs>
          <w:tab w:leader="none" w:pos="1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statutory provisions as to the required majority vote have been met;</w:t>
      </w:r>
    </w:p>
    <w:p>
      <w:pPr>
        <w:spacing w:after="0" w:line="74" w:lineRule="exact"/>
        <w:rPr>
          <w:rFonts w:ascii="Arial" w:cs="Arial" w:eastAsia="Arial" w:hAnsi="Arial"/>
          <w:sz w:val="12"/>
          <w:szCs w:val="12"/>
          <w:color w:val="auto"/>
        </w:rPr>
      </w:pPr>
    </w:p>
    <w:p>
      <w:pPr>
        <w:ind w:left="1980" w:right="1699" w:hanging="157"/>
        <w:spacing w:after="0" w:line="288" w:lineRule="auto"/>
        <w:tabs>
          <w:tab w:leader="none" w:pos="1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shareholders have been fairly represented at the meeting in question and the statutory majority are acting bona fide without coercion of the minority to promote interests adverse to those of the class;</w:t>
      </w:r>
    </w:p>
    <w:p>
      <w:pPr>
        <w:spacing w:after="0" w:line="15"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arrangement is such that may be reasonably approved by an intelligent and honest man of that class acting in respect of his interest; and</w:t>
      </w:r>
    </w:p>
    <w:p>
      <w:pPr>
        <w:spacing w:after="0" w:line="3"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arrangement is not one that would more properly be sanctioned under some other provision of the Companies Act.</w:t>
      </w:r>
    </w:p>
    <w:p>
      <w:pPr>
        <w:spacing w:after="0" w:line="62" w:lineRule="exact"/>
        <w:rPr>
          <w:sz w:val="20"/>
          <w:szCs w:val="20"/>
          <w:color w:val="auto"/>
        </w:rPr>
      </w:pPr>
    </w:p>
    <w:p>
      <w:pPr>
        <w:ind w:left="1560" w:right="1619"/>
        <w:spacing w:after="0" w:line="156" w:lineRule="exact"/>
        <w:rPr>
          <w:sz w:val="20"/>
          <w:szCs w:val="20"/>
          <w:color w:val="auto"/>
        </w:rPr>
      </w:pPr>
      <w:r>
        <w:rPr>
          <w:rFonts w:ascii="Arial" w:cs="Arial" w:eastAsia="Arial" w:hAnsi="Arial"/>
          <w:sz w:val="12"/>
          <w:szCs w:val="12"/>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w:t>
      </w:r>
      <w:r>
        <w:rPr>
          <w:rFonts w:ascii="MS PGothic" w:cs="MS PGothic" w:eastAsia="MS PGothic" w:hAnsi="MS PGothic"/>
          <w:sz w:val="12"/>
          <w:szCs w:val="12"/>
          <w:color w:val="auto"/>
        </w:rPr>
        <w:t>‑</w:t>
      </w:r>
      <w:r>
        <w:rPr>
          <w:rFonts w:ascii="Arial" w:cs="Arial" w:eastAsia="Arial" w:hAnsi="Arial"/>
          <w:sz w:val="12"/>
          <w:szCs w:val="12"/>
          <w:color w:val="auto"/>
        </w:rPr>
        <w:t>months, the offeror may, within a two</w:t>
      </w:r>
      <w:r>
        <w:rPr>
          <w:rFonts w:ascii="MS PGothic" w:cs="MS PGothic" w:eastAsia="MS PGothic" w:hAnsi="MS PGothic"/>
          <w:sz w:val="12"/>
          <w:szCs w:val="12"/>
          <w:color w:val="auto"/>
        </w:rPr>
        <w:t>‑</w:t>
      </w:r>
      <w:r>
        <w:rPr>
          <w:rFonts w:ascii="Arial" w:cs="Arial" w:eastAsia="Arial" w:hAnsi="Arial"/>
          <w:sz w:val="12"/>
          <w:szCs w:val="12"/>
          <w:color w:val="auto"/>
        </w:rPr>
        <w:t>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93"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77" w:lineRule="exact"/>
        <w:rPr>
          <w:sz w:val="20"/>
          <w:szCs w:val="20"/>
          <w:color w:val="auto"/>
        </w:rPr>
      </w:pPr>
    </w:p>
    <w:p>
      <w:pPr>
        <w:ind w:left="1560" w:right="1639"/>
        <w:spacing w:after="0" w:line="275" w:lineRule="auto"/>
        <w:rPr>
          <w:sz w:val="20"/>
          <w:szCs w:val="20"/>
          <w:color w:val="auto"/>
        </w:rPr>
      </w:pPr>
      <w:r>
        <w:rPr>
          <w:rFonts w:ascii="Arial" w:cs="Arial" w:eastAsia="Arial" w:hAnsi="Arial"/>
          <w:sz w:val="12"/>
          <w:szCs w:val="12"/>
          <w:i w:val="1"/>
          <w:iCs w:val="1"/>
          <w:color w:val="auto"/>
        </w:rPr>
        <w:t xml:space="preserve">Shareholders’ Suits. </w:t>
      </w:r>
      <w:r>
        <w:rPr>
          <w:rFonts w:ascii="Arial" w:cs="Arial" w:eastAsia="Arial" w:hAnsi="Arial"/>
          <w:sz w:val="12"/>
          <w:szCs w:val="12"/>
          <w:color w:val="auto"/>
        </w:rPr>
        <w:t>In principle, we will normally be the proper plaintiff to sue for a wrong done to us as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2"/>
          <w:szCs w:val="12"/>
          <w:i w:val="1"/>
          <w:iCs w:val="1"/>
          <w:color w:val="auto"/>
        </w:rPr>
        <w:t>Foss v. Harbottle</w:t>
      </w:r>
      <w:r>
        <w:rPr>
          <w:rFonts w:ascii="Arial" w:cs="Arial" w:eastAsia="Arial" w:hAnsi="Arial"/>
          <w:sz w:val="12"/>
          <w:szCs w:val="12"/>
          <w:color w:val="auto"/>
        </w:rPr>
        <w:t xml:space="preserve"> and the exceptions thereto) so that a non-controlling shareholder may be permitted to commence a class action against or derivative actions in the name of the company to challenge actions where:</w:t>
      </w:r>
    </w:p>
    <w:p>
      <w:pPr>
        <w:spacing w:after="0" w:line="24" w:lineRule="exact"/>
        <w:rPr>
          <w:sz w:val="20"/>
          <w:szCs w:val="20"/>
          <w:color w:val="auto"/>
        </w:rPr>
      </w:pPr>
    </w:p>
    <w:p>
      <w:pPr>
        <w:ind w:left="1980" w:hanging="157"/>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 company acts or proposes to act illegally or ultra vires;</w:t>
      </w:r>
    </w:p>
    <w:p>
      <w:pPr>
        <w:spacing w:after="0" w:line="74"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act complained of, although not ultra vires, could only be effected duly if authorized by more than a simple majority vote that has not been obtained; and</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those who control the company are perpetrating a “fraud on the minority.”</w:t>
      </w:r>
    </w:p>
    <w:p>
      <w:pPr>
        <w:spacing w:after="0" w:line="123"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i w:val="1"/>
          <w:iCs w:val="1"/>
          <w:color w:val="auto"/>
        </w:rPr>
        <w:t xml:space="preserve">Indemnification of Directors and Executive Officers and Limitation of Liability. </w:t>
      </w:r>
      <w:r>
        <w:rPr>
          <w:rFonts w:ascii="Arial" w:cs="Arial" w:eastAsia="Arial" w:hAnsi="Arial"/>
          <w:sz w:val="12"/>
          <w:szCs w:val="12"/>
          <w:color w:val="auto"/>
        </w:rPr>
        <w:t>Cayman Islands law does not</w:t>
      </w:r>
      <w:r>
        <w:rPr>
          <w:rFonts w:ascii="Arial" w:cs="Arial" w:eastAsia="Arial" w:hAnsi="Arial"/>
          <w:sz w:val="12"/>
          <w:szCs w:val="12"/>
          <w:i w:val="1"/>
          <w:iCs w:val="1"/>
          <w:color w:val="auto"/>
        </w:rPr>
        <w:t xml:space="preserve"> </w:t>
      </w:r>
      <w:r>
        <w:rPr>
          <w:rFonts w:ascii="Arial" w:cs="Arial" w:eastAsia="Arial" w:hAnsi="Arial"/>
          <w:sz w:val="12"/>
          <w:szCs w:val="12"/>
          <w:color w:val="auto"/>
        </w:rPr>
        <w:t>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 or officer, other than by reason of such person’s dishonesty, willful default or fraud, in or about the conduct of our company’s business or affairs (including as a</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2" w:name="page213"/>
    <w:bookmarkEnd w:id="21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result of any mistake of judgment) or in the execution or discharge of his or her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78"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color w:val="auto"/>
        </w:rPr>
        <w:t>In addition, we intend to enter into indemnification agreements with our directors and executive officers prior to the completion of this offering, that provide such persons with additional indemnification beyond that provided in our amended and restated memorandum and articles of association.</w:t>
      </w:r>
    </w:p>
    <w:p>
      <w:pPr>
        <w:spacing w:after="0" w:line="72" w:lineRule="exact"/>
        <w:rPr>
          <w:sz w:val="20"/>
          <w:szCs w:val="20"/>
          <w:color w:val="auto"/>
        </w:rPr>
      </w:pPr>
    </w:p>
    <w:p>
      <w:pPr>
        <w:ind w:left="1560" w:right="1679"/>
        <w:spacing w:after="0" w:line="271"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83" w:lineRule="exact"/>
        <w:rPr>
          <w:sz w:val="20"/>
          <w:szCs w:val="20"/>
          <w:color w:val="auto"/>
        </w:rPr>
      </w:pPr>
    </w:p>
    <w:p>
      <w:pPr>
        <w:ind w:left="1560" w:right="1659"/>
        <w:spacing w:after="0" w:line="271" w:lineRule="auto"/>
        <w:rPr>
          <w:sz w:val="20"/>
          <w:szCs w:val="20"/>
          <w:color w:val="auto"/>
        </w:rPr>
      </w:pPr>
      <w:r>
        <w:rPr>
          <w:rFonts w:ascii="Arial" w:cs="Arial" w:eastAsia="Arial" w:hAnsi="Arial"/>
          <w:sz w:val="12"/>
          <w:szCs w:val="12"/>
          <w:i w:val="1"/>
          <w:iCs w:val="1"/>
          <w:color w:val="auto"/>
        </w:rPr>
        <w:t xml:space="preserve">Directors’ Fiduciary Duties. </w:t>
      </w:r>
      <w:r>
        <w:rPr>
          <w:rFonts w:ascii="Arial" w:cs="Arial" w:eastAsia="Arial" w:hAnsi="Arial"/>
          <w:sz w:val="12"/>
          <w:szCs w:val="12"/>
          <w:color w:val="auto"/>
        </w:rPr>
        <w:t>Under Delaware corporate law, a director of a Delaware corporation has a</w:t>
      </w:r>
      <w:r>
        <w:rPr>
          <w:rFonts w:ascii="Arial" w:cs="Arial" w:eastAsia="Arial" w:hAnsi="Arial"/>
          <w:sz w:val="12"/>
          <w:szCs w:val="12"/>
          <w:i w:val="1"/>
          <w:iCs w:val="1"/>
          <w:color w:val="auto"/>
        </w:rPr>
        <w:t xml:space="preserve"> </w:t>
      </w:r>
      <w:r>
        <w:rPr>
          <w:rFonts w:ascii="Arial" w:cs="Arial" w:eastAsia="Arial" w:hAnsi="Arial"/>
          <w:sz w:val="12"/>
          <w:szCs w:val="12"/>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90"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81"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i w:val="1"/>
          <w:iCs w:val="1"/>
          <w:color w:val="auto"/>
        </w:rPr>
        <w:t xml:space="preserve">Shareholder Action by Written Resolution. </w:t>
      </w:r>
      <w:r>
        <w:rPr>
          <w:rFonts w:ascii="Arial" w:cs="Arial" w:eastAsia="Arial" w:hAnsi="Arial"/>
          <w:sz w:val="12"/>
          <w:szCs w:val="12"/>
          <w:color w:val="auto"/>
        </w:rPr>
        <w:t>Under the Delaware General Corporation Law, a corporation</w:t>
      </w:r>
      <w:r>
        <w:rPr>
          <w:rFonts w:ascii="Arial" w:cs="Arial" w:eastAsia="Arial" w:hAnsi="Arial"/>
          <w:sz w:val="12"/>
          <w:szCs w:val="12"/>
          <w:i w:val="1"/>
          <w:iCs w:val="1"/>
          <w:color w:val="auto"/>
        </w:rPr>
        <w:t xml:space="preserve"> </w:t>
      </w:r>
      <w:r>
        <w:rPr>
          <w:rFonts w:ascii="Arial" w:cs="Arial" w:eastAsia="Arial" w:hAnsi="Arial"/>
          <w:sz w:val="12"/>
          <w:szCs w:val="12"/>
          <w:color w:val="auto"/>
        </w:rPr>
        <w:t>may eliminate the right of shareholders to act by written consent by amendment to its certificate of incorporation. Our amended and restated articles of association provide that no action shall be taken by the shareholders except at an annual or extraordinary general meeting called in accordance with our amended and restated articles of association and no action shall be taken by the shareholders by written consent or electronic transmission.</w:t>
      </w:r>
    </w:p>
    <w:p>
      <w:pPr>
        <w:spacing w:after="0" w:line="73" w:lineRule="exact"/>
        <w:rPr>
          <w:sz w:val="20"/>
          <w:szCs w:val="20"/>
          <w:color w:val="auto"/>
        </w:rPr>
      </w:pPr>
    </w:p>
    <w:p>
      <w:pPr>
        <w:ind w:left="1560" w:right="1719"/>
        <w:spacing w:after="0" w:line="278" w:lineRule="auto"/>
        <w:rPr>
          <w:sz w:val="20"/>
          <w:szCs w:val="20"/>
          <w:color w:val="auto"/>
        </w:rPr>
      </w:pPr>
      <w:r>
        <w:rPr>
          <w:rFonts w:ascii="Arial" w:cs="Arial" w:eastAsia="Arial" w:hAnsi="Arial"/>
          <w:sz w:val="12"/>
          <w:szCs w:val="12"/>
          <w:i w:val="1"/>
          <w:iCs w:val="1"/>
          <w:color w:val="auto"/>
        </w:rPr>
        <w:t xml:space="preserve">Shareholder Proposals. </w:t>
      </w:r>
      <w:r>
        <w:rPr>
          <w:rFonts w:ascii="Arial" w:cs="Arial" w:eastAsia="Arial" w:hAnsi="Arial"/>
          <w:sz w:val="12"/>
          <w:szCs w:val="12"/>
          <w:color w:val="auto"/>
        </w:rPr>
        <w:t>Under the Delaware General Corporation Law, a shareholder has the right to put</w:t>
      </w:r>
      <w:r>
        <w:rPr>
          <w:rFonts w:ascii="Arial" w:cs="Arial" w:eastAsia="Arial" w:hAnsi="Arial"/>
          <w:sz w:val="12"/>
          <w:szCs w:val="12"/>
          <w:i w:val="1"/>
          <w:iCs w:val="1"/>
          <w:color w:val="auto"/>
        </w:rPr>
        <w:t xml:space="preserve"> </w:t>
      </w:r>
      <w:r>
        <w:rPr>
          <w:rFonts w:ascii="Arial" w:cs="Arial" w:eastAsia="Arial" w:hAnsi="Arial"/>
          <w:sz w:val="12"/>
          <w:szCs w:val="12"/>
          <w:color w:val="auto"/>
        </w:rPr>
        <w:t>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81"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The Companies Act provides shareholders with only limited rights to requisition a general meeting. However, these rights may be provided in a company’s articles of association. Our amended and restated articles of association allow our shareholders holding in aggregate not less than one-third of all votes attaching to the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3" w:name="page214"/>
    <w:bookmarkEnd w:id="21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issued and outstanding shares of our company entitled to vote at general meetings to requisition an extraordinary general meeting of our shareholders, in which case our board of directors is obliged to convene an extraordinary general meeting and to put the resolutions so requisitioned to a vote at such meeting. As an exempted Cayman Islands company, we may but are not obliged by law to call shareholders’ annual general meetings. See the section titled “Our Amended and Restated Memorandum and Articles of Association—General​ Meetings of Shareholders” for more information on the rights of our shareholders to put proposals before the annual general meeting.</w:t>
      </w:r>
    </w:p>
    <w:p>
      <w:pPr>
        <w:spacing w:after="0" w:line="78" w:lineRule="exact"/>
        <w:rPr>
          <w:sz w:val="20"/>
          <w:szCs w:val="20"/>
          <w:color w:val="auto"/>
        </w:rPr>
      </w:pPr>
    </w:p>
    <w:p>
      <w:pPr>
        <w:ind w:left="1560" w:right="1639"/>
        <w:spacing w:after="0" w:line="262" w:lineRule="auto"/>
        <w:rPr>
          <w:sz w:val="20"/>
          <w:szCs w:val="20"/>
          <w:color w:val="auto"/>
        </w:rPr>
      </w:pPr>
      <w:r>
        <w:rPr>
          <w:rFonts w:ascii="Arial" w:cs="Arial" w:eastAsia="Arial" w:hAnsi="Arial"/>
          <w:sz w:val="12"/>
          <w:szCs w:val="12"/>
          <w:i w:val="1"/>
          <w:iCs w:val="1"/>
          <w:color w:val="auto"/>
        </w:rPr>
        <w:t xml:space="preserve">Cumulative Voting. </w:t>
      </w:r>
      <w:r>
        <w:rPr>
          <w:rFonts w:ascii="Arial" w:cs="Arial" w:eastAsia="Arial" w:hAnsi="Arial"/>
          <w:sz w:val="12"/>
          <w:szCs w:val="12"/>
          <w:color w:val="auto"/>
        </w:rPr>
        <w:t>Under the Delaware General Corporation Law, cumulative voting for elections of</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81" w:lineRule="exact"/>
        <w:rPr>
          <w:sz w:val="20"/>
          <w:szCs w:val="20"/>
          <w:color w:val="auto"/>
        </w:rPr>
      </w:pPr>
    </w:p>
    <w:p>
      <w:pPr>
        <w:ind w:left="1560" w:right="1679"/>
        <w:spacing w:after="0" w:line="261" w:lineRule="auto"/>
        <w:rPr>
          <w:sz w:val="20"/>
          <w:szCs w:val="20"/>
          <w:color w:val="auto"/>
        </w:rPr>
      </w:pPr>
      <w:r>
        <w:rPr>
          <w:rFonts w:ascii="Arial" w:cs="Arial" w:eastAsia="Arial" w:hAnsi="Arial"/>
          <w:sz w:val="12"/>
          <w:szCs w:val="12"/>
          <w:i w:val="1"/>
          <w:iCs w:val="1"/>
          <w:color w:val="auto"/>
        </w:rPr>
        <w:t xml:space="preserve">Removal of Directors. </w:t>
      </w:r>
      <w:r>
        <w:rPr>
          <w:rFonts w:ascii="Arial" w:cs="Arial" w:eastAsia="Arial" w:hAnsi="Arial"/>
          <w:sz w:val="12"/>
          <w:szCs w:val="12"/>
          <w:color w:val="auto"/>
        </w:rPr>
        <w:t>Under the Delaware General Corporation Law, a director of a corporation with a</w:t>
      </w:r>
      <w:r>
        <w:rPr>
          <w:rFonts w:ascii="Arial" w:cs="Arial" w:eastAsia="Arial" w:hAnsi="Arial"/>
          <w:sz w:val="12"/>
          <w:szCs w:val="12"/>
          <w:i w:val="1"/>
          <w:iCs w:val="1"/>
          <w:color w:val="auto"/>
        </w:rPr>
        <w:t xml:space="preserve"> </w:t>
      </w:r>
      <w:r>
        <w:rPr>
          <w:rFonts w:ascii="Arial" w:cs="Arial" w:eastAsia="Arial" w:hAnsi="Arial"/>
          <w:sz w:val="12"/>
          <w:szCs w:val="12"/>
          <w:color w:val="auto"/>
        </w:rPr>
        <w:t>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w:t>
      </w:r>
    </w:p>
    <w:p>
      <w:pPr>
        <w:spacing w:after="0" w:line="1" w:lineRule="exact"/>
        <w:rPr>
          <w:sz w:val="20"/>
          <w:szCs w:val="20"/>
          <w:color w:val="auto"/>
        </w:rPr>
      </w:pPr>
    </w:p>
    <w:p>
      <w:pPr>
        <w:jc w:val="both"/>
        <w:ind w:left="1560" w:right="1719" w:firstLine="5"/>
        <w:spacing w:after="0" w:line="264" w:lineRule="auto"/>
        <w:tabs>
          <w:tab w:leader="none" w:pos="175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resigns his or her office by notice in writing to the company; (iv) without special leave of absence from our board of directors, is absent from three consecutive meetings of the board and the board resolves that his or her office be vacated; or (v) is removed from office pursuant to any other provisions of our amended and restated memorandum and articles of association.</w:t>
      </w:r>
    </w:p>
    <w:p>
      <w:pPr>
        <w:spacing w:after="0" w:line="77"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i w:val="1"/>
          <w:iCs w:val="1"/>
          <w:color w:val="auto"/>
        </w:rPr>
        <w:t xml:space="preserve">Transactions with Interested Shareholders. </w:t>
      </w:r>
      <w:r>
        <w:rPr>
          <w:rFonts w:ascii="Arial" w:cs="Arial" w:eastAsia="Arial" w:hAnsi="Arial"/>
          <w:sz w:val="12"/>
          <w:szCs w:val="12"/>
          <w:color w:val="auto"/>
        </w:rPr>
        <w:t>The Delaware General Corporation Law contains a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85"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76"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i w:val="1"/>
          <w:iCs w:val="1"/>
          <w:color w:val="auto"/>
        </w:rPr>
        <w:t xml:space="preserve">Dissolution; Winding Up. </w:t>
      </w:r>
      <w:r>
        <w:rPr>
          <w:rFonts w:ascii="Arial" w:cs="Arial" w:eastAsia="Arial" w:hAnsi="Arial"/>
          <w:sz w:val="12"/>
          <w:szCs w:val="12"/>
          <w:color w:val="auto"/>
        </w:rPr>
        <w:t>Under the Delaware General Corporation Law, unless the board of directors</w:t>
      </w:r>
      <w:r>
        <w:rPr>
          <w:rFonts w:ascii="Arial" w:cs="Arial" w:eastAsia="Arial" w:hAnsi="Arial"/>
          <w:sz w:val="12"/>
          <w:szCs w:val="12"/>
          <w:i w:val="1"/>
          <w:iCs w:val="1"/>
          <w:color w:val="auto"/>
        </w:rPr>
        <w:t xml:space="preserve"> </w:t>
      </w:r>
      <w:r>
        <w:rPr>
          <w:rFonts w:ascii="Arial" w:cs="Arial" w:eastAsia="Arial" w:hAnsi="Arial"/>
          <w:sz w:val="12"/>
          <w:szCs w:val="12"/>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78" w:lineRule="exact"/>
        <w:rPr>
          <w:sz w:val="20"/>
          <w:szCs w:val="20"/>
          <w:color w:val="auto"/>
        </w:rPr>
      </w:pPr>
    </w:p>
    <w:p>
      <w:pPr>
        <w:ind w:left="1560" w:right="1719"/>
        <w:spacing w:after="0" w:line="266" w:lineRule="auto"/>
        <w:rPr>
          <w:sz w:val="20"/>
          <w:szCs w:val="20"/>
          <w:color w:val="auto"/>
        </w:rPr>
      </w:pPr>
      <w:r>
        <w:rPr>
          <w:rFonts w:ascii="Arial" w:cs="Arial" w:eastAsia="Arial" w:hAnsi="Arial"/>
          <w:sz w:val="12"/>
          <w:szCs w:val="12"/>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4" w:name="page215"/>
    <w:bookmarkEnd w:id="21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879"/>
        <w:spacing w:after="0" w:line="308" w:lineRule="auto"/>
        <w:rPr>
          <w:sz w:val="20"/>
          <w:szCs w:val="20"/>
          <w:color w:val="auto"/>
        </w:rPr>
      </w:pPr>
      <w:r>
        <w:rPr>
          <w:rFonts w:ascii="Arial" w:cs="Arial" w:eastAsia="Arial" w:hAnsi="Arial"/>
          <w:sz w:val="12"/>
          <w:szCs w:val="12"/>
          <w:color w:val="auto"/>
        </w:rPr>
        <w:t>Act and our amended and restated articles of association, our company may be dissolved, liquidated or wound up by a special resolution of our shareholders.</w:t>
      </w:r>
    </w:p>
    <w:p>
      <w:pPr>
        <w:spacing w:after="0" w:line="62" w:lineRule="exact"/>
        <w:rPr>
          <w:sz w:val="20"/>
          <w:szCs w:val="20"/>
          <w:color w:val="auto"/>
        </w:rPr>
      </w:pPr>
    </w:p>
    <w:p>
      <w:pPr>
        <w:ind w:left="1560" w:right="1639"/>
        <w:spacing w:after="0" w:line="275" w:lineRule="auto"/>
        <w:rPr>
          <w:sz w:val="20"/>
          <w:szCs w:val="20"/>
          <w:color w:val="auto"/>
        </w:rPr>
      </w:pPr>
      <w:r>
        <w:rPr>
          <w:rFonts w:ascii="Arial" w:cs="Arial" w:eastAsia="Arial" w:hAnsi="Arial"/>
          <w:sz w:val="12"/>
          <w:szCs w:val="12"/>
          <w:i w:val="1"/>
          <w:iCs w:val="1"/>
          <w:color w:val="auto"/>
        </w:rPr>
        <w:t xml:space="preserve">Variation of Rights of Shares. </w:t>
      </w:r>
      <w:r>
        <w:rPr>
          <w:rFonts w:ascii="Arial" w:cs="Arial" w:eastAsia="Arial" w:hAnsi="Arial"/>
          <w:sz w:val="12"/>
          <w:szCs w:val="12"/>
          <w:color w:val="auto"/>
        </w:rPr>
        <w:t>Under the Delaware General Corporation Law, a corporation may vary the</w:t>
      </w:r>
      <w:r>
        <w:rPr>
          <w:rFonts w:ascii="Arial" w:cs="Arial" w:eastAsia="Arial" w:hAnsi="Arial"/>
          <w:sz w:val="12"/>
          <w:szCs w:val="12"/>
          <w:i w:val="1"/>
          <w:iCs w:val="1"/>
          <w:color w:val="auto"/>
        </w:rPr>
        <w:t xml:space="preserve"> </w:t>
      </w:r>
      <w:r>
        <w:rPr>
          <w:rFonts w:ascii="Arial" w:cs="Arial" w:eastAsia="Arial" w:hAnsi="Arial"/>
          <w:sz w:val="12"/>
          <w:szCs w:val="12"/>
          <w:color w:val="auto"/>
        </w:rPr>
        <w:t>rights of a class of shares with the approval of a majority of the outstanding shares of such class, unless the certificate of incorporation provides otherwise. Under Cayman Islands law and our amended and restated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pacing w:after="0" w:line="73"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i w:val="1"/>
          <w:iCs w:val="1"/>
          <w:color w:val="auto"/>
        </w:rPr>
        <w:t xml:space="preserve">Amendment of Governing Documents. </w:t>
      </w:r>
      <w:r>
        <w:rPr>
          <w:rFonts w:ascii="Arial" w:cs="Arial" w:eastAsia="Arial" w:hAnsi="Arial"/>
          <w:sz w:val="12"/>
          <w:szCs w:val="12"/>
          <w:color w:val="auto"/>
        </w:rPr>
        <w:t>Under the Delaware General Corporation Law, a corporation’s</w:t>
      </w:r>
      <w:r>
        <w:rPr>
          <w:rFonts w:ascii="Arial" w:cs="Arial" w:eastAsia="Arial" w:hAnsi="Arial"/>
          <w:sz w:val="12"/>
          <w:szCs w:val="12"/>
          <w:i w:val="1"/>
          <w:iCs w:val="1"/>
          <w:color w:val="auto"/>
        </w:rPr>
        <w:t xml:space="preserve"> </w:t>
      </w:r>
      <w:r>
        <w:rPr>
          <w:rFonts w:ascii="Arial" w:cs="Arial" w:eastAsia="Arial" w:hAnsi="Arial"/>
          <w:sz w:val="12"/>
          <w:szCs w:val="12"/>
          <w:color w:val="auto"/>
        </w:rPr>
        <w:t>governing documents may be amended with the approval of a majority of the outstanding shares entitled to vote, unless the certificate of incorporation provides otherwise. Under the Companies Act and our amended and restated memorandum and articles of association, our memorandum and articles of association may only be amended by a special resolution of our shareholders.</w:t>
      </w:r>
    </w:p>
    <w:p>
      <w:pPr>
        <w:spacing w:after="0" w:line="81" w:lineRule="exact"/>
        <w:rPr>
          <w:sz w:val="20"/>
          <w:szCs w:val="20"/>
          <w:color w:val="auto"/>
        </w:rPr>
      </w:pPr>
    </w:p>
    <w:p>
      <w:pPr>
        <w:ind w:left="1560" w:right="1719"/>
        <w:spacing w:after="0" w:line="278" w:lineRule="auto"/>
        <w:rPr>
          <w:sz w:val="20"/>
          <w:szCs w:val="20"/>
          <w:color w:val="auto"/>
        </w:rPr>
      </w:pPr>
      <w:r>
        <w:rPr>
          <w:rFonts w:ascii="Arial" w:cs="Arial" w:eastAsia="Arial" w:hAnsi="Arial"/>
          <w:sz w:val="12"/>
          <w:szCs w:val="12"/>
          <w:i w:val="1"/>
          <w:iCs w:val="1"/>
          <w:color w:val="auto"/>
        </w:rPr>
        <w:t xml:space="preserve">Rights of Non-resident or Foreign Shareholders. </w:t>
      </w:r>
      <w:r>
        <w:rPr>
          <w:rFonts w:ascii="Arial" w:cs="Arial" w:eastAsia="Arial" w:hAnsi="Arial"/>
          <w:sz w:val="12"/>
          <w:szCs w:val="12"/>
          <w:color w:val="auto"/>
        </w:rPr>
        <w:t>There are no limitations imposed by our amended and</w:t>
      </w:r>
      <w:r>
        <w:rPr>
          <w:rFonts w:ascii="Arial" w:cs="Arial" w:eastAsia="Arial" w:hAnsi="Arial"/>
          <w:sz w:val="12"/>
          <w:szCs w:val="12"/>
          <w:i w:val="1"/>
          <w:iCs w:val="1"/>
          <w:color w:val="auto"/>
        </w:rPr>
        <w:t xml:space="preserve"> </w:t>
      </w:r>
      <w:r>
        <w:rPr>
          <w:rFonts w:ascii="Arial" w:cs="Arial" w:eastAsia="Arial" w:hAnsi="Arial"/>
          <w:sz w:val="12"/>
          <w:szCs w:val="12"/>
          <w:color w:val="auto"/>
        </w:rPr>
        <w:t>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Listing</w:t>
      </w:r>
    </w:p>
    <w:p>
      <w:pPr>
        <w:spacing w:after="0" w:line="7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ADSs have been approved for listing on the Nasdaq Global Market under the trading symbol “GPCR.”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5" w:name="page216"/>
    <w:bookmarkEnd w:id="215"/>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DESCRIPTION OF AMERICAN DEPOSITARY SHARES</w:t>
      </w: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American Depositary Receipts</w:t>
      </w:r>
    </w:p>
    <w:p>
      <w:pPr>
        <w:spacing w:after="0" w:line="104"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JPMorgan Chase Bank, N.A., as depositary, will issue the ADS(s) which you will be entitled to receive in this offering. Each ADS will represent an ownership interest in a designated number of our ordinary shares which we will deposit with the custodian, as agent of the depositary, under the deposit agreement among ourselves, the depositary, yourself as a holder of American depositary receipt(s) that evidence the ADSs, or ADR(s), and all other ADR holders, and all beneficial owners of an interest in the ADSs evidenced by ADRs from time to time.</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depositary’s office is located at 383 Madison Avenue, Floor 11, New York, NY 10179.</w:t>
      </w:r>
    </w:p>
    <w:p>
      <w:pPr>
        <w:spacing w:after="0" w:line="123"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64"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A beneficial owner is any person or entity having a beneficial ownership interest in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237"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82" w:lineRule="exact"/>
        <w:rPr>
          <w:sz w:val="20"/>
          <w:szCs w:val="20"/>
          <w:color w:val="auto"/>
        </w:rPr>
      </w:pPr>
    </w:p>
    <w:p>
      <w:pPr>
        <w:ind w:left="1560" w:right="1579"/>
        <w:spacing w:after="0" w:line="282" w:lineRule="auto"/>
        <w:rPr>
          <w:sz w:val="20"/>
          <w:szCs w:val="20"/>
          <w:color w:val="auto"/>
        </w:rPr>
      </w:pPr>
      <w:r>
        <w:rPr>
          <w:rFonts w:ascii="Arial" w:cs="Arial" w:eastAsia="Arial" w:hAnsi="Arial"/>
          <w:sz w:val="12"/>
          <w:szCs w:val="12"/>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67"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82" w:lineRule="exact"/>
        <w:rPr>
          <w:sz w:val="20"/>
          <w:szCs w:val="20"/>
          <w:color w:val="auto"/>
        </w:rPr>
      </w:pPr>
    </w:p>
    <w:p>
      <w:pPr>
        <w:ind w:left="1560" w:right="1699"/>
        <w:spacing w:after="0" w:line="273" w:lineRule="auto"/>
        <w:rPr>
          <w:sz w:val="20"/>
          <w:szCs w:val="20"/>
          <w:color w:val="auto"/>
        </w:rPr>
      </w:pPr>
      <w:r>
        <w:rPr>
          <w:rFonts w:ascii="Arial" w:cs="Arial" w:eastAsia="Arial" w:hAnsi="Arial"/>
          <w:sz w:val="12"/>
          <w:szCs w:val="12"/>
          <w:color w:val="auto"/>
        </w:rPr>
        <w:t>As an ADR holder or beneficial owner,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84"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6" w:name="page217"/>
    <w:bookmarkEnd w:id="21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2119"/>
        <w:spacing w:after="0" w:line="291" w:lineRule="auto"/>
        <w:rPr>
          <w:sz w:val="20"/>
          <w:szCs w:val="20"/>
          <w:color w:val="auto"/>
        </w:rPr>
      </w:pPr>
      <w:r>
        <w:rPr>
          <w:rFonts w:ascii="Arial" w:cs="Arial" w:eastAsia="Arial" w:hAnsi="Arial"/>
          <w:sz w:val="12"/>
          <w:szCs w:val="12"/>
          <w:color w:val="auto"/>
        </w:rPr>
        <w:t>an exhibit to the registration statement of which this prospectus forms a part. You may also find the registration statement and the attached deposit agreement on the SEC’s website at www.sec.gov.</w:t>
      </w:r>
    </w:p>
    <w:p>
      <w:pPr>
        <w:spacing w:after="0" w:line="7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Share Dividends and Other Distributions</w:t>
      </w:r>
    </w:p>
    <w:p>
      <w:pPr>
        <w:spacing w:after="0" w:line="6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How will I receive dividends and other distributions on the shares underlying my ADSs?</w:t>
      </w:r>
    </w:p>
    <w:p>
      <w:pPr>
        <w:spacing w:after="0" w:line="34"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80" w:lineRule="exact"/>
        <w:rPr>
          <w:sz w:val="20"/>
          <w:szCs w:val="20"/>
          <w:color w:val="auto"/>
        </w:rPr>
      </w:pPr>
    </w:p>
    <w:p>
      <w:pPr>
        <w:ind w:left="1560" w:right="1799"/>
        <w:spacing w:after="0" w:line="308" w:lineRule="auto"/>
        <w:rPr>
          <w:sz w:val="20"/>
          <w:szCs w:val="20"/>
          <w:color w:val="auto"/>
        </w:rPr>
      </w:pPr>
      <w:r>
        <w:rPr>
          <w:rFonts w:ascii="Arial" w:cs="Arial" w:eastAsia="Arial" w:hAnsi="Arial"/>
          <w:sz w:val="12"/>
          <w:szCs w:val="12"/>
          <w:color w:val="auto"/>
        </w:rPr>
        <w:t>Except as stated below, the depositary will deliver such distributions to ADR holders in proportion to their interests in the following manner:</w:t>
      </w:r>
    </w:p>
    <w:p>
      <w:pPr>
        <w:spacing w:after="0" w:line="4" w:lineRule="exact"/>
        <w:rPr>
          <w:sz w:val="20"/>
          <w:szCs w:val="20"/>
          <w:color w:val="auto"/>
        </w:rPr>
      </w:pPr>
    </w:p>
    <w:p>
      <w:pPr>
        <w:ind w:left="1980" w:right="1619" w:hanging="157"/>
        <w:spacing w:after="0" w:line="271" w:lineRule="auto"/>
        <w:tabs>
          <w:tab w:leader="none" w:pos="1980" w:val="left"/>
        </w:tabs>
        <w:numPr>
          <w:ilvl w:val="0"/>
          <w:numId w:val="119"/>
        </w:numPr>
        <w:rPr>
          <w:rFonts w:ascii="Arial" w:cs="Arial" w:eastAsia="Arial" w:hAnsi="Arial"/>
          <w:sz w:val="12"/>
          <w:szCs w:val="12"/>
          <w:color w:val="auto"/>
        </w:rPr>
      </w:pPr>
      <w:r>
        <w:rPr>
          <w:rFonts w:ascii="Arial" w:cs="Arial" w:eastAsia="Arial" w:hAnsi="Arial"/>
          <w:sz w:val="12"/>
          <w:szCs w:val="12"/>
          <w:i w:val="1"/>
          <w:iCs w:val="1"/>
          <w:color w:val="auto"/>
        </w:rPr>
        <w:t xml:space="preserve">Cash. </w:t>
      </w:r>
      <w:r>
        <w:rPr>
          <w:rFonts w:ascii="Arial" w:cs="Arial" w:eastAsia="Arial" w:hAnsi="Arial"/>
          <w:sz w:val="12"/>
          <w:szCs w:val="12"/>
          <w:color w:val="auto"/>
        </w:rPr>
        <w:t>The depositary will distribute any U.S. dollars available to it resulting from a cash dividend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w:t>
      </w:r>
    </w:p>
    <w:p>
      <w:pPr>
        <w:ind w:left="1980" w:right="1579" w:hanging="3"/>
        <w:spacing w:after="0" w:line="271" w:lineRule="auto"/>
        <w:tabs>
          <w:tab w:leader="none" w:pos="2164" w:val="left"/>
        </w:tabs>
        <w:numPr>
          <w:ilvl w:val="1"/>
          <w:numId w:val="119"/>
        </w:numPr>
        <w:rPr>
          <w:rFonts w:ascii="Arial" w:cs="Arial" w:eastAsia="Arial" w:hAnsi="Arial"/>
          <w:sz w:val="12"/>
          <w:szCs w:val="12"/>
          <w:color w:val="auto"/>
        </w:rPr>
      </w:pPr>
      <w:r>
        <w:rPr>
          <w:rFonts w:ascii="Arial" w:cs="Arial" w:eastAsia="Arial" w:hAnsi="Arial"/>
          <w:sz w:val="12"/>
          <w:szCs w:val="12"/>
          <w:color w:val="auto"/>
        </w:rPr>
        <w:t xml:space="preserve">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To the extent the depositary does not reasonably believe it will be permitted by applicable law, rule or regulation to convert foreign currency into U.S. dollars and distribute such U.S. dollars to some or all holders, the depositary may in its discretion distribute the foreign currency received by the depositary to, or hold such foreign currency uninvested and without liability for interest thereon for the respective accounts of, the holders entitled to receive the same. To the extent the depositary holds such foreign currency, any and all costs and expenses related to, or arising from, the holding of such foreign currency shall be paid from such foreign currency thereby reducing the amount so held. </w:t>
      </w:r>
      <w:r>
        <w:rPr>
          <w:rFonts w:ascii="Arial" w:cs="Arial" w:eastAsia="Arial" w:hAnsi="Arial"/>
          <w:sz w:val="12"/>
          <w:szCs w:val="12"/>
          <w:i w:val="1"/>
          <w:iCs w:val="1"/>
          <w:color w:val="auto"/>
        </w:rPr>
        <w:t>If exchange rates fluctuate during a time when the depositary cannot</w:t>
      </w:r>
      <w:r>
        <w:rPr>
          <w:rFonts w:ascii="Arial" w:cs="Arial" w:eastAsia="Arial" w:hAnsi="Arial"/>
          <w:sz w:val="12"/>
          <w:szCs w:val="12"/>
          <w:color w:val="auto"/>
        </w:rPr>
        <w:t xml:space="preserve"> </w:t>
      </w:r>
      <w:r>
        <w:rPr>
          <w:rFonts w:ascii="Arial" w:cs="Arial" w:eastAsia="Arial" w:hAnsi="Arial"/>
          <w:sz w:val="12"/>
          <w:szCs w:val="12"/>
          <w:i w:val="1"/>
          <w:iCs w:val="1"/>
          <w:color w:val="auto"/>
        </w:rPr>
        <w:t>convert a foreign currency, you may lose some or all of the value of the distribution.</w:t>
      </w:r>
    </w:p>
    <w:p>
      <w:pPr>
        <w:spacing w:after="0" w:line="25" w:lineRule="exact"/>
        <w:rPr>
          <w:rFonts w:ascii="Arial" w:cs="Arial" w:eastAsia="Arial" w:hAnsi="Arial"/>
          <w:sz w:val="12"/>
          <w:szCs w:val="12"/>
          <w:color w:val="auto"/>
        </w:rPr>
      </w:pPr>
    </w:p>
    <w:p>
      <w:pPr>
        <w:ind w:left="1980" w:right="1599" w:hanging="157"/>
        <w:spacing w:after="0" w:line="282" w:lineRule="auto"/>
        <w:tabs>
          <w:tab w:leader="none" w:pos="1980" w:val="left"/>
        </w:tabs>
        <w:numPr>
          <w:ilvl w:val="0"/>
          <w:numId w:val="119"/>
        </w:numPr>
        <w:rPr>
          <w:rFonts w:ascii="Arial" w:cs="Arial" w:eastAsia="Arial" w:hAnsi="Arial"/>
          <w:sz w:val="12"/>
          <w:szCs w:val="12"/>
          <w:color w:val="auto"/>
        </w:rPr>
      </w:pPr>
      <w:r>
        <w:rPr>
          <w:rFonts w:ascii="Arial" w:cs="Arial" w:eastAsia="Arial" w:hAnsi="Arial"/>
          <w:sz w:val="12"/>
          <w:szCs w:val="12"/>
          <w:i w:val="1"/>
          <w:iCs w:val="1"/>
          <w:color w:val="auto"/>
        </w:rPr>
        <w:t xml:space="preserve">Shares. </w:t>
      </w:r>
      <w:r>
        <w:rPr>
          <w:rFonts w:ascii="Arial" w:cs="Arial" w:eastAsia="Arial" w:hAnsi="Arial"/>
          <w:sz w:val="12"/>
          <w:szCs w:val="12"/>
          <w:color w:val="auto"/>
        </w:rPr>
        <w:t>In the case of a distribution in shares, the depositary will issue additional ADRs to evidence</w:t>
      </w:r>
      <w:r>
        <w:rPr>
          <w:rFonts w:ascii="Arial" w:cs="Arial" w:eastAsia="Arial" w:hAnsi="Arial"/>
          <w:sz w:val="12"/>
          <w:szCs w:val="12"/>
          <w:i w:val="1"/>
          <w:iCs w:val="1"/>
          <w:color w:val="auto"/>
        </w:rPr>
        <w:t xml:space="preserve"> </w:t>
      </w:r>
      <w:r>
        <w:rPr>
          <w:rFonts w:ascii="Arial" w:cs="Arial" w:eastAsia="Arial" w:hAnsi="Arial"/>
          <w:sz w:val="12"/>
          <w:szCs w:val="12"/>
          <w:color w:val="auto"/>
        </w:rPr>
        <w:t>the number of ADSs representing such shares. Only whole ADSs will be issued. Any shares which would result in fractional ADSs will be sold and the net proceeds will be distributed in the same manner as cash to the ADR holders entitled thereto.</w:t>
      </w:r>
    </w:p>
    <w:p>
      <w:pPr>
        <w:spacing w:after="0" w:line="18" w:lineRule="exact"/>
        <w:rPr>
          <w:rFonts w:ascii="Arial" w:cs="Arial" w:eastAsia="Arial" w:hAnsi="Arial"/>
          <w:sz w:val="12"/>
          <w:szCs w:val="12"/>
          <w:color w:val="auto"/>
        </w:rPr>
      </w:pPr>
    </w:p>
    <w:p>
      <w:pPr>
        <w:ind w:left="1980" w:right="1619" w:hanging="157"/>
        <w:spacing w:after="0" w:line="278" w:lineRule="auto"/>
        <w:tabs>
          <w:tab w:leader="none" w:pos="1980" w:val="left"/>
        </w:tabs>
        <w:numPr>
          <w:ilvl w:val="0"/>
          <w:numId w:val="119"/>
        </w:numPr>
        <w:rPr>
          <w:rFonts w:ascii="Arial" w:cs="Arial" w:eastAsia="Arial" w:hAnsi="Arial"/>
          <w:sz w:val="12"/>
          <w:szCs w:val="12"/>
          <w:color w:val="auto"/>
        </w:rPr>
      </w:pPr>
      <w:r>
        <w:rPr>
          <w:rFonts w:ascii="Arial" w:cs="Arial" w:eastAsia="Arial" w:hAnsi="Arial"/>
          <w:sz w:val="12"/>
          <w:szCs w:val="12"/>
          <w:i w:val="1"/>
          <w:iCs w:val="1"/>
          <w:color w:val="auto"/>
        </w:rPr>
        <w:t xml:space="preserve">Rights to receive additional shares. </w:t>
      </w:r>
      <w:r>
        <w:rPr>
          <w:rFonts w:ascii="Arial" w:cs="Arial" w:eastAsia="Arial" w:hAnsi="Arial"/>
          <w:sz w:val="12"/>
          <w:szCs w:val="12"/>
          <w:color w:val="auto"/>
        </w:rPr>
        <w:t>In the case of a distribution of rights to subscribe for additional</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71" w:lineRule="exact"/>
        <w:rPr>
          <w:rFonts w:ascii="Arial" w:cs="Arial" w:eastAsia="Arial" w:hAnsi="Arial"/>
          <w:sz w:val="12"/>
          <w:szCs w:val="12"/>
          <w:color w:val="auto"/>
        </w:rPr>
      </w:pPr>
    </w:p>
    <w:p>
      <w:pPr>
        <w:ind w:left="2340" w:right="1719" w:hanging="260"/>
        <w:spacing w:after="0" w:line="308" w:lineRule="auto"/>
        <w:tabs>
          <w:tab w:leader="none" w:pos="2340" w:val="left"/>
        </w:tabs>
        <w:numPr>
          <w:ilvl w:val="2"/>
          <w:numId w:val="119"/>
        </w:numPr>
        <w:rPr>
          <w:rFonts w:ascii="Arial" w:cs="Arial" w:eastAsia="Arial" w:hAnsi="Arial"/>
          <w:sz w:val="12"/>
          <w:szCs w:val="12"/>
          <w:color w:val="auto"/>
        </w:rPr>
      </w:pPr>
      <w:r>
        <w:rPr>
          <w:rFonts w:ascii="Arial" w:cs="Arial" w:eastAsia="Arial" w:hAnsi="Arial"/>
          <w:sz w:val="12"/>
          <w:szCs w:val="12"/>
          <w:color w:val="auto"/>
        </w:rPr>
        <w:t>sell such rights if practicable and distribute the net proceeds in the same manner as cash to the ADR holders entitled thereto; or</w:t>
      </w:r>
    </w:p>
    <w:p>
      <w:pPr>
        <w:spacing w:after="0" w:line="61" w:lineRule="exact"/>
        <w:rPr>
          <w:rFonts w:ascii="Arial" w:cs="Arial" w:eastAsia="Arial" w:hAnsi="Arial"/>
          <w:sz w:val="12"/>
          <w:szCs w:val="12"/>
          <w:color w:val="auto"/>
        </w:rPr>
      </w:pPr>
    </w:p>
    <w:p>
      <w:pPr>
        <w:ind w:left="2340" w:right="1579" w:hanging="260"/>
        <w:spacing w:after="0" w:line="288" w:lineRule="auto"/>
        <w:tabs>
          <w:tab w:leader="none" w:pos="2340" w:val="left"/>
        </w:tabs>
        <w:numPr>
          <w:ilvl w:val="2"/>
          <w:numId w:val="119"/>
        </w:numPr>
        <w:rPr>
          <w:rFonts w:ascii="Arial" w:cs="Arial" w:eastAsia="Arial" w:hAnsi="Arial"/>
          <w:sz w:val="12"/>
          <w:szCs w:val="12"/>
          <w:color w:val="auto"/>
        </w:rPr>
      </w:pPr>
      <w:r>
        <w:rPr>
          <w:rFonts w:ascii="Arial" w:cs="Arial" w:eastAsia="Arial" w:hAnsi="Arial"/>
          <w:sz w:val="12"/>
          <w:szCs w:val="12"/>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 w:lineRule="exact"/>
        <w:rPr>
          <w:rFonts w:ascii="Arial" w:cs="Arial" w:eastAsia="Arial" w:hAnsi="Arial"/>
          <w:sz w:val="12"/>
          <w:szCs w:val="12"/>
          <w:color w:val="auto"/>
        </w:rPr>
      </w:pPr>
    </w:p>
    <w:p>
      <w:pPr>
        <w:ind w:left="1980" w:right="1639" w:hanging="157"/>
        <w:spacing w:after="0" w:line="288" w:lineRule="auto"/>
        <w:tabs>
          <w:tab w:leader="none" w:pos="1980" w:val="left"/>
        </w:tabs>
        <w:numPr>
          <w:ilvl w:val="0"/>
          <w:numId w:val="119"/>
        </w:numPr>
        <w:rPr>
          <w:rFonts w:ascii="Arial" w:cs="Arial" w:eastAsia="Arial" w:hAnsi="Arial"/>
          <w:sz w:val="12"/>
          <w:szCs w:val="12"/>
          <w:color w:val="auto"/>
        </w:rPr>
      </w:pPr>
      <w:r>
        <w:rPr>
          <w:rFonts w:ascii="Arial" w:cs="Arial" w:eastAsia="Arial" w:hAnsi="Arial"/>
          <w:sz w:val="12"/>
          <w:szCs w:val="12"/>
          <w:i w:val="1"/>
          <w:iCs w:val="1"/>
          <w:color w:val="auto"/>
        </w:rPr>
        <w:t xml:space="preserve">Other Distributions. </w:t>
      </w:r>
      <w:r>
        <w:rPr>
          <w:rFonts w:ascii="Arial" w:cs="Arial" w:eastAsia="Arial" w:hAnsi="Arial"/>
          <w:sz w:val="12"/>
          <w:szCs w:val="12"/>
          <w:color w:val="auto"/>
        </w:rPr>
        <w:t>In the case of a distribution of securities or property other than those described</w:t>
      </w:r>
      <w:r>
        <w:rPr>
          <w:rFonts w:ascii="Arial" w:cs="Arial" w:eastAsia="Arial" w:hAnsi="Arial"/>
          <w:sz w:val="12"/>
          <w:szCs w:val="12"/>
          <w:i w:val="1"/>
          <w:iCs w:val="1"/>
          <w:color w:val="auto"/>
        </w:rPr>
        <w:t xml:space="preserve"> </w:t>
      </w:r>
      <w:r>
        <w:rPr>
          <w:rFonts w:ascii="Arial" w:cs="Arial" w:eastAsia="Arial" w:hAnsi="Arial"/>
          <w:sz w:val="12"/>
          <w:szCs w:val="12"/>
          <w:color w:val="auto"/>
        </w:rPr>
        <w:t>above, the depositary may either (i) distribute such securities or property in any manner it deems equitable and practicable, or (ii) to the extent the depositary deems distribution of such securities or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7" w:name="page218"/>
    <w:bookmarkEnd w:id="21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980" w:right="1759"/>
        <w:spacing w:after="0" w:line="291" w:lineRule="auto"/>
        <w:rPr>
          <w:sz w:val="20"/>
          <w:szCs w:val="20"/>
          <w:color w:val="auto"/>
        </w:rPr>
      </w:pPr>
      <w:r>
        <w:rPr>
          <w:rFonts w:ascii="Arial" w:cs="Arial" w:eastAsia="Arial" w:hAnsi="Arial"/>
          <w:sz w:val="12"/>
          <w:szCs w:val="12"/>
          <w:color w:val="auto"/>
        </w:rPr>
        <w:t>property not to be equitable and practicable, sell such securities or property and distribute any net proceeds in the same way it distributes cash.</w:t>
      </w:r>
    </w:p>
    <w:p>
      <w:pPr>
        <w:spacing w:after="0" w:line="62" w:lineRule="exact"/>
        <w:rPr>
          <w:sz w:val="20"/>
          <w:szCs w:val="20"/>
          <w:color w:val="auto"/>
        </w:rPr>
      </w:pPr>
    </w:p>
    <w:p>
      <w:pPr>
        <w:ind w:left="1560" w:right="1679"/>
        <w:spacing w:after="0" w:line="270" w:lineRule="auto"/>
        <w:rPr>
          <w:sz w:val="20"/>
          <w:szCs w:val="20"/>
          <w:color w:val="auto"/>
        </w:rPr>
      </w:pPr>
      <w:r>
        <w:rPr>
          <w:rFonts w:ascii="Arial" w:cs="Arial" w:eastAsia="Arial" w:hAnsi="Arial"/>
          <w:sz w:val="12"/>
          <w:szCs w:val="12"/>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75"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72" w:lineRule="exact"/>
        <w:rPr>
          <w:sz w:val="20"/>
          <w:szCs w:val="20"/>
          <w:color w:val="auto"/>
        </w:rPr>
      </w:pPr>
    </w:p>
    <w:p>
      <w:pPr>
        <w:ind w:left="1560" w:right="1659"/>
        <w:spacing w:after="0" w:line="308" w:lineRule="auto"/>
        <w:rPr>
          <w:sz w:val="20"/>
          <w:szCs w:val="20"/>
          <w:color w:val="auto"/>
        </w:rPr>
      </w:pPr>
      <w:r>
        <w:rPr>
          <w:rFonts w:ascii="Arial" w:cs="Arial" w:eastAsia="Arial" w:hAnsi="Arial"/>
          <w:sz w:val="12"/>
          <w:szCs w:val="12"/>
          <w:color w:val="auto"/>
        </w:rPr>
        <w:t>The depositary is not responsible if it fails to determine that any distribution or action is lawful or reasonably practicable.</w:t>
      </w:r>
    </w:p>
    <w:p>
      <w:pPr>
        <w:spacing w:after="0" w:line="52" w:lineRule="exact"/>
        <w:rPr>
          <w:sz w:val="20"/>
          <w:szCs w:val="20"/>
          <w:color w:val="auto"/>
        </w:rPr>
      </w:pPr>
    </w:p>
    <w:p>
      <w:pPr>
        <w:ind w:left="1560" w:right="1659"/>
        <w:spacing w:after="0" w:line="263" w:lineRule="auto"/>
        <w:rPr>
          <w:sz w:val="20"/>
          <w:szCs w:val="20"/>
          <w:color w:val="auto"/>
        </w:rPr>
      </w:pPr>
      <w:r>
        <w:rPr>
          <w:rFonts w:ascii="Arial" w:cs="Arial" w:eastAsia="Arial" w:hAnsi="Arial"/>
          <w:sz w:val="12"/>
          <w:szCs w:val="12"/>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How does the depositary issue ADSs?</w:t>
      </w:r>
    </w:p>
    <w:p>
      <w:pPr>
        <w:spacing w:after="0" w:line="102"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73" w:lineRule="exact"/>
        <w:rPr>
          <w:sz w:val="20"/>
          <w:szCs w:val="20"/>
          <w:color w:val="auto"/>
        </w:rPr>
      </w:pPr>
    </w:p>
    <w:p>
      <w:pPr>
        <w:ind w:left="1560" w:right="1719"/>
        <w:spacing w:after="0" w:line="280" w:lineRule="auto"/>
        <w:rPr>
          <w:sz w:val="20"/>
          <w:szCs w:val="20"/>
          <w:color w:val="auto"/>
        </w:rPr>
      </w:pPr>
      <w:r>
        <w:rPr>
          <w:rFonts w:ascii="Arial" w:cs="Arial" w:eastAsia="Arial" w:hAnsi="Arial"/>
          <w:sz w:val="12"/>
          <w:szCs w:val="12"/>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68"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227" w:lineRule="exact"/>
        <w:rPr>
          <w:sz w:val="20"/>
          <w:szCs w:val="20"/>
          <w:color w:val="auto"/>
        </w:rPr>
      </w:pPr>
    </w:p>
    <w:p>
      <w:pPr>
        <w:ind w:left="1560" w:right="1679"/>
        <w:spacing w:after="0" w:line="263" w:lineRule="auto"/>
        <w:rPr>
          <w:sz w:val="20"/>
          <w:szCs w:val="20"/>
          <w:color w:val="auto"/>
        </w:rPr>
      </w:pPr>
      <w:r>
        <w:rPr>
          <w:rFonts w:ascii="Arial" w:cs="Arial" w:eastAsia="Arial" w:hAnsi="Arial"/>
          <w:sz w:val="12"/>
          <w:szCs w:val="12"/>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80"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8" w:name="page219"/>
    <w:bookmarkEnd w:id="21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How do ADR holders cancel an ADS and obtain deposited securities?</w:t>
      </w:r>
    </w:p>
    <w:p>
      <w:pPr>
        <w:spacing w:after="0" w:line="121"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71"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depositary may only restrict the withdrawal of deposited securities in connection with:</w:t>
      </w:r>
    </w:p>
    <w:p>
      <w:pPr>
        <w:spacing w:after="0" w:line="75" w:lineRule="exact"/>
        <w:rPr>
          <w:sz w:val="20"/>
          <w:szCs w:val="20"/>
          <w:color w:val="auto"/>
        </w:rPr>
      </w:pPr>
    </w:p>
    <w:p>
      <w:pPr>
        <w:ind w:left="1980" w:right="1759" w:hanging="157"/>
        <w:spacing w:after="0" w:line="308" w:lineRule="auto"/>
        <w:tabs>
          <w:tab w:leader="none" w:pos="19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temporary delays caused by closing our transfer books or those of the depositary or the deposit of shares in connection with voting at a shareholders’ meeting, or the payment of dividends;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payment of fees, taxes and similar charges; or</w:t>
      </w:r>
    </w:p>
    <w:p>
      <w:pPr>
        <w:spacing w:after="0" w:line="74" w:lineRule="exact"/>
        <w:rPr>
          <w:rFonts w:ascii="Arial" w:cs="Arial" w:eastAsia="Arial" w:hAnsi="Arial"/>
          <w:sz w:val="12"/>
          <w:szCs w:val="12"/>
          <w:color w:val="auto"/>
        </w:rPr>
      </w:pPr>
    </w:p>
    <w:p>
      <w:pPr>
        <w:ind w:left="1980" w:right="1679" w:hanging="157"/>
        <w:spacing w:after="0" w:line="308" w:lineRule="auto"/>
        <w:tabs>
          <w:tab w:leader="none" w:pos="19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compliance with any U.S. or foreign laws or governmental regulations relating to the ADRs or to the withdrawal of deposited securities.</w:t>
      </w:r>
    </w:p>
    <w:p>
      <w:pPr>
        <w:spacing w:after="0" w:line="6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11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Record Dates</w:t>
      </w:r>
    </w:p>
    <w:p>
      <w:pPr>
        <w:spacing w:after="0" w:line="123"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5" w:lineRule="exact"/>
        <w:rPr>
          <w:sz w:val="20"/>
          <w:szCs w:val="20"/>
          <w:color w:val="auto"/>
        </w:rPr>
      </w:pPr>
    </w:p>
    <w:p>
      <w:pPr>
        <w:ind w:left="1980" w:hanging="157"/>
        <w:spacing w:after="0"/>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to receive any distribution on or in respect of deposited securities,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to give instructions for the exercise of voting rights at a meeting of holders of shares,</w:t>
      </w:r>
    </w:p>
    <w:p>
      <w:pPr>
        <w:spacing w:after="0" w:line="65" w:lineRule="exact"/>
        <w:rPr>
          <w:rFonts w:ascii="Arial" w:cs="Arial" w:eastAsia="Arial" w:hAnsi="Arial"/>
          <w:sz w:val="12"/>
          <w:szCs w:val="12"/>
          <w:color w:val="auto"/>
        </w:rPr>
      </w:pPr>
    </w:p>
    <w:p>
      <w:pPr>
        <w:ind w:left="1980" w:right="2039" w:hanging="157"/>
        <w:spacing w:after="0" w:line="308" w:lineRule="auto"/>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to pay the fee assessed by the depositary for administration of the ADR program and for any expenses as provided for in the ADR, or</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to receive any notice or to act in respect of other matters,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all subject to the provisions of the deposit agreement.</w:t>
      </w:r>
    </w:p>
    <w:p>
      <w:pPr>
        <w:spacing w:after="0" w:line="11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Voting Rights</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How do I vote?</w:t>
      </w:r>
    </w:p>
    <w:p>
      <w:pPr>
        <w:spacing w:after="0" w:line="111"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87"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Following actual receipt by the ADR department responsible for proxies and voting of ADR holders’ instructions (including, without limitation, instructions of any entity or entities acting on behalf of the nominee for the Depository Trust Company, or DTC), the depositary shall, in the manner and on or before the time established by the depositary for such purpose, endeavor to vote or cause to be voted the deposited securities represented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19" w:name="page220"/>
    <w:bookmarkEnd w:id="21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2059"/>
        <w:spacing w:after="0" w:line="291" w:lineRule="auto"/>
        <w:rPr>
          <w:sz w:val="20"/>
          <w:szCs w:val="20"/>
          <w:color w:val="auto"/>
        </w:rPr>
      </w:pPr>
      <w:r>
        <w:rPr>
          <w:rFonts w:ascii="Arial" w:cs="Arial" w:eastAsia="Arial" w:hAnsi="Arial"/>
          <w:sz w:val="12"/>
          <w:szCs w:val="12"/>
          <w:color w:val="auto"/>
        </w:rPr>
        <w:t>by the ADSs evidenced by such ADR holders’ ADRs in accordance with such instructions insofar as practicable and permitted under the provisions of or governing deposited securities.</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To the extent that (i) we have provided the depositary with at least 35 days’ notice of the proposed meeting,</w:t>
      </w:r>
    </w:p>
    <w:p>
      <w:pPr>
        <w:spacing w:after="0" w:line="23" w:lineRule="exact"/>
        <w:rPr>
          <w:sz w:val="20"/>
          <w:szCs w:val="20"/>
          <w:color w:val="auto"/>
        </w:rPr>
      </w:pPr>
    </w:p>
    <w:p>
      <w:pPr>
        <w:ind w:left="1560" w:right="1579" w:firstLine="5"/>
        <w:spacing w:after="0" w:line="259" w:lineRule="auto"/>
        <w:tabs>
          <w:tab w:leader="none" w:pos="173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voting notice will be received by all ADR holders and beneficial owners no less than 10 days prior to the date of the meeting and/or the cut-off date for the solicitation of consents, and (iii) 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(i)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(ii) the depositary has obtained an opinion of counsel, in form and substance satisfactory to the depositary, confirming that (a) the granting of such discretionary proxy does not subject the depositary to any reporting obligations in the Cayman Islands, (b) the granting of such proxy will not result in a violation of the laws, rules, regulations or permits of the Cayman Islands, (c) the voting arrangement and deemed instruction as contemplated herein will be given effect under the laws, rules and regulations of the Cayman Islands, and (d) the granting of such discretionary proxy will not under any circumstances result in the shares represented by the ADSs being treated as assets of the depositary under the laws, rules or regulations of the Cayman Islands.</w:t>
      </w:r>
    </w:p>
    <w:p>
      <w:pPr>
        <w:spacing w:after="0" w:line="230"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(i) the depositary will rely fully and exclusively on us to inform it of any of the circumstances set forth above, and (ii)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80" w:lineRule="exact"/>
        <w:rPr>
          <w:sz w:val="20"/>
          <w:szCs w:val="20"/>
          <w:color w:val="auto"/>
        </w:rPr>
      </w:pPr>
    </w:p>
    <w:p>
      <w:pPr>
        <w:ind w:left="1560" w:right="1659"/>
        <w:spacing w:after="0" w:line="260" w:lineRule="auto"/>
        <w:rPr>
          <w:sz w:val="20"/>
          <w:szCs w:val="20"/>
          <w:color w:val="auto"/>
        </w:rPr>
      </w:pPr>
      <w:r>
        <w:rPr>
          <w:rFonts w:ascii="Arial" w:cs="Arial" w:eastAsia="Arial" w:hAnsi="Arial"/>
          <w:sz w:val="12"/>
          <w:szCs w:val="12"/>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0" w:name="page221"/>
    <w:bookmarkEnd w:id="22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99"/>
        <w:spacing w:after="0" w:line="266" w:lineRule="auto"/>
        <w:rPr>
          <w:sz w:val="20"/>
          <w:szCs w:val="20"/>
          <w:color w:val="auto"/>
        </w:rPr>
      </w:pPr>
      <w:r>
        <w:rPr>
          <w:rFonts w:ascii="Arial" w:cs="Arial" w:eastAsia="Arial" w:hAnsi="Arial"/>
          <w:sz w:val="12"/>
          <w:szCs w:val="12"/>
          <w:color w:val="auto"/>
        </w:rPr>
        <w:t>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Arial" w:cs="Arial" w:eastAsia="Arial" w:hAnsi="Arial"/>
          <w:sz w:val="12"/>
          <w:szCs w:val="12"/>
          <w:i w:val="1"/>
          <w:iCs w:val="1"/>
          <w:color w:val="auto"/>
        </w:rPr>
        <w:t>i.e.</w:t>
      </w:r>
      <w:r>
        <w:rPr>
          <w:rFonts w:ascii="Arial" w:cs="Arial" w:eastAsia="Arial" w:hAnsi="Arial"/>
          <w:sz w:val="12"/>
          <w:szCs w:val="12"/>
          <w:color w:val="auto"/>
        </w:rPr>
        <w:t>, by reference to a website containing the materials for retrieval or a contact for requesting copies of the materials).</w:t>
      </w:r>
    </w:p>
    <w:p>
      <w:pPr>
        <w:spacing w:after="0" w:line="76"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We have advised the depositary that under Cayman Islands law and our governing documents, each as in effect as of the date of the deposit agreement, voting at any meeting of shareholders is by show of hands unless a poll is demanded (before or on the declaration of the results of the show of hands) by the chairman of the meeting or any shareholder holding at least ten percent of the votes attached to the shares present at such meeting. In the event that voting on any resolution or matter is conducted on a show of hands basis in accordance with our governing documents, the depositary will refrain from voting and providing any proxies (deemed or otherwise) and the voting instructions received and deemed received by the depositary from ADR holders shall lapse. The depositary will not demand a poll or join in demanding a poll, whether or not requested to do so by ADR holders or beneficial owners.</w:t>
      </w:r>
    </w:p>
    <w:p>
      <w:pPr>
        <w:spacing w:after="0" w:line="80"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7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Reports and Other Communications</w:t>
      </w:r>
    </w:p>
    <w:p>
      <w:pPr>
        <w:spacing w:after="0" w:line="11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Will ADR holders be able to view our reports?</w:t>
      </w:r>
    </w:p>
    <w:p>
      <w:pPr>
        <w:spacing w:after="0" w:line="121" w:lineRule="exact"/>
        <w:rPr>
          <w:sz w:val="20"/>
          <w:szCs w:val="20"/>
          <w:color w:val="auto"/>
        </w:rPr>
      </w:pPr>
    </w:p>
    <w:p>
      <w:pPr>
        <w:ind w:left="1560" w:right="1739"/>
        <w:spacing w:after="0" w:line="282" w:lineRule="auto"/>
        <w:rPr>
          <w:sz w:val="20"/>
          <w:szCs w:val="20"/>
          <w:color w:val="auto"/>
        </w:rPr>
      </w:pPr>
      <w:r>
        <w:rPr>
          <w:rFonts w:ascii="Arial" w:cs="Arial" w:eastAsia="Arial" w:hAnsi="Arial"/>
          <w:sz w:val="12"/>
          <w:szCs w:val="12"/>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77" w:lineRule="exact"/>
        <w:rPr>
          <w:sz w:val="20"/>
          <w:szCs w:val="20"/>
          <w:color w:val="auto"/>
        </w:rPr>
      </w:pPr>
    </w:p>
    <w:p>
      <w:pPr>
        <w:ind w:left="1560" w:right="1699"/>
        <w:spacing w:after="0" w:line="288" w:lineRule="auto"/>
        <w:rPr>
          <w:sz w:val="20"/>
          <w:szCs w:val="20"/>
          <w:color w:val="auto"/>
        </w:rPr>
      </w:pPr>
      <w:r>
        <w:rPr>
          <w:rFonts w:ascii="Arial" w:cs="Arial" w:eastAsia="Arial" w:hAnsi="Arial"/>
          <w:sz w:val="12"/>
          <w:szCs w:val="12"/>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Fees and Expenses</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What fees and expenses will I be responsible for paying?</w:t>
      </w:r>
    </w:p>
    <w:p>
      <w:pPr>
        <w:spacing w:after="0" w:line="111"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The depositary may charge each person to whom ADSs are issued, including, without limitation, issuances against deposits of shares, issuances in respect of share distributions, rights and other distributions, issuances pursuant to a share dividend or share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81"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share dividend or share split declared by us or an exchange of shares regarding the ADSs or the deposited securities or a distribution of ADSs), whichever is applicable:</w:t>
      </w:r>
    </w:p>
    <w:p>
      <w:pPr>
        <w:spacing w:after="0" w:line="23" w:lineRule="exact"/>
        <w:rPr>
          <w:sz w:val="20"/>
          <w:szCs w:val="20"/>
          <w:color w:val="auto"/>
        </w:rPr>
      </w:pPr>
    </w:p>
    <w:p>
      <w:pPr>
        <w:ind w:left="1980" w:right="1799" w:hanging="157"/>
        <w:spacing w:after="0" w:line="308" w:lineRule="auto"/>
        <w:tabs>
          <w:tab w:leader="none" w:pos="19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a fee of  $0.05 or less per ADS held for any cash distribution made, or for any elective cash/stock dividend offered, pursuant to the deposit agreement;</w:t>
      </w:r>
    </w:p>
    <w:p>
      <w:pPr>
        <w:spacing w:after="0" w:line="13" w:lineRule="exact"/>
        <w:rPr>
          <w:rFonts w:ascii="Arial" w:cs="Arial" w:eastAsia="Arial" w:hAnsi="Arial"/>
          <w:sz w:val="12"/>
          <w:szCs w:val="12"/>
          <w:color w:val="auto"/>
        </w:rPr>
      </w:pPr>
    </w:p>
    <w:p>
      <w:pPr>
        <w:ind w:left="1980" w:right="1579" w:hanging="157"/>
        <w:spacing w:after="0" w:line="288" w:lineRule="auto"/>
        <w:tabs>
          <w:tab w:leader="none" w:pos="19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a fee of  $0.05 or less per ADS held for the direct or indirect distribution of securities other than ADSs or rights to purchase additional ADSs (including, without limitation, distributions by the Company or any third-party) or the distribution of the net cash proceeds from the sale of any such securities;</w:t>
      </w:r>
    </w:p>
    <w:p>
      <w:pPr>
        <w:spacing w:after="0" w:line="15" w:lineRule="exact"/>
        <w:rPr>
          <w:rFonts w:ascii="Arial" w:cs="Arial" w:eastAsia="Arial" w:hAnsi="Arial"/>
          <w:sz w:val="12"/>
          <w:szCs w:val="12"/>
          <w:color w:val="auto"/>
        </w:rPr>
      </w:pPr>
    </w:p>
    <w:p>
      <w:pPr>
        <w:ind w:left="1980" w:right="1819" w:hanging="157"/>
        <w:spacing w:after="0" w:line="282" w:lineRule="auto"/>
        <w:tabs>
          <w:tab w:leader="none" w:pos="19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1" w:name="page222"/>
    <w:bookmarkEnd w:id="22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jc w:val="both"/>
        <w:ind w:left="1980" w:right="1799"/>
        <w:spacing w:after="0" w:line="288" w:lineRule="auto"/>
        <w:rPr>
          <w:sz w:val="20"/>
          <w:szCs w:val="20"/>
          <w:color w:val="auto"/>
        </w:rPr>
      </w:pPr>
      <w:r>
        <w:rPr>
          <w:rFonts w:ascii="Arial" w:cs="Arial" w:eastAsia="Arial" w:hAnsi="Arial"/>
          <w:sz w:val="12"/>
          <w:szCs w:val="12"/>
          <w:color w:val="auto"/>
        </w:rPr>
        <w:t>set by the depositary during each calendar year and shall be payable at the sole discretion of the depositary by billing such ADRs or by deducting such charge from one or more cash dividends or other cash distributions);</w:t>
      </w:r>
    </w:p>
    <w:p>
      <w:pPr>
        <w:spacing w:after="0" w:line="16" w:lineRule="exact"/>
        <w:rPr>
          <w:sz w:val="20"/>
          <w:szCs w:val="20"/>
          <w:color w:val="auto"/>
        </w:rPr>
      </w:pPr>
    </w:p>
    <w:p>
      <w:pPr>
        <w:ind w:left="1980" w:right="1639" w:hanging="157"/>
        <w:spacing w:after="0" w:line="273" w:lineRule="auto"/>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35" w:lineRule="exact"/>
        <w:rPr>
          <w:rFonts w:ascii="Arial" w:cs="Arial" w:eastAsia="Arial" w:hAnsi="Arial"/>
          <w:sz w:val="12"/>
          <w:szCs w:val="12"/>
          <w:color w:val="auto"/>
        </w:rPr>
      </w:pPr>
    </w:p>
    <w:p>
      <w:pPr>
        <w:ind w:left="1980" w:hanging="157"/>
        <w:spacing w:after="0"/>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share transfer or other taxes and other governmental charges;</w:t>
      </w:r>
    </w:p>
    <w:p>
      <w:pPr>
        <w:spacing w:after="0" w:line="65"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cable, telex and facsimile transmission and delivery charges incurred at your request in connection with the deposit or delivery of shares, ADRs or deposited securities;</w:t>
      </w:r>
    </w:p>
    <w:p>
      <w:pPr>
        <w:spacing w:after="0" w:line="13" w:lineRule="exact"/>
        <w:rPr>
          <w:rFonts w:ascii="Arial" w:cs="Arial" w:eastAsia="Arial" w:hAnsi="Arial"/>
          <w:sz w:val="12"/>
          <w:szCs w:val="12"/>
          <w:color w:val="auto"/>
        </w:rPr>
      </w:pPr>
    </w:p>
    <w:p>
      <w:pPr>
        <w:ind w:left="1980" w:right="1739" w:hanging="157"/>
        <w:spacing w:after="0" w:line="308" w:lineRule="auto"/>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transfer or registration fees for the registration of transfer of deposited securities on any applicable register in connection with the deposit or withdrawal of deposited securities; and</w:t>
      </w:r>
    </w:p>
    <w:p>
      <w:pPr>
        <w:spacing w:after="0" w:line="3"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fees of any division, branch or affiliate of the depositary utilized by the depositary to direct, manage and/or execute any public and/or private sale of securities under the deposit agreement.</w:t>
      </w:r>
    </w:p>
    <w:p>
      <w:pPr>
        <w:spacing w:after="0" w:line="62"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84"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 xml:space="preserve">The foreign exchange rate applied to a foreign exchange transaction will be either (i) a published benchmark rate, or (ii) a rate determined by a third party local liquidity provider, in each case plus or minus a spread, as applicable. The depositary will disclose which foreign exchange rate and spread, if any, apply to such currency on the “Disclosure”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Arial" w:cs="Arial" w:eastAsia="Arial" w:hAnsi="Arial"/>
          <w:sz w:val="12"/>
          <w:szCs w:val="12"/>
          <w:i w:val="1"/>
          <w:iCs w:val="1"/>
          <w:color w:val="auto"/>
        </w:rPr>
        <w:t>The spread applied does not</w:t>
      </w:r>
      <w:r>
        <w:rPr>
          <w:rFonts w:ascii="Arial" w:cs="Arial" w:eastAsia="Arial" w:hAnsi="Arial"/>
          <w:sz w:val="12"/>
          <w:szCs w:val="12"/>
          <w:color w:val="auto"/>
        </w:rPr>
        <w:t xml:space="preserve"> </w:t>
      </w:r>
      <w:r>
        <w:rPr>
          <w:rFonts w:ascii="Arial" w:cs="Arial" w:eastAsia="Arial" w:hAnsi="Arial"/>
          <w:sz w:val="12"/>
          <w:szCs w:val="12"/>
          <w:i w:val="1"/>
          <w:iCs w:val="1"/>
          <w:color w:val="auto"/>
        </w:rPr>
        <w:t>reflect any gains or losses that may be earned or incurred by the Bank and its affiliates as a result of risk management or other hedging related activity.</w:t>
      </w:r>
    </w:p>
    <w:p>
      <w:pPr>
        <w:spacing w:after="0" w:line="80" w:lineRule="exact"/>
        <w:rPr>
          <w:sz w:val="20"/>
          <w:szCs w:val="20"/>
          <w:color w:val="auto"/>
        </w:rPr>
      </w:pPr>
    </w:p>
    <w:p>
      <w:pPr>
        <w:ind w:left="1560" w:right="1699"/>
        <w:spacing w:after="0" w:line="288" w:lineRule="auto"/>
        <w:rPr>
          <w:sz w:val="20"/>
          <w:szCs w:val="20"/>
          <w:color w:val="auto"/>
        </w:rPr>
      </w:pPr>
      <w:r>
        <w:rPr>
          <w:rFonts w:ascii="Arial" w:cs="Arial" w:eastAsia="Arial" w:hAnsi="Arial"/>
          <w:sz w:val="12"/>
          <w:szCs w:val="12"/>
          <w:color w:val="auto"/>
        </w:rPr>
        <w:t>Notwithstanding the foregoing, to the extent we provide U.S. dollars to the depositary, neither the Bank nor any of its affiliates will execute a foreign exchange transaction as set forth in the deposit agreement and described herein. In such case, the depositary will distribute the U.S. dollars received from us.</w:t>
      </w:r>
    </w:p>
    <w:p>
      <w:pPr>
        <w:spacing w:after="0" w:line="74" w:lineRule="exact"/>
        <w:rPr>
          <w:sz w:val="20"/>
          <w:szCs w:val="20"/>
          <w:color w:val="auto"/>
        </w:rPr>
      </w:pPr>
    </w:p>
    <w:p>
      <w:pPr>
        <w:ind w:left="1560" w:right="1719"/>
        <w:spacing w:after="0" w:line="278" w:lineRule="auto"/>
        <w:rPr>
          <w:sz w:val="20"/>
          <w:szCs w:val="20"/>
          <w:color w:val="auto"/>
        </w:rPr>
      </w:pPr>
      <w:r>
        <w:rPr>
          <w:rFonts w:ascii="Arial" w:cs="Arial" w:eastAsia="Arial" w:hAnsi="Arial"/>
          <w:sz w:val="12"/>
          <w:szCs w:val="12"/>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2" w:name="page223"/>
    <w:bookmarkEnd w:id="22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779"/>
        <w:spacing w:after="0" w:line="308" w:lineRule="auto"/>
        <w:rPr>
          <w:sz w:val="20"/>
          <w:szCs w:val="20"/>
          <w:color w:val="auto"/>
        </w:rPr>
      </w:pPr>
      <w:r>
        <w:rPr>
          <w:rFonts w:ascii="Arial" w:cs="Arial" w:eastAsia="Arial" w:hAnsi="Arial"/>
          <w:sz w:val="12"/>
          <w:szCs w:val="12"/>
          <w:color w:val="auto"/>
        </w:rPr>
        <w:t>We will pay all other charges and expenses of the depositary and any agent of the depositary (except the custodian) pursuant to agreements from time to time between us and the depositary.</w:t>
      </w:r>
    </w:p>
    <w:p>
      <w:pPr>
        <w:spacing w:after="0" w:line="62"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64" w:lineRule="exact"/>
        <w:rPr>
          <w:sz w:val="20"/>
          <w:szCs w:val="20"/>
          <w:color w:val="auto"/>
        </w:rPr>
      </w:pPr>
    </w:p>
    <w:p>
      <w:pPr>
        <w:ind w:left="1560" w:right="1739"/>
        <w:spacing w:after="0" w:line="308" w:lineRule="auto"/>
        <w:rPr>
          <w:sz w:val="20"/>
          <w:szCs w:val="20"/>
          <w:color w:val="auto"/>
        </w:rPr>
      </w:pPr>
      <w:r>
        <w:rPr>
          <w:rFonts w:ascii="Arial" w:cs="Arial" w:eastAsia="Arial" w:hAnsi="Arial"/>
          <w:sz w:val="12"/>
          <w:szCs w:val="12"/>
          <w:color w:val="auto"/>
        </w:rPr>
        <w:t>The fees and charges described above may be amended from time to time by agreement between us and the depositary.</w:t>
      </w:r>
    </w:p>
    <w:p>
      <w:pPr>
        <w:spacing w:after="0" w:line="62"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8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Payment of Taxes</w:t>
      </w:r>
    </w:p>
    <w:p>
      <w:pPr>
        <w:spacing w:after="0" w:line="113"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owed if the Notice Regarding the Determination of Chinese-Controlled Offshore- Incorporated Enterprises as Chinese Tax Resident Enterprises on the Basis of De Facto Management Bodies, or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247"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3" w:name="page224"/>
    <w:bookmarkEnd w:id="22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Reclassifications, Recapitalizations and Mergers</w:t>
      </w:r>
    </w:p>
    <w:p>
      <w:pPr>
        <w:spacing w:after="0" w:line="113" w:lineRule="exact"/>
        <w:rPr>
          <w:sz w:val="20"/>
          <w:szCs w:val="20"/>
          <w:color w:val="auto"/>
        </w:rPr>
      </w:pPr>
    </w:p>
    <w:p>
      <w:pPr>
        <w:ind w:left="1560" w:right="1679"/>
        <w:spacing w:after="0" w:line="266" w:lineRule="auto"/>
        <w:rPr>
          <w:sz w:val="20"/>
          <w:szCs w:val="20"/>
          <w:color w:val="auto"/>
        </w:rPr>
      </w:pPr>
      <w:r>
        <w:rPr>
          <w:rFonts w:ascii="Arial" w:cs="Arial" w:eastAsia="Arial" w:hAnsi="Arial"/>
          <w:sz w:val="12"/>
          <w:szCs w:val="12"/>
          <w:color w:val="auto"/>
        </w:rPr>
        <w:t>If we take certain actions that affect the deposited securities, including (i) any change in par value, split-up, consolidation, cancellation or other reclassification of deposited securities,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28" w:lineRule="exact"/>
        <w:rPr>
          <w:sz w:val="20"/>
          <w:szCs w:val="20"/>
          <w:color w:val="auto"/>
        </w:rPr>
      </w:pPr>
    </w:p>
    <w:p>
      <w:pPr>
        <w:ind w:left="1980" w:hanging="157"/>
        <w:spacing w:after="0"/>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amend the form of ADR;</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distribute additional or amended ADRs;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distribute cash, securities or other property it has received in connection with such actions;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sell any securities or property received and distribute the proceeds as cash; or</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none of the above.</w:t>
      </w:r>
    </w:p>
    <w:p>
      <w:pPr>
        <w:spacing w:after="0" w:line="113" w:lineRule="exact"/>
        <w:rPr>
          <w:sz w:val="20"/>
          <w:szCs w:val="20"/>
          <w:color w:val="auto"/>
        </w:rPr>
      </w:pPr>
    </w:p>
    <w:p>
      <w:pPr>
        <w:jc w:val="both"/>
        <w:ind w:left="1560" w:right="1759"/>
        <w:spacing w:after="0" w:line="280" w:lineRule="auto"/>
        <w:rPr>
          <w:sz w:val="20"/>
          <w:szCs w:val="20"/>
          <w:color w:val="auto"/>
        </w:rPr>
      </w:pPr>
      <w:r>
        <w:rPr>
          <w:rFonts w:ascii="Arial" w:cs="Arial" w:eastAsia="Arial" w:hAnsi="Arial"/>
          <w:sz w:val="12"/>
          <w:szCs w:val="12"/>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7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Amendment and Termination</w:t>
      </w:r>
    </w:p>
    <w:p>
      <w:pPr>
        <w:spacing w:after="0" w:line="11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21"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We may agree with the depositary to amend the deposit agreement and the ADSs without your consent for any reason. ADR holders must be given at least 30 days’ notice of any amendment that imposes or increases any fees or charges (other than share transfer or other taxes and other governmental charges, transfer or registration fees, SWIFT, cable, telex or facsimile transmission costs, delivery costs or other such expenses), or otherwise prejudices any substantial existing right of ADR holders or beneficial owners.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81"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72" w:lineRule="exact"/>
        <w:rPr>
          <w:sz w:val="20"/>
          <w:szCs w:val="20"/>
          <w:color w:val="auto"/>
        </w:rPr>
      </w:pPr>
    </w:p>
    <w:p>
      <w:pPr>
        <w:ind w:left="1560" w:right="1679"/>
        <w:spacing w:after="0" w:line="276" w:lineRule="auto"/>
        <w:rPr>
          <w:sz w:val="20"/>
          <w:szCs w:val="20"/>
          <w:color w:val="auto"/>
        </w:rPr>
      </w:pPr>
      <w:r>
        <w:rPr>
          <w:rFonts w:ascii="Arial" w:cs="Arial" w:eastAsia="Arial" w:hAnsi="Arial"/>
          <w:sz w:val="12"/>
          <w:szCs w:val="12"/>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Arial" w:cs="Arial" w:eastAsia="Arial" w:hAnsi="Arial"/>
          <w:sz w:val="12"/>
          <w:szCs w:val="12"/>
          <w:i w:val="1"/>
          <w:iCs w:val="1"/>
          <w:color w:val="auto"/>
        </w:rPr>
        <w:t>i.e.</w:t>
      </w:r>
      <w:r>
        <w:rPr>
          <w:rFonts w:ascii="Arial" w:cs="Arial" w:eastAsia="Arial" w:hAnsi="Arial"/>
          <w:sz w:val="12"/>
          <w:szCs w:val="12"/>
          <w:color w:val="auto"/>
        </w:rPr>
        <w:t>, upon retrieval from the SEC’s, the depositary’s or our website or upon request from the depositary).</w:t>
      </w:r>
    </w:p>
    <w:p>
      <w:pPr>
        <w:spacing w:after="0" w:line="8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11"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The depositary shall at any time at our written direction, terminate the deposit agreement and the ADRs by mailing notice of such termination to the registered holders of ADRs at least 30 days prior to the termination date, as determined in accordance with the deposit agreement. The depositary may also terminate the deposit agreement by mailing notice of such termination to the registered holders of ADRs at least 30 days prior to the termination date if  (i) 45 days have passed since the depositary provided notice of its resignation, (ii) 60 days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4" w:name="page225"/>
    <w:bookmarkEnd w:id="22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shall have expired after the removal notice date, as defined in the deposit agreement, (iii) we are bankrupt or insolvent, (iv) our ADSs cease to be listed on an internationally recognized stock exchange, (v) we effect (or will effect) a redemption of all or substantially all of the deposited securities or a cash or share distribution representing a return of all or substantially all of the value of the deposited securities, or (vi) we undergo a merger, consolidation, sale of assets or other transaction as a result of which securities or other property are delivered in exchange for or in lieu of the deposited securities. In addition, the depositary may immediately terminate the deposit agreement, without prior notice to the holders or beneficial owners of ADRs or us, if required by any law, rule or regulation relating to sanctions by any governmental authority or body, or if the depositary would be subject to liability under or pursuant to any law, rule or regulation, or if otherwise required by any governmental authority or body, in each case as determined by the depositary in its reasonable discretion.</w:t>
      </w:r>
    </w:p>
    <w:p>
      <w:pPr>
        <w:spacing w:after="0" w:line="80"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If the ADSs are listed or quoted for trading on a stock exchange or in a securities market as of the termination date and the depositary believes that it is able and practicable to promptly sell the deposited securities without undue effort, then, after the termination date, the depositary and its agents will perform no further acts under the deposit agreement or the ADRs, except to receive and hold (or sell) distributions on deposited securities and deliver deposited securities being withdrawn. As soon as practicable after the termination date, the depositary shall use its reasonable efforts to sell the deposited securities and shall thereafter (as long as it may lawfully do so) hold in an account (which may be a segregated or unsegregated account) the net proceeds of such sales, together with any other cash then held by it under the deposit agreement, without liability for interest, in trust for the pro rata benefit of the holders of ADRs not theretofore surrendered. After making such sale, the depositary shall be discharged from all obligations in respect of the deposit agreement and this ADR, except to account for such net proceeds and other cash. After the date so fixed for termination, we shall be discharged from all obligations under the deposit agreement except for our obligations to the depositary and its agents.</w:t>
      </w:r>
    </w:p>
    <w:p>
      <w:pPr>
        <w:spacing w:after="0" w:line="80"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If, however, the ADSs are not listed or quoted for trading on a stock exchange or securities market as of the termination date or if, for any reason, the depositary believes it is not able or practicable to promptly sell the deposited securities without undue effort, then, after the termination date, (i) all direct registration ADRs shall cease to be eligible for the direct registration system and shall be considered ADRs issued on the ADR register maintained by the depositary and (ii)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(i) instruct its custodian to deliver all shares to us along with a general share power that refers to the names set forth on the ADR register maintained by the depositary and (ii)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34"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23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Limitations on Obligations and Liability to ADR holders</w:t>
      </w:r>
    </w:p>
    <w:p>
      <w:pPr>
        <w:spacing w:after="0" w:line="125" w:lineRule="exact"/>
        <w:rPr>
          <w:sz w:val="20"/>
          <w:szCs w:val="20"/>
          <w:color w:val="auto"/>
        </w:rPr>
      </w:pPr>
    </w:p>
    <w:p>
      <w:pPr>
        <w:ind w:left="1560" w:right="1779"/>
        <w:spacing w:after="0" w:line="315" w:lineRule="auto"/>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ADR holders and holders of ADSs</w:t>
      </w:r>
    </w:p>
    <w:p>
      <w:pPr>
        <w:spacing w:after="0" w:line="32" w:lineRule="exact"/>
        <w:rPr>
          <w:sz w:val="20"/>
          <w:szCs w:val="20"/>
          <w:color w:val="auto"/>
        </w:rPr>
      </w:pPr>
    </w:p>
    <w:p>
      <w:pPr>
        <w:ind w:left="1560" w:right="1659"/>
        <w:spacing w:after="0" w:line="280" w:lineRule="auto"/>
        <w:rPr>
          <w:sz w:val="20"/>
          <w:szCs w:val="20"/>
          <w:color w:val="auto"/>
        </w:rPr>
      </w:pPr>
      <w:r>
        <w:rPr>
          <w:rFonts w:ascii="Arial" w:cs="Arial" w:eastAsia="Arial" w:hAnsi="Arial"/>
          <w:sz w:val="12"/>
          <w:szCs w:val="12"/>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5" w:name="page226"/>
    <w:bookmarkEnd w:id="22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719" w:hanging="157"/>
        <w:spacing w:after="0" w:line="282"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payment with respect thereto of  (i) any share transfer or other tax or other governmental charge, (ii) any share transfer or registration fees in effect for the registration of transfers of shares or other deposited securities upon any applicable register, and (iii) any applicable fees and expenses described in the deposit agreement;</w:t>
      </w:r>
    </w:p>
    <w:p>
      <w:pPr>
        <w:spacing w:after="0" w:line="28" w:lineRule="exact"/>
        <w:rPr>
          <w:rFonts w:ascii="Arial" w:cs="Arial" w:eastAsia="Arial" w:hAnsi="Arial"/>
          <w:sz w:val="12"/>
          <w:szCs w:val="12"/>
          <w:color w:val="auto"/>
        </w:rPr>
      </w:pPr>
    </w:p>
    <w:p>
      <w:pPr>
        <w:ind w:left="1980" w:right="1639" w:hanging="157"/>
        <w:spacing w:after="0" w:line="278"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22" w:lineRule="exact"/>
        <w:rPr>
          <w:rFonts w:ascii="Arial" w:cs="Arial" w:eastAsia="Arial" w:hAnsi="Arial"/>
          <w:sz w:val="12"/>
          <w:szCs w:val="12"/>
          <w:color w:val="auto"/>
        </w:rPr>
      </w:pPr>
    </w:p>
    <w:p>
      <w:pPr>
        <w:ind w:left="1980" w:right="2019" w:hanging="157"/>
        <w:spacing w:after="0" w:line="308"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compliance with such regulations as the depositary may establish consistent with the deposit agreement.</w:t>
      </w:r>
    </w:p>
    <w:p>
      <w:pPr>
        <w:spacing w:after="0" w:line="62"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74" w:lineRule="exact"/>
        <w:rPr>
          <w:sz w:val="20"/>
          <w:szCs w:val="20"/>
          <w:color w:val="auto"/>
        </w:rPr>
      </w:pPr>
    </w:p>
    <w:p>
      <w:pPr>
        <w:ind w:left="1560" w:right="1679"/>
        <w:spacing w:after="0" w:line="278" w:lineRule="auto"/>
        <w:rPr>
          <w:sz w:val="20"/>
          <w:szCs w:val="20"/>
          <w:color w:val="auto"/>
        </w:rPr>
      </w:pPr>
      <w:r>
        <w:rPr>
          <w:rFonts w:ascii="Arial" w:cs="Arial" w:eastAsia="Arial" w:hAnsi="Arial"/>
          <w:sz w:val="12"/>
          <w:szCs w:val="12"/>
          <w:color w:val="auto"/>
        </w:rPr>
        <w:t>The deposit agreement expressly limits the obligations and liability of the depositary, ourselves and our respective agents, provided, however, that no disclaimer of liability under the Securities Act is intended by any of the limitations of liabilities provisions of the deposit agreement. The deposit agreement provides that each of us, the depositary and each of their and our respective directors, officers, employees, agents and affiliates will:</w:t>
      </w:r>
    </w:p>
    <w:p>
      <w:pPr>
        <w:spacing w:after="0" w:line="32" w:lineRule="exact"/>
        <w:rPr>
          <w:sz w:val="20"/>
          <w:szCs w:val="20"/>
          <w:color w:val="auto"/>
        </w:rPr>
      </w:pPr>
    </w:p>
    <w:p>
      <w:pPr>
        <w:ind w:left="1980" w:right="1639" w:hanging="157"/>
        <w:spacing w:after="0" w:line="272" w:lineRule="auto"/>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incur or assume no liability (including, without limitation, to holders or beneficial owners) if any present or future law, rule, regulation, fiat, order or decree of the Cayman Islands, Hong Kong Special Administrative Region,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governing documents,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37" w:lineRule="exact"/>
        <w:rPr>
          <w:rFonts w:ascii="Arial" w:cs="Arial" w:eastAsia="Arial" w:hAnsi="Arial"/>
          <w:sz w:val="12"/>
          <w:szCs w:val="12"/>
          <w:color w:val="auto"/>
        </w:rPr>
      </w:pPr>
    </w:p>
    <w:p>
      <w:pPr>
        <w:ind w:left="1980" w:right="1579" w:hanging="157"/>
        <w:spacing w:after="0" w:line="278" w:lineRule="auto"/>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177" w:lineRule="exact"/>
        <w:rPr>
          <w:rFonts w:ascii="Arial" w:cs="Arial" w:eastAsia="Arial" w:hAnsi="Arial"/>
          <w:sz w:val="12"/>
          <w:szCs w:val="12"/>
          <w:color w:val="auto"/>
        </w:rPr>
      </w:pPr>
    </w:p>
    <w:p>
      <w:pPr>
        <w:ind w:left="1980" w:right="1599" w:hanging="157"/>
        <w:spacing w:after="0" w:line="305" w:lineRule="auto"/>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incur or assume no liability (including, without limitation, to holders or beneficial owners) if it performs its obligations under the deposit agreement and ADRs without gross negligence or willful misconduct;</w:t>
      </w:r>
    </w:p>
    <w:p>
      <w:pPr>
        <w:spacing w:after="0" w:line="171" w:lineRule="exact"/>
        <w:rPr>
          <w:rFonts w:ascii="Arial" w:cs="Arial" w:eastAsia="Arial" w:hAnsi="Arial"/>
          <w:sz w:val="12"/>
          <w:szCs w:val="12"/>
          <w:color w:val="auto"/>
        </w:rPr>
      </w:pPr>
    </w:p>
    <w:p>
      <w:pPr>
        <w:ind w:left="1980" w:right="1599" w:hanging="157"/>
        <w:spacing w:after="0" w:line="308" w:lineRule="auto"/>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 the case of the depositary and its agents, be under no obligation to appear in, prosecute or defend any action, suit or other proceeding in respect of any deposited securities the ADSs or the ADRs;</w:t>
      </w:r>
    </w:p>
    <w:p>
      <w:pPr>
        <w:spacing w:after="0" w:line="13" w:lineRule="exact"/>
        <w:rPr>
          <w:rFonts w:ascii="Arial" w:cs="Arial" w:eastAsia="Arial" w:hAnsi="Arial"/>
          <w:sz w:val="12"/>
          <w:szCs w:val="12"/>
          <w:color w:val="auto"/>
        </w:rPr>
      </w:pPr>
    </w:p>
    <w:p>
      <w:pPr>
        <w:ind w:left="1980" w:right="1599" w:hanging="157"/>
        <w:spacing w:after="0" w:line="278" w:lineRule="auto"/>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required;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6" w:name="page227"/>
    <w:bookmarkEnd w:id="22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980" w:right="1579" w:hanging="157"/>
        <w:spacing w:after="0" w:line="282" w:lineRule="auto"/>
        <w:tabs>
          <w:tab w:leader="none" w:pos="19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18" w:lineRule="exact"/>
        <w:rPr>
          <w:rFonts w:ascii="Arial" w:cs="Arial" w:eastAsia="Arial" w:hAnsi="Arial"/>
          <w:sz w:val="12"/>
          <w:szCs w:val="12"/>
          <w:color w:val="auto"/>
        </w:rPr>
      </w:pPr>
    </w:p>
    <w:p>
      <w:pPr>
        <w:jc w:val="both"/>
        <w:ind w:left="1980" w:right="1779" w:hanging="157"/>
        <w:spacing w:after="0" w:line="288" w:lineRule="auto"/>
        <w:tabs>
          <w:tab w:leader="none" w:pos="19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may rely and shall be protected in acting upon any written notice, request, direction, instruction or document believed by it to be genuine and to have been signed, presented or given by the proper party or parties.</w:t>
      </w:r>
    </w:p>
    <w:p>
      <w:pPr>
        <w:spacing w:after="0" w:line="64"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236" w:lineRule="exact"/>
        <w:rPr>
          <w:sz w:val="20"/>
          <w:szCs w:val="20"/>
          <w:color w:val="auto"/>
        </w:rPr>
      </w:pPr>
    </w:p>
    <w:p>
      <w:pPr>
        <w:ind w:left="1560" w:right="1699"/>
        <w:spacing w:after="0" w:line="266" w:lineRule="auto"/>
        <w:rPr>
          <w:sz w:val="20"/>
          <w:szCs w:val="20"/>
          <w:color w:val="auto"/>
        </w:rPr>
      </w:pPr>
      <w:r>
        <w:rPr>
          <w:rFonts w:ascii="Arial" w:cs="Arial" w:eastAsia="Arial" w:hAnsi="Arial"/>
          <w:sz w:val="12"/>
          <w:szCs w:val="12"/>
          <w:color w:val="auto"/>
        </w:rPr>
        <w:t>The depositary has no obligation to inform ADR holders or beneficial owners about the requirements of the laws, rules or regulations or any changes therein or thereto of the Cayman Islands, Hong Kong Special Administrative Region, the People’s Republic of China, the United States or any other country or jurisdiction or of any governmental or regulatory authority or any securities exchange or market or automated quotation system.</w:t>
      </w:r>
    </w:p>
    <w:p>
      <w:pPr>
        <w:spacing w:after="0" w:line="76"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pacing w:after="0" w:line="69"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7" w:name="page228"/>
    <w:bookmarkEnd w:id="22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78"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Exchange Act, to the extent applicable.</w:t>
      </w:r>
    </w:p>
    <w:p>
      <w:pPr>
        <w:spacing w:after="0" w:line="81" w:lineRule="exact"/>
        <w:rPr>
          <w:sz w:val="20"/>
          <w:szCs w:val="20"/>
          <w:color w:val="auto"/>
        </w:rPr>
      </w:pPr>
    </w:p>
    <w:p>
      <w:pPr>
        <w:ind w:left="1560" w:right="1659"/>
        <w:spacing w:after="0" w:line="308" w:lineRule="auto"/>
        <w:rPr>
          <w:sz w:val="20"/>
          <w:szCs w:val="20"/>
          <w:color w:val="auto"/>
        </w:rPr>
      </w:pPr>
      <w:r>
        <w:rPr>
          <w:rFonts w:ascii="Arial" w:cs="Arial" w:eastAsia="Arial" w:hAnsi="Arial"/>
          <w:sz w:val="12"/>
          <w:szCs w:val="12"/>
          <w:color w:val="auto"/>
        </w:rPr>
        <w:t>The depositary and its agents may own and deal in any class of securities of our company and our affiliates and in ADRs.</w:t>
      </w:r>
    </w:p>
    <w:p>
      <w:pPr>
        <w:spacing w:after="0" w:line="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Disclosure of Interest in ADSs</w:t>
      </w:r>
    </w:p>
    <w:p>
      <w:pPr>
        <w:spacing w:after="0" w:line="104"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Books of Depositary</w:t>
      </w:r>
    </w:p>
    <w:p>
      <w:pPr>
        <w:spacing w:after="0" w:line="113"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us solely in order to enable us to comply with applicable law.</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depositary will maintain facilities for the delivery and receipt of ADRs.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Appointment</w:t>
      </w:r>
    </w:p>
    <w:p>
      <w:pPr>
        <w:spacing w:after="0" w:line="104" w:lineRule="exact"/>
        <w:rPr>
          <w:sz w:val="20"/>
          <w:szCs w:val="20"/>
          <w:color w:val="auto"/>
        </w:rPr>
      </w:pPr>
    </w:p>
    <w:p>
      <w:pPr>
        <w:ind w:left="1560" w:right="1579"/>
        <w:spacing w:after="0" w:line="280" w:lineRule="auto"/>
        <w:rPr>
          <w:sz w:val="20"/>
          <w:szCs w:val="20"/>
          <w:color w:val="auto"/>
        </w:rPr>
      </w:pPr>
      <w:r>
        <w:rPr>
          <w:rFonts w:ascii="Arial" w:cs="Arial" w:eastAsia="Arial" w:hAnsi="Arial"/>
          <w:sz w:val="12"/>
          <w:szCs w:val="12"/>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29" w:lineRule="exact"/>
        <w:rPr>
          <w:sz w:val="20"/>
          <w:szCs w:val="20"/>
          <w:color w:val="auto"/>
        </w:rPr>
      </w:pPr>
    </w:p>
    <w:p>
      <w:pPr>
        <w:ind w:left="1980" w:hanging="157"/>
        <w:spacing w:after="0"/>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be a party to and be bound by the terms of the deposit agreement and the applicable ADR or ADRs,</w:t>
      </w:r>
    </w:p>
    <w:p>
      <w:pPr>
        <w:spacing w:after="0" w:line="65" w:lineRule="exact"/>
        <w:rPr>
          <w:rFonts w:ascii="Arial" w:cs="Arial" w:eastAsia="Arial" w:hAnsi="Arial"/>
          <w:sz w:val="12"/>
          <w:szCs w:val="12"/>
          <w:color w:val="auto"/>
        </w:rPr>
      </w:pPr>
    </w:p>
    <w:p>
      <w:pPr>
        <w:ind w:left="1980" w:right="1639" w:hanging="157"/>
        <w:spacing w:after="0" w:line="276" w:lineRule="auto"/>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24" w:lineRule="exact"/>
        <w:rPr>
          <w:rFonts w:ascii="Arial" w:cs="Arial" w:eastAsia="Arial" w:hAnsi="Arial"/>
          <w:sz w:val="12"/>
          <w:szCs w:val="12"/>
          <w:color w:val="auto"/>
        </w:rPr>
      </w:pPr>
    </w:p>
    <w:p>
      <w:pPr>
        <w:ind w:left="1980" w:right="1779" w:hanging="157"/>
        <w:spacing w:after="0" w:line="275" w:lineRule="auto"/>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acknowledge and agree that (i) nothing contained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holders, beneficial owners and/or their respective affiliates, (iii) the depositary and its divisions, branches and affiliates may at any time have multiple banking relationships with us, holders, beneficial</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8" w:name="page229"/>
    <w:bookmarkEnd w:id="22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980" w:right="1579"/>
        <w:spacing w:after="0" w:line="261" w:lineRule="auto"/>
        <w:rPr>
          <w:sz w:val="20"/>
          <w:szCs w:val="20"/>
          <w:color w:val="auto"/>
        </w:rPr>
      </w:pPr>
      <w:r>
        <w:rPr>
          <w:rFonts w:ascii="Arial" w:cs="Arial" w:eastAsia="Arial" w:hAnsi="Arial"/>
          <w:sz w:val="12"/>
          <w:szCs w:val="12"/>
          <w:color w:val="auto"/>
        </w:rPr>
        <w:t>owners and/or the affiliates of any of them, (iv) the depositary and its divisions, branches and affiliates may, from time to time, be engaged in transactions in which parties adverse to us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the ADR(s), to constitute notice to any and all beneficial owners of the ADSs evidenced by such holder's ADRs. For all purposes under the deposit agreement and the ADR(s), the holder hereof shall be deemed to have all requisite authority to act on behalf of any and all beneficial owners of the ADSs evidenced by the ADR(s).</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Governing Law</w:t>
      </w:r>
    </w:p>
    <w:p>
      <w:pPr>
        <w:spacing w:after="0" w:line="113" w:lineRule="exact"/>
        <w:rPr>
          <w:sz w:val="20"/>
          <w:szCs w:val="20"/>
          <w:color w:val="auto"/>
        </w:rPr>
      </w:pPr>
    </w:p>
    <w:p>
      <w:pPr>
        <w:ind w:left="1560" w:right="1619"/>
        <w:spacing w:after="0" w:line="265" w:lineRule="auto"/>
        <w:rPr>
          <w:sz w:val="20"/>
          <w:szCs w:val="20"/>
          <w:color w:val="auto"/>
        </w:rPr>
      </w:pPr>
      <w:r>
        <w:rPr>
          <w:rFonts w:ascii="Arial" w:cs="Arial" w:eastAsia="Arial" w:hAnsi="Arial"/>
          <w:sz w:val="12"/>
          <w:szCs w:val="12"/>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Special Administrative Region, the United States and/or any other court of competent jurisdiction.</w:t>
      </w:r>
    </w:p>
    <w:p>
      <w:pPr>
        <w:spacing w:after="0" w:line="227" w:lineRule="exact"/>
        <w:rPr>
          <w:sz w:val="20"/>
          <w:szCs w:val="20"/>
          <w:color w:val="auto"/>
        </w:rPr>
      </w:pPr>
    </w:p>
    <w:p>
      <w:pPr>
        <w:ind w:left="1560" w:right="1639"/>
        <w:spacing w:after="0" w:line="259" w:lineRule="auto"/>
        <w:rPr>
          <w:sz w:val="20"/>
          <w:szCs w:val="20"/>
          <w:color w:val="auto"/>
        </w:rPr>
      </w:pPr>
      <w:r>
        <w:rPr>
          <w:rFonts w:ascii="Arial" w:cs="Arial" w:eastAsia="Arial" w:hAnsi="Arial"/>
          <w:sz w:val="12"/>
          <w:szCs w:val="12"/>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on the deposit agreement, the ADSs, the ADRs or the transactions contemplated thereby, may be instituted in a state or federal court in New York, New York, irrevocably waive any objection which they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us and/or the depositary brought by ADR holders or beneficial owners, arising out of or based on the deposit agreement, the ADSs, the ADRs or the transactions contemplated thereby, may only be instituted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p>
    <w:p>
      <w:pPr>
        <w:spacing w:after="0" w:line="87"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Notwithstanding the foregoing, (i) the depositary may, in its sole discretion, elect to institute and/or refer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as set forth in the deposit agreement,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as set forth in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w:t>
      </w:r>
    </w:p>
    <w:p>
      <w:pPr>
        <w:spacing w:after="0" w:line="9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Jury Trial Waiver</w:t>
      </w:r>
    </w:p>
    <w:p>
      <w:pPr>
        <w:spacing w:after="0" w:line="113" w:lineRule="exact"/>
        <w:rPr>
          <w:sz w:val="20"/>
          <w:szCs w:val="20"/>
          <w:color w:val="auto"/>
        </w:rPr>
      </w:pPr>
    </w:p>
    <w:p>
      <w:pPr>
        <w:ind w:left="1560" w:right="1799"/>
        <w:spacing w:after="0" w:line="271" w:lineRule="auto"/>
        <w:rPr>
          <w:sz w:val="20"/>
          <w:szCs w:val="20"/>
          <w:color w:val="auto"/>
        </w:rPr>
      </w:pPr>
      <w:r>
        <w:rPr>
          <w:rFonts w:ascii="Arial" w:cs="Arial" w:eastAsia="Arial" w:hAnsi="Arial"/>
          <w:sz w:val="12"/>
          <w:szCs w:val="12"/>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claim or proceeding against the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9" w:name="page230"/>
    <w:bookmarkEnd w:id="22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77"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0" w:name="page231"/>
    <w:bookmarkEnd w:id="230"/>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ORDINARY SHARES AND AMERICAN DEPOSITARY SHARES ELIGIBLE FOR FUTURE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SALE</w:t>
      </w: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Upon completion of this offering, we will have 10,740,000 ADSs outstanding, representing approximately</w:t>
      </w:r>
    </w:p>
    <w:p>
      <w:pPr>
        <w:spacing w:after="0" w:line="23"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29.4% of our outstanding ordinary shares, including 245,462 restricted ordinary shares that remained subject to repurchase rights as of such date and after giving effect to the automatic conversion and re-designation of all outstanding preferred shares into 67,018,087 ordinary shares upon the closing of this offering, and assuming the underwriters do not exercise their over-allotment option to purchase additional ADSs. All of the ADSs sold in this offering will be freely transferable by persons other than by our “affiliates” without restriction or further registration under the Securities Act. Rule 144 under the Securities Act defines an “affiliate” of a company as a person that, directly or indirectly, through one or more intermediaries, controls or is controlled by, or is under common control with, our company. All outstanding ordinary shares prior to this offering are “restricted securities” as that term is defined in Rule 144 because they were issued in a transaction or series of transactions not involving a public offering. Restricted securities, in the form of ADSs or otherwise, may be sold only if they are the subject of an effective registration statement under the Securities Act or if they are sold pursuant to an exemption from the registration requirement of the Securities Act such as those provided for in Rule 144 or 701 promulgated under the Securities Act, which rules are summarized below. Restricted ordinary shares may also be sold outside of the United States to non-U.S. persons in accordance with Rule 904 of Regulation S under the Securities Act. This prospectus may not be used in connection with any resale of the ADSs acquired in this offering by our affiliates.</w:t>
      </w:r>
    </w:p>
    <w:p>
      <w:pPr>
        <w:spacing w:after="0" w:line="87" w:lineRule="exact"/>
        <w:rPr>
          <w:sz w:val="20"/>
          <w:szCs w:val="20"/>
          <w:color w:val="auto"/>
        </w:rPr>
      </w:pPr>
    </w:p>
    <w:p>
      <w:pPr>
        <w:ind w:left="1560" w:right="1679"/>
        <w:spacing w:after="0" w:line="266" w:lineRule="auto"/>
        <w:rPr>
          <w:sz w:val="20"/>
          <w:szCs w:val="20"/>
          <w:color w:val="auto"/>
        </w:rPr>
      </w:pPr>
      <w:r>
        <w:rPr>
          <w:rFonts w:ascii="Arial" w:cs="Arial" w:eastAsia="Arial" w:hAnsi="Arial"/>
          <w:sz w:val="12"/>
          <w:szCs w:val="12"/>
          <w:color w:val="auto"/>
        </w:rPr>
        <w:t>Sales of substantial amounts of the ADSs in the public market could adversely affect prevailing market prices of the ADSs. Prior to this offering, there has been no public market for our ordinary shares or the ADSs. We have applied to list the ADSs on the Nasdaq Global Market, but we cannot assure you that a regular trading market will develop in the ADSs. We do not expect that a trading market will develop for our ordinary shares not represented by the ADSs.</w:t>
      </w:r>
    </w:p>
    <w:p>
      <w:pPr>
        <w:spacing w:after="0" w:line="86"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Lock-Up Agreements</w:t>
      </w:r>
    </w:p>
    <w:p>
      <w:pPr>
        <w:spacing w:after="0" w:line="104"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For a period of 180 days after the date of this prospectus, we have agreed, subject to certain exceptions, not to directly or indirectly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subject to certain exceptions, without the prior written consent of Jefferies, LLC and SVB Securities LLC. See the section titled “Underwriting” for additional information.</w:t>
      </w:r>
    </w:p>
    <w:p>
      <w:pPr>
        <w:spacing w:after="0" w:line="227" w:lineRule="exact"/>
        <w:rPr>
          <w:sz w:val="20"/>
          <w:szCs w:val="20"/>
          <w:color w:val="auto"/>
        </w:rPr>
      </w:pPr>
    </w:p>
    <w:p>
      <w:pPr>
        <w:ind w:left="1560" w:right="1699"/>
        <w:spacing w:after="0" w:line="271" w:lineRule="auto"/>
        <w:rPr>
          <w:sz w:val="20"/>
          <w:szCs w:val="20"/>
          <w:color w:val="auto"/>
        </w:rPr>
      </w:pPr>
      <w:r>
        <w:rPr>
          <w:rFonts w:ascii="Arial" w:cs="Arial" w:eastAsia="Arial" w:hAnsi="Arial"/>
          <w:sz w:val="12"/>
          <w:szCs w:val="12"/>
          <w:color w:val="auto"/>
        </w:rPr>
        <w:t>Furthermore, each of our directors, executive officers and substantially all of the holders of our outstanding shares have also entered into a similar lock-up agreement for a period of 180 days from the date of this prospectus, subject to certain exceptions, with respect to our ordinary shares, ADSs and securities convertible into or exercisable or exchangeable for our ordinary shares or ADSs.</w:t>
      </w:r>
    </w:p>
    <w:p>
      <w:pPr>
        <w:spacing w:after="0" w:line="73"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3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Rule 144</w:t>
      </w:r>
    </w:p>
    <w:p>
      <w:pPr>
        <w:spacing w:after="0" w:line="104"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All of our ordinary shares that will be outstanding upon the completion of this offering, other than those ordinary shares represented by ADSs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180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1" w:name="page232"/>
    <w:bookmarkEnd w:id="23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23" w:lineRule="exact"/>
        <w:rPr>
          <w:sz w:val="20"/>
          <w:szCs w:val="20"/>
          <w:color w:val="auto"/>
        </w:rPr>
      </w:pPr>
    </w:p>
    <w:p>
      <w:pPr>
        <w:ind w:left="1980" w:right="1639" w:hanging="157"/>
        <w:spacing w:after="0" w:line="288" w:lineRule="auto"/>
        <w:tabs>
          <w:tab w:leader="none" w:pos="19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1% of the then outstanding ordinary shares of the same class, in the form of ADSs or otherwise, which immediately after this offering will equal 1,097,647 ordinary shares, assuming the underwriters do not exercise their over-allotment option; or</w:t>
      </w:r>
    </w:p>
    <w:p>
      <w:pPr>
        <w:spacing w:after="0" w:line="25" w:lineRule="exact"/>
        <w:rPr>
          <w:rFonts w:ascii="Arial" w:cs="Arial" w:eastAsia="Arial" w:hAnsi="Arial"/>
          <w:sz w:val="12"/>
          <w:szCs w:val="12"/>
          <w:color w:val="auto"/>
        </w:rPr>
      </w:pPr>
    </w:p>
    <w:p>
      <w:pPr>
        <w:ind w:left="1980" w:right="1619" w:hanging="157"/>
        <w:spacing w:after="0" w:line="288" w:lineRule="auto"/>
        <w:tabs>
          <w:tab w:leader="none" w:pos="19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average weekly trading volume of our ordinary shares of the same class, in the form of ADSs or otherwise, during the four calendar weeks preceding the date on which notice of the sale is filed with the SEC.</w:t>
      </w:r>
    </w:p>
    <w:p>
      <w:pPr>
        <w:spacing w:after="0" w:line="64" w:lineRule="exact"/>
        <w:rPr>
          <w:sz w:val="20"/>
          <w:szCs w:val="20"/>
          <w:color w:val="auto"/>
        </w:rPr>
      </w:pPr>
    </w:p>
    <w:p>
      <w:pPr>
        <w:ind w:left="1560" w:right="1799"/>
        <w:spacing w:after="0" w:line="308" w:lineRule="auto"/>
        <w:rPr>
          <w:sz w:val="20"/>
          <w:szCs w:val="20"/>
          <w:color w:val="auto"/>
        </w:rPr>
      </w:pPr>
      <w:r>
        <w:rPr>
          <w:rFonts w:ascii="Arial" w:cs="Arial" w:eastAsia="Arial" w:hAnsi="Arial"/>
          <w:sz w:val="12"/>
          <w:szCs w:val="12"/>
          <w:color w:val="auto"/>
        </w:rPr>
        <w:t>Sales by our affiliates under Rule 144 are also subject to certain requirements relating to manner of sale, notice and the availability of current public information about us.</w:t>
      </w:r>
    </w:p>
    <w:p>
      <w:pPr>
        <w:spacing w:after="0" w:line="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Rule 701</w:t>
      </w:r>
    </w:p>
    <w:p>
      <w:pPr>
        <w:spacing w:after="0" w:line="123"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In general, under Rule 701 of the Securities Act as currently in effect, each of our employees, consultants or advisors who purchases our ordinary shares from us in connection with a compensatory share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7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Registration Rights</w:t>
      </w:r>
    </w:p>
    <w:p>
      <w:pPr>
        <w:spacing w:after="0" w:line="123" w:lineRule="exact"/>
        <w:rPr>
          <w:sz w:val="20"/>
          <w:szCs w:val="20"/>
          <w:color w:val="auto"/>
        </w:rPr>
      </w:pPr>
    </w:p>
    <w:p>
      <w:pPr>
        <w:ind w:left="1560" w:right="1659"/>
        <w:spacing w:after="0" w:line="278" w:lineRule="auto"/>
        <w:rPr>
          <w:sz w:val="20"/>
          <w:szCs w:val="20"/>
          <w:color w:val="auto"/>
        </w:rPr>
      </w:pPr>
      <w:r>
        <w:rPr>
          <w:rFonts w:ascii="Arial" w:cs="Arial" w:eastAsia="Arial" w:hAnsi="Arial"/>
          <w:sz w:val="12"/>
          <w:szCs w:val="12"/>
          <w:color w:val="auto"/>
        </w:rPr>
        <w:t>Beginning 180 days after the date of this prospectus, subject to certain exceptions, holders of 67,018,087 ordinary shares will be entitled to the registration rights described in the section titled “Description of Share Capital—Registration Rights.” Registration of these shares under the Securities Act would result in these shares becoming freely tradable without restriction under the Securities Act immediately upon effectiveness of the registration.</w:t>
      </w:r>
    </w:p>
    <w:p>
      <w:pPr>
        <w:spacing w:after="0" w:line="8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Equity Incentive Plans</w:t>
      </w:r>
    </w:p>
    <w:p>
      <w:pPr>
        <w:spacing w:after="0" w:line="113" w:lineRule="exact"/>
        <w:rPr>
          <w:sz w:val="20"/>
          <w:szCs w:val="20"/>
          <w:color w:val="auto"/>
        </w:rPr>
      </w:pPr>
    </w:p>
    <w:p>
      <w:pPr>
        <w:ind w:left="1560" w:right="1699"/>
        <w:spacing w:after="0" w:line="274" w:lineRule="auto"/>
        <w:rPr>
          <w:sz w:val="20"/>
          <w:szCs w:val="20"/>
          <w:color w:val="auto"/>
        </w:rPr>
      </w:pPr>
      <w:r>
        <w:rPr>
          <w:rFonts w:ascii="Arial" w:cs="Arial" w:eastAsia="Arial" w:hAnsi="Arial"/>
          <w:sz w:val="12"/>
          <w:szCs w:val="12"/>
          <w:color w:val="auto"/>
        </w:rPr>
        <w:t>We intend to file one or more registration statements on Form S-8 under the Securities Act to register all of the ordinary shares subject to outstanding stock options and the ordinary shares subject to issuance under the 2019 Plan and the 2023 Plan to be adopted in connection with this offering. We expect to file these registration statements as promptly as possible after the completion of this offering. Any such Form S-8 registration statements will automatically become effective upon filing. Accordingly, ADSs registered under such registration statements will be available for sale in the open market. We expect that the initial registration statement on Form S-8 relating to the outstanding 326,666 ordinary shares issued under the 2019 Plan and the 2023 Plan will cover 22,099,376 ordinary shares.</w:t>
      </w:r>
    </w:p>
    <w:p>
      <w:pPr>
        <w:spacing w:after="0" w:line="8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Regulation S</w:t>
      </w:r>
    </w:p>
    <w:p>
      <w:pPr>
        <w:spacing w:after="0" w:line="123" w:lineRule="exact"/>
        <w:rPr>
          <w:sz w:val="20"/>
          <w:szCs w:val="20"/>
          <w:color w:val="auto"/>
        </w:rPr>
      </w:pPr>
    </w:p>
    <w:p>
      <w:pPr>
        <w:jc w:val="both"/>
        <w:ind w:left="1560" w:right="1719"/>
        <w:spacing w:after="0" w:line="288" w:lineRule="auto"/>
        <w:rPr>
          <w:sz w:val="20"/>
          <w:szCs w:val="20"/>
          <w:color w:val="auto"/>
        </w:rPr>
      </w:pPr>
      <w:r>
        <w:rPr>
          <w:rFonts w:ascii="Arial" w:cs="Arial" w:eastAsia="Arial" w:hAnsi="Arial"/>
          <w:sz w:val="12"/>
          <w:szCs w:val="12"/>
          <w:color w:val="auto"/>
        </w:rPr>
        <w:t>Regulation S provides generally that sales made in offshore transactions are not subject to the registration or prospectus-delivery requirements of the Securities Act. Accordingly, restricted securities may be sold in offshore transactions in compliance with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2" w:name="page233"/>
    <w:bookmarkEnd w:id="232"/>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TAXATION</w:t>
      </w: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Material U.S. Federal Income Tax Consequences</w:t>
      </w:r>
    </w:p>
    <w:p>
      <w:pPr>
        <w:spacing w:after="0" w:line="113"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The following is a summary of the material U.S. federal income tax consequences to U.S. holders and non-U.S. holders (each, as defined below) of the acquisition, ownership and disposition of our ordinary shares or ADSs. This discussion is not a complete analysis of all potential U.S. federal income tax consequences relating thereto, and does not address the potential application of the Medicare contribution tax or the alternative minimum tax, the impact of special tax accounting rules under Section 451(b) of the Code,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U.S. Internal Revenue Service, or IRS, all as in effect as of the date of this prospectus.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84"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This discussion is limited to holders who purchase our ordinary shares or ADSs pursuant to this offering and who hold our ordinary shares or ADSs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24" w:lineRule="exact"/>
        <w:rPr>
          <w:sz w:val="20"/>
          <w:szCs w:val="20"/>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certain former citizens or long-term residents of the United States;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partnerships or other pass-through entities (and investors therein);</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“controlled foreign corporations”;</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“passive foreign investment companies”;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corporations that accumulate earnings to avoid U.S. federal income tax;</w:t>
      </w:r>
    </w:p>
    <w:p>
      <w:pPr>
        <w:spacing w:after="0" w:line="65" w:lineRule="exact"/>
        <w:rPr>
          <w:rFonts w:ascii="Arial" w:cs="Arial" w:eastAsia="Arial" w:hAnsi="Arial"/>
          <w:sz w:val="12"/>
          <w:szCs w:val="12"/>
          <w:color w:val="auto"/>
        </w:rPr>
      </w:pPr>
    </w:p>
    <w:p>
      <w:pPr>
        <w:ind w:left="1980" w:right="1699" w:hanging="157"/>
        <w:spacing w:after="0" w:line="308" w:lineRule="auto"/>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banks, financial institutions, investment funds, insurance companies, brokers, dealers, or traders in securities;</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tax-exempt organizations and governmental organizations;</w:t>
      </w:r>
    </w:p>
    <w:p>
      <w:pPr>
        <w:spacing w:after="0" w:line="74"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tax-qualified retirement plans;</w:t>
      </w:r>
    </w:p>
    <w:p>
      <w:pPr>
        <w:spacing w:after="0" w:line="65"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persons who acquire our ordinary shares or ADSs through the exercise of an option or otherwise as compensation;</w:t>
      </w:r>
    </w:p>
    <w:p>
      <w:pPr>
        <w:spacing w:after="0" w:line="3" w:lineRule="exact"/>
        <w:rPr>
          <w:rFonts w:ascii="Arial" w:cs="Arial" w:eastAsia="Arial" w:hAnsi="Arial"/>
          <w:sz w:val="12"/>
          <w:szCs w:val="12"/>
          <w:color w:val="auto"/>
        </w:rPr>
      </w:pPr>
    </w:p>
    <w:p>
      <w:pPr>
        <w:ind w:left="1980" w:right="1659" w:hanging="157"/>
        <w:spacing w:after="0" w:line="308" w:lineRule="auto"/>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persons that own, or have owned, actually or constructively, more than 5% of our ordinary shares or ADSs;</w:t>
      </w:r>
    </w:p>
    <w:p>
      <w:pPr>
        <w:spacing w:after="0" w:line="13"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persons who have elected to mark securities to market;</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U.S. expatriates; and</w:t>
      </w:r>
    </w:p>
    <w:p>
      <w:pPr>
        <w:spacing w:after="0" w:line="65" w:lineRule="exact"/>
        <w:rPr>
          <w:rFonts w:ascii="Arial" w:cs="Arial" w:eastAsia="Arial" w:hAnsi="Arial"/>
          <w:sz w:val="12"/>
          <w:szCs w:val="12"/>
          <w:color w:val="auto"/>
        </w:rPr>
      </w:pPr>
    </w:p>
    <w:p>
      <w:pPr>
        <w:ind w:left="1980" w:right="1939" w:hanging="157"/>
        <w:spacing w:after="0" w:line="308" w:lineRule="auto"/>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persons holding our ordinary shares or ADSs as part of a hedging or conversion transaction or straddle, or a constructive sale, or other risk reduction strategy or integrated investment.</w:t>
      </w:r>
    </w:p>
    <w:p>
      <w:pPr>
        <w:spacing w:after="0" w:line="62" w:lineRule="exact"/>
        <w:rPr>
          <w:sz w:val="20"/>
          <w:szCs w:val="20"/>
          <w:color w:val="auto"/>
        </w:rPr>
      </w:pPr>
    </w:p>
    <w:p>
      <w:pPr>
        <w:ind w:left="1560" w:right="1719"/>
        <w:spacing w:after="0" w:line="279" w:lineRule="auto"/>
        <w:rPr>
          <w:sz w:val="20"/>
          <w:szCs w:val="20"/>
          <w:color w:val="auto"/>
        </w:rPr>
      </w:pPr>
      <w:r>
        <w:rPr>
          <w:rFonts w:ascii="Arial" w:cs="Arial" w:eastAsia="Arial" w:hAnsi="Arial"/>
          <w:sz w:val="12"/>
          <w:szCs w:val="12"/>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ORDINARY SHARES OR ADSS, AS WELL AS ANY TAX CONSEQUENCES ARISING UNDER ANY STATE, LOCAL OR FOREIGN TAX LAWS AND ANY OTHER U.S. FEDERAL TAX LAWS.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3" w:name="page234"/>
    <w:bookmarkEnd w:id="23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Definition of U.S. Holder and Non-U.S. Holder</w:t>
      </w:r>
    </w:p>
    <w:p>
      <w:pPr>
        <w:spacing w:after="0" w:line="113" w:lineRule="exact"/>
        <w:rPr>
          <w:sz w:val="20"/>
          <w:szCs w:val="20"/>
          <w:color w:val="auto"/>
        </w:rPr>
      </w:pPr>
    </w:p>
    <w:p>
      <w:pPr>
        <w:ind w:left="1560" w:right="1739"/>
        <w:spacing w:after="0" w:line="291" w:lineRule="auto"/>
        <w:rPr>
          <w:sz w:val="20"/>
          <w:szCs w:val="20"/>
          <w:color w:val="auto"/>
        </w:rPr>
      </w:pPr>
      <w:r>
        <w:rPr>
          <w:rFonts w:ascii="Arial" w:cs="Arial" w:eastAsia="Arial" w:hAnsi="Arial"/>
          <w:sz w:val="12"/>
          <w:szCs w:val="12"/>
          <w:color w:val="auto"/>
        </w:rPr>
        <w:t>A U.S. holder is any U.S. person that is a beneficial owner of our ordinary shares or ADSs. A U.S. person, for U.S. federal income tax purposes, is any of the following:</w:t>
      </w:r>
    </w:p>
    <w:p>
      <w:pPr>
        <w:spacing w:after="0" w:line="13" w:lineRule="exact"/>
        <w:rPr>
          <w:sz w:val="20"/>
          <w:szCs w:val="20"/>
          <w:color w:val="auto"/>
        </w:rPr>
      </w:pPr>
    </w:p>
    <w:p>
      <w:pPr>
        <w:ind w:left="1980" w:hanging="157"/>
        <w:spacing w:after="0"/>
        <w:tabs>
          <w:tab w:leader="none" w:pos="19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an individual citizen or resident of the United States;</w:t>
      </w:r>
    </w:p>
    <w:p>
      <w:pPr>
        <w:spacing w:after="0" w:line="45" w:lineRule="exact"/>
        <w:rPr>
          <w:rFonts w:ascii="Arial" w:cs="Arial" w:eastAsia="Arial" w:hAnsi="Arial"/>
          <w:sz w:val="12"/>
          <w:szCs w:val="12"/>
          <w:color w:val="auto"/>
        </w:rPr>
      </w:pPr>
    </w:p>
    <w:p>
      <w:pPr>
        <w:ind w:left="1980" w:right="1879" w:hanging="157"/>
        <w:spacing w:after="0" w:line="302" w:lineRule="auto"/>
        <w:tabs>
          <w:tab w:leader="none" w:pos="19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 corporation created or organized under the laws of the United States, any state thereof, or the District of Columbia;</w:t>
      </w:r>
    </w:p>
    <w:p>
      <w:pPr>
        <w:ind w:left="1980" w:hanging="157"/>
        <w:spacing w:after="0"/>
        <w:tabs>
          <w:tab w:leader="none" w:pos="19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 regardless of its source; or</w:t>
      </w:r>
    </w:p>
    <w:p>
      <w:pPr>
        <w:spacing w:after="0" w:line="45" w:lineRule="exact"/>
        <w:rPr>
          <w:rFonts w:ascii="Arial" w:cs="Arial" w:eastAsia="Arial" w:hAnsi="Arial"/>
          <w:sz w:val="12"/>
          <w:szCs w:val="12"/>
          <w:color w:val="auto"/>
        </w:rPr>
      </w:pPr>
    </w:p>
    <w:p>
      <w:pPr>
        <w:jc w:val="both"/>
        <w:ind w:left="1980" w:right="1739" w:hanging="157"/>
        <w:spacing w:after="0" w:line="282" w:lineRule="auto"/>
        <w:tabs>
          <w:tab w:leader="none" w:pos="19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67" w:lineRule="exact"/>
        <w:rPr>
          <w:sz w:val="20"/>
          <w:szCs w:val="20"/>
          <w:color w:val="auto"/>
        </w:rPr>
      </w:pPr>
    </w:p>
    <w:p>
      <w:pPr>
        <w:jc w:val="both"/>
        <w:ind w:left="1560" w:right="1739"/>
        <w:spacing w:after="0" w:line="272" w:lineRule="auto"/>
        <w:rPr>
          <w:sz w:val="20"/>
          <w:szCs w:val="20"/>
          <w:color w:val="auto"/>
        </w:rPr>
      </w:pPr>
      <w:r>
        <w:rPr>
          <w:rFonts w:ascii="Arial" w:cs="Arial" w:eastAsia="Arial" w:hAnsi="Arial"/>
          <w:sz w:val="12"/>
          <w:szCs w:val="12"/>
          <w:color w:val="auto"/>
        </w:rPr>
        <w:t>For purposes of this discussion, a non-U.S. holder is any beneficial owner of our ordinary shares or ADSs that is not a “U.S. person” nor a partnership (including any entity or arrangement treated as a partnership) for U.S. federal income tax purposes.</w:t>
      </w:r>
    </w:p>
    <w:p>
      <w:pPr>
        <w:spacing w:after="0" w:line="72"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If an entity or arrangement that is classified as a partnership for U.S. federal income tax purposes holds our ordinary shares or ADSs, the U.S. federal income tax treatment of a partner in the partnership will generally depend on the status of the partner and the activities of the partnership. Partnerships holding our ordinary shares or ADSs and the partners in such partnerships are urged to consult their tax advisors about the particular U.S. federal income tax consequences to them of holding and disposing of our ordinary shares or ADSs.</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Tax Classification of the Company as a U.S. Domestic Corporation</w:t>
      </w:r>
    </w:p>
    <w:p>
      <w:pPr>
        <w:spacing w:after="0" w:line="113"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For U.S. federal income tax purposes, a corporation is generally considered to be a tax resident in the jurisdiction of its organization or incorporation. Accordingly, under the generally applicable U.S. federal income tax rules, the Company, which is incorporated under the laws of the Cayman Islands, would be classified as a non-U.S. corporation (and, therefore, not a U.S. tax resident) for U.S. federal income tax purposes. However, Section 7874 of the Code provides an exception to this general rule, under which a non-U.S. incorporated entity may, in certain circumstances, be treated as a U.S. corporation for U.S. federal income tax purposes. These rules are complex and there is limited guidance regarding their application. A number of significant and complicated U.S. federal income tax consequences may result from such classification, and this summary does not attempt to describe all such U.S. federal income tax consequences. Section 7874 of the Code and the Treasury Regulations promulgated thereunder do not address all the possible tax consequences that arise from the Company being treated as a U.S. domestic corporation for U.S. federal income tax purposes. Accordingly, there may be additional or unforeseen U.S. federal income tax consequences to the Company that are not discussed in this summary.</w:t>
      </w:r>
    </w:p>
    <w:p>
      <w:pPr>
        <w:spacing w:after="0" w:line="70"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Under such rules, even though the Company is organized as a Cayman Islands corporation, it will be treated as a U.S. domestic corporation for U.S. federal income tax purposes as a result of the Company’s prior acquisition of a United States target corporation and application of the so-called “inversion” rules under Section 7874 of the Code. As such, the Company will be subject to U.S. federal income tax as if it were organized under the laws of the United States or a state thereof, and its dividends will be treated as dividends from a U.S. corporation. In addition, the Company will be required to file a U.S. federal income tax return annually with the IRS. It is anticipated that such U.S. tax treatment will continue indefinitely and that our ordinary shares and ADSs will be treated indefinitely as shares in a U.S. domestic corporation for U.S. federal income tax purposes. The Company’s status as a domestic corporation for U.S. federal income tax purposes has implications for all shareholders, although only the application to U.S. Holders is discussed in this summary.</w:t>
      </w:r>
    </w:p>
    <w:p>
      <w:pPr>
        <w:spacing w:after="0" w:line="83" w:lineRule="exact"/>
        <w:rPr>
          <w:sz w:val="20"/>
          <w:szCs w:val="20"/>
          <w:color w:val="auto"/>
        </w:rPr>
      </w:pPr>
    </w:p>
    <w:p>
      <w:pPr>
        <w:jc w:val="both"/>
        <w:ind w:left="1560" w:right="1659"/>
        <w:spacing w:after="0" w:line="272" w:lineRule="auto"/>
        <w:rPr>
          <w:sz w:val="20"/>
          <w:szCs w:val="20"/>
          <w:color w:val="auto"/>
        </w:rPr>
      </w:pPr>
      <w:r>
        <w:rPr>
          <w:rFonts w:ascii="Arial" w:cs="Arial" w:eastAsia="Arial" w:hAnsi="Arial"/>
          <w:sz w:val="12"/>
          <w:szCs w:val="12"/>
          <w:color w:val="auto"/>
        </w:rPr>
        <w:t>The remaining discussion contained in this section titled “Material U.S. Federal Income Tax Considerations” section assumes that the Company will be treated as a domestic corporation for all U.S. federal income tax purposes.</w:t>
      </w:r>
    </w:p>
    <w:p>
      <w:pPr>
        <w:spacing w:after="0" w:line="8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Tax Considerations for U.S. Holders</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Distributions</w:t>
      </w:r>
    </w:p>
    <w:p>
      <w:pPr>
        <w:spacing w:after="0" w:line="111" w:lineRule="exact"/>
        <w:rPr>
          <w:sz w:val="20"/>
          <w:szCs w:val="20"/>
          <w:color w:val="auto"/>
        </w:rPr>
      </w:pPr>
    </w:p>
    <w:p>
      <w:pPr>
        <w:ind w:left="1560" w:right="1719"/>
        <w:spacing w:after="0" w:line="291" w:lineRule="auto"/>
        <w:rPr>
          <w:sz w:val="20"/>
          <w:szCs w:val="20"/>
          <w:color w:val="auto"/>
        </w:rPr>
      </w:pPr>
      <w:r>
        <w:rPr>
          <w:rFonts w:ascii="Arial" w:cs="Arial" w:eastAsia="Arial" w:hAnsi="Arial"/>
          <w:sz w:val="12"/>
          <w:szCs w:val="12"/>
          <w:color w:val="auto"/>
        </w:rPr>
        <w:t>It is unlikely that we will pay any dividends on our ordinary shares or ADSs in the foreseeable future. If we make cash or other property distributions on our ordinary shares or ADSs, such distributions will constitute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4" w:name="page235"/>
    <w:bookmarkEnd w:id="23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or ADSs, but not below zero. Any excess will be treated as gain realized on the sale or other disposition of our ordinary shares and will be treated as described under “—</w:t>
      </w:r>
      <w:r>
        <w:rPr>
          <w:rFonts w:ascii="Arial" w:cs="Arial" w:eastAsia="Arial" w:hAnsi="Arial"/>
          <w:sz w:val="12"/>
          <w:szCs w:val="12"/>
          <w:i w:val="1"/>
          <w:iCs w:val="1"/>
          <w:color w:val="auto"/>
        </w:rPr>
        <w:t>Sale or Redemption</w:t>
      </w:r>
      <w:r>
        <w:rPr>
          <w:rFonts w:ascii="Arial" w:cs="Arial" w:eastAsia="Arial" w:hAnsi="Arial"/>
          <w:sz w:val="12"/>
          <w:szCs w:val="12"/>
          <w:color w:val="auto"/>
        </w:rPr>
        <w:t>”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w:t>
      </w:r>
    </w:p>
    <w:p>
      <w:pPr>
        <w:spacing w:after="0" w:line="9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Sale or Redemption</w:t>
      </w:r>
    </w:p>
    <w:p>
      <w:pPr>
        <w:spacing w:after="0" w:line="111"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color w:val="auto"/>
        </w:rPr>
        <w:t>A U.S. holder will generally recognize capital gain or loss on a sale, exchange, redemption (other than a redemption that is treated as a distribution) or other disposition of our ordinary shares or ADSs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9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11"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The amount of any distribution paid to a U.S. holder in foreign currency, or the amount of proceeds paid in foreign currency on the sale, exchange or other taxable disposition of our ordinary shares or ADSs, generally 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w:t>
      </w:r>
    </w:p>
    <w:p>
      <w:pPr>
        <w:spacing w:after="0" w:line="9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Information Reporting and Backup Withholding</w:t>
      </w:r>
    </w:p>
    <w:p>
      <w:pPr>
        <w:spacing w:after="0" w:line="102"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Information returns will be filed with the IRS in connection with payments of dividends and the proceeds from a sale or other disposition of ordinary shares or ADSs payable to a U.S. Holder. Certain U.S. holders may be subject to backup withholding with respect to the payment of dividends and certain payments of proceeds on the sale or redemption of ordinary shares or ADSs unless such U.S. holder provides proof of an applicable exemption or a correct taxpayer identification number (usually with an IRS Form W-9), and otherwise comply with applicable requirements of the backup withholding rules.</w:t>
      </w:r>
    </w:p>
    <w:p>
      <w:pPr>
        <w:spacing w:after="0" w:line="7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Backup withholding is not an additional tax. 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spacing w:after="0" w:line="86"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Non-U.S. Holders</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Distributions</w:t>
      </w:r>
    </w:p>
    <w:p>
      <w:pPr>
        <w:spacing w:after="0" w:line="111" w:lineRule="exact"/>
        <w:rPr>
          <w:sz w:val="20"/>
          <w:szCs w:val="20"/>
          <w:color w:val="auto"/>
        </w:rPr>
      </w:pPr>
    </w:p>
    <w:p>
      <w:pPr>
        <w:ind w:left="1560" w:right="1659"/>
        <w:spacing w:after="0" w:line="262" w:lineRule="auto"/>
        <w:rPr>
          <w:sz w:val="20"/>
          <w:szCs w:val="20"/>
          <w:color w:val="auto"/>
        </w:rPr>
      </w:pPr>
      <w:r>
        <w:rPr>
          <w:rFonts w:ascii="Arial" w:cs="Arial" w:eastAsia="Arial" w:hAnsi="Arial"/>
          <w:sz w:val="12"/>
          <w:szCs w:val="12"/>
          <w:color w:val="auto"/>
        </w:rPr>
        <w:t xml:space="preserve">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but not below zero. Any excess will be treated as gain realized on the sale or other disposition of our ordinary shares and will be treated as described under “— </w:t>
      </w:r>
      <w:r>
        <w:rPr>
          <w:rFonts w:ascii="Arial" w:cs="Arial" w:eastAsia="Arial" w:hAnsi="Arial"/>
          <w:sz w:val="12"/>
          <w:szCs w:val="12"/>
          <w:i w:val="1"/>
          <w:iCs w:val="1"/>
          <w:color w:val="auto"/>
        </w:rPr>
        <w:t>Gain On Sale or Redemption</w:t>
      </w:r>
      <w:r>
        <w:rPr>
          <w:rFonts w:ascii="Arial" w:cs="Arial" w:eastAsia="Arial" w:hAnsi="Arial"/>
          <w:sz w:val="12"/>
          <w:szCs w:val="12"/>
          <w:color w:val="auto"/>
        </w:rPr>
        <w:t>” below.</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5" w:name="page236"/>
    <w:bookmarkEnd w:id="23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1" w:lineRule="auto"/>
        <w:rPr>
          <w:sz w:val="20"/>
          <w:szCs w:val="20"/>
          <w:color w:val="auto"/>
        </w:rPr>
      </w:pPr>
      <w:r>
        <w:rPr>
          <w:rFonts w:ascii="Arial" w:cs="Arial" w:eastAsia="Arial" w:hAnsi="Arial"/>
          <w:sz w:val="12"/>
          <w:szCs w:val="12"/>
          <w:color w:val="auto"/>
        </w:rPr>
        <w:t>Subject to the discussion below regarding effectively connected income, any dividend income paid to a non-U.S. holder of our ordinary shares or ADSs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230" w:lineRule="exact"/>
        <w:rPr>
          <w:sz w:val="20"/>
          <w:szCs w:val="20"/>
          <w:color w:val="auto"/>
        </w:rPr>
      </w:pPr>
    </w:p>
    <w:p>
      <w:pPr>
        <w:ind w:left="1560" w:right="1879"/>
        <w:spacing w:after="0" w:line="280" w:lineRule="auto"/>
        <w:rPr>
          <w:sz w:val="20"/>
          <w:szCs w:val="20"/>
          <w:color w:val="auto"/>
        </w:rPr>
      </w:pPr>
      <w:r>
        <w:rPr>
          <w:rFonts w:ascii="Arial" w:cs="Arial" w:eastAsia="Arial" w:hAnsi="Arial"/>
          <w:sz w:val="12"/>
          <w:szCs w:val="12"/>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68"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If a non-U.S. holder holds our ordinary shares in connection with the conduct of a trade or business in the United States, and dividends paid on our ordinary shares or ADSs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78" w:lineRule="exact"/>
        <w:rPr>
          <w:sz w:val="20"/>
          <w:szCs w:val="20"/>
          <w:color w:val="auto"/>
        </w:rPr>
      </w:pPr>
    </w:p>
    <w:p>
      <w:pPr>
        <w:ind w:left="1560" w:right="1579"/>
        <w:spacing w:after="0" w:line="261" w:lineRule="auto"/>
        <w:rPr>
          <w:sz w:val="20"/>
          <w:szCs w:val="20"/>
          <w:color w:val="auto"/>
        </w:rPr>
      </w:pPr>
      <w:r>
        <w:rPr>
          <w:rFonts w:ascii="Arial" w:cs="Arial" w:eastAsia="Arial" w:hAnsi="Arial"/>
          <w:sz w:val="12"/>
          <w:szCs w:val="12"/>
          <w:color w:val="auto"/>
        </w:rPr>
        <w:t>However, any such effectively connected dividends paid on our ordinary shares or ADSs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these rules and any applicable income tax treaties that may provide for different rules</w:t>
      </w:r>
      <w:r>
        <w:rPr>
          <w:rFonts w:ascii="Arial" w:cs="Arial" w:eastAsia="Arial" w:hAnsi="Arial"/>
          <w:sz w:val="12"/>
          <w:szCs w:val="12"/>
          <w:i w:val="1"/>
          <w:iCs w:val="1"/>
          <w:color w:val="auto"/>
        </w:rPr>
        <w:t>.</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Sale or Redemption</w:t>
      </w:r>
    </w:p>
    <w:p>
      <w:pPr>
        <w:spacing w:after="0" w:line="34"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Subject to the discussion below regarding backup withholding and FATCA, a non-U.S. holder generally will not be subject to U.S. federal income tax on any gain realized on the sale or other disposition of our ordinary shares or ADSs, unless:</w:t>
      </w:r>
    </w:p>
    <w:p>
      <w:pPr>
        <w:spacing w:after="0" w:line="20" w:lineRule="exact"/>
        <w:rPr>
          <w:sz w:val="20"/>
          <w:szCs w:val="20"/>
          <w:color w:val="auto"/>
        </w:rPr>
      </w:pPr>
    </w:p>
    <w:p>
      <w:pPr>
        <w:ind w:left="1980" w:right="1859" w:hanging="157"/>
        <w:spacing w:after="0" w:line="288" w:lineRule="auto"/>
        <w:tabs>
          <w:tab w:leader="none" w:pos="19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5" w:lineRule="exact"/>
        <w:rPr>
          <w:rFonts w:ascii="Arial" w:cs="Arial" w:eastAsia="Arial" w:hAnsi="Arial"/>
          <w:sz w:val="12"/>
          <w:szCs w:val="12"/>
          <w:color w:val="auto"/>
        </w:rPr>
      </w:pPr>
    </w:p>
    <w:p>
      <w:pPr>
        <w:ind w:left="1980" w:right="1859" w:hanging="157"/>
        <w:spacing w:after="0" w:line="308" w:lineRule="auto"/>
        <w:tabs>
          <w:tab w:leader="none" w:pos="19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non-U.S. holder is a nonresident alien individual present in the United States for 183 days or more during the taxable year of the disposition, and certain other requirements are met; or</w:t>
      </w:r>
    </w:p>
    <w:p>
      <w:pPr>
        <w:spacing w:after="0" w:line="3" w:lineRule="exact"/>
        <w:rPr>
          <w:rFonts w:ascii="Arial" w:cs="Arial" w:eastAsia="Arial" w:hAnsi="Arial"/>
          <w:sz w:val="12"/>
          <w:szCs w:val="12"/>
          <w:color w:val="auto"/>
        </w:rPr>
      </w:pPr>
    </w:p>
    <w:p>
      <w:pPr>
        <w:ind w:left="1980" w:right="1599" w:hanging="157"/>
        <w:spacing w:after="0" w:line="276" w:lineRule="auto"/>
        <w:tabs>
          <w:tab w:leader="none" w:pos="19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our ordinary shares or ADSs constitute a “United States real property interest” by reason of our status as a United States real property holding corporation, for U.S. federal income tax purposes at any time within the shorter of the five-year period preceding the disposition or the non-U.S. holder’s holding period for our ordinary shares or ADSs, and our ordinary shares or ADSs, as applicable, are not regularly traded on an established securities market during the calendar year in which the sale or other disposition occurs.</w:t>
      </w:r>
    </w:p>
    <w:p>
      <w:pPr>
        <w:spacing w:after="0" w:line="73"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76" w:lineRule="exact"/>
        <w:rPr>
          <w:sz w:val="20"/>
          <w:szCs w:val="20"/>
          <w:color w:val="auto"/>
        </w:rPr>
      </w:pPr>
    </w:p>
    <w:p>
      <w:pPr>
        <w:ind w:left="1560" w:right="1659"/>
        <w:spacing w:after="0" w:line="263" w:lineRule="auto"/>
        <w:rPr>
          <w:sz w:val="20"/>
          <w:szCs w:val="20"/>
          <w:color w:val="auto"/>
        </w:rPr>
      </w:pPr>
      <w:r>
        <w:rPr>
          <w:rFonts w:ascii="Arial" w:cs="Arial" w:eastAsia="Arial" w:hAnsi="Arial"/>
          <w:sz w:val="12"/>
          <w:szCs w:val="12"/>
          <w:color w:val="auto"/>
        </w:rPr>
        <w:t>A non-U.S. holder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6" w:name="page237"/>
    <w:bookmarkEnd w:id="23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our ordinary shares or ADSs will not be subject to U.S. federal income tax on transfers of United States real property holding corporation shares if the ordinary shares or ADSs are “regularly traded,” as defined by applicable Treasury Regulations, on an established securities market, and such non-U.S. holder owned, actually and constructively, 5% or less of the ordinary shares or ADSs, as applicable, throughout the shorter of, the five-year period ending on the date of the sale or other taxable disposition or, the Non-U.S. holder’s holding period. We do not expect that our ordinary shares will be treated as regularly traded on an established securities market, and there can be no assurance that our ADSs will qualify or continue to qualify as regularly traded on an established securities market. If any gain on a non-U.S. holder’s disposition is taxable because we are a United States real property holding corporation and our ordinary shares or ADSs are not treated as regularly traded on an established securities market, the non-U.S. holder will be taxed on such disposition generally in the same manner as gain that is effectively connected with the conduct of a U.S. trade or business (subject to the provisions under an applicable income tax treaty), except that the branch profits tax generally will not apply.</w:t>
      </w:r>
    </w:p>
    <w:p>
      <w:pPr>
        <w:spacing w:after="0" w:line="9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Information Reporting and Backup Withholding</w:t>
      </w:r>
    </w:p>
    <w:p>
      <w:pPr>
        <w:spacing w:after="0" w:line="111" w:lineRule="exact"/>
        <w:rPr>
          <w:sz w:val="20"/>
          <w:szCs w:val="20"/>
          <w:color w:val="auto"/>
        </w:rPr>
      </w:pPr>
    </w:p>
    <w:p>
      <w:pPr>
        <w:ind w:left="1560" w:right="1579"/>
        <w:spacing w:after="0" w:line="260" w:lineRule="auto"/>
        <w:rPr>
          <w:sz w:val="20"/>
          <w:szCs w:val="20"/>
          <w:color w:val="auto"/>
        </w:rPr>
      </w:pPr>
      <w:r>
        <w:rPr>
          <w:rFonts w:ascii="Arial" w:cs="Arial" w:eastAsia="Arial" w:hAnsi="Arial"/>
          <w:sz w:val="12"/>
          <w:szCs w:val="12"/>
          <w:color w:val="auto"/>
        </w:rPr>
        <w:t>Annual reports are required to be filed with the IRS and provided to each non-U.S. holder indicating the amount of dividends on our ordinary shares or ADSs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generally will not apply to payments to a non-U.S. holder of dividends on or the gross proceeds of a disposition of our ordinary shares or ADSs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82" w:lineRule="exact"/>
        <w:rPr>
          <w:sz w:val="20"/>
          <w:szCs w:val="20"/>
          <w:color w:val="auto"/>
        </w:rPr>
      </w:pPr>
    </w:p>
    <w:p>
      <w:pPr>
        <w:ind w:left="1560" w:right="1779"/>
        <w:spacing w:after="0" w:line="280" w:lineRule="auto"/>
        <w:rPr>
          <w:sz w:val="20"/>
          <w:szCs w:val="20"/>
          <w:color w:val="auto"/>
        </w:rPr>
      </w:pPr>
      <w:r>
        <w:rPr>
          <w:rFonts w:ascii="Arial" w:cs="Arial" w:eastAsia="Arial" w:hAnsi="Arial"/>
          <w:sz w:val="12"/>
          <w:szCs w:val="12"/>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8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Withholding on Foreign Entities or Accounts</w:t>
      </w:r>
    </w:p>
    <w:p>
      <w:pPr>
        <w:spacing w:after="0" w:line="102"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Sections 1471 to 1474 of the Code, or 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w:t>
      </w:r>
    </w:p>
    <w:p>
      <w:pPr>
        <w:spacing w:after="0" w:line="83"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FATCA applies to dividends paid on our ordinary shares and ADSs. Proposed regulations issued by the Treasury Department (on which taxpayers are entitled to rely until final regulations are issued) eliminate the federal withholding tax of 30% imposed by FATCA to gross proceeds of a sale or other disposition of our ordinary shares or ADSs. Prospective investors are encouraged to consult with their own tax advisors regarding the possible implications of this FATCA on their investment in our ordinary shares or ADSs.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7" w:name="page238"/>
    <w:bookmarkEnd w:id="23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40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Cayman Islands</w:t>
      </w:r>
    </w:p>
    <w:p>
      <w:pPr>
        <w:spacing w:after="0" w:line="121" w:lineRule="exact"/>
        <w:rPr>
          <w:sz w:val="20"/>
          <w:szCs w:val="20"/>
          <w:color w:val="auto"/>
        </w:rPr>
      </w:pPr>
    </w:p>
    <w:p>
      <w:pPr>
        <w:jc w:val="both"/>
        <w:ind w:left="1560" w:right="1679"/>
        <w:spacing w:after="0" w:line="282" w:lineRule="auto"/>
        <w:rPr>
          <w:sz w:val="20"/>
          <w:szCs w:val="20"/>
          <w:color w:val="auto"/>
        </w:rPr>
      </w:pPr>
      <w:r>
        <w:rPr>
          <w:rFonts w:ascii="Arial" w:cs="Arial" w:eastAsia="Arial" w:hAnsi="Arial"/>
          <w:sz w:val="12"/>
          <w:szCs w:val="12"/>
          <w:color w:val="auto"/>
        </w:rPr>
        <w:t>Regardless of the application of Section 7874 of the Code (as discussed below), we are also treated as a Cayman corporation for Cayman tax purposes. However, we are not subject to income or capital gains tax under the current laws of the Cayman Islands. There are no other taxes likely to be material to us levied by the government of the Cayman Islands.</w:t>
      </w:r>
    </w:p>
    <w:p>
      <w:pPr>
        <w:spacing w:after="0" w:line="67"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We are and are expected to continue to be a Cayman Islands corporation as of the date of this prospectus.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We are treated as an exempted company for Cayman Islands tax purposes.</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PRC Taxation</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We are a holding company incorporated in the Cayman Islands.</w:t>
      </w:r>
    </w:p>
    <w:p>
      <w:pPr>
        <w:spacing w:after="0" w:line="113"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color w:val="auto"/>
        </w:rPr>
        <w:t>Under the Enterprise Income Tax Law of the People’s Republic of China, or EIT Law, and its implementation rules, an enterprise established outside of China with a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SAT Circular 82, which provides certain specific criteria for determining whether the “de facto management body” of a Chinese-controlled enterprise that is incorporated offshore is located in China. Although this circular only applies to offshore enterprises controlled by Chinese enterprises or Chinese enterprise groups, not those controlled by Chinese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all offshore enterprises controlled by a Chinese enterprise or a Chinese enterprise will be regarded as a Chinese tax resident by virtue of having its “de facto management body” in China only if all of the following conditions are met:</w:t>
      </w:r>
    </w:p>
    <w:p>
      <w:pPr>
        <w:spacing w:after="0" w:line="83" w:lineRule="exact"/>
        <w:rPr>
          <w:sz w:val="20"/>
          <w:szCs w:val="20"/>
          <w:color w:val="auto"/>
        </w:rPr>
      </w:pPr>
    </w:p>
    <w:p>
      <w:pPr>
        <w:ind w:left="2080" w:hanging="257"/>
        <w:spacing w:after="0"/>
        <w:tabs>
          <w:tab w:leader="none" w:pos="20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primary location of the day-to-day operational management is in China;</w:t>
      </w:r>
    </w:p>
    <w:p>
      <w:pPr>
        <w:spacing w:after="0" w:line="123" w:lineRule="exact"/>
        <w:rPr>
          <w:rFonts w:ascii="Arial" w:cs="Arial" w:eastAsia="Arial" w:hAnsi="Arial"/>
          <w:sz w:val="12"/>
          <w:szCs w:val="12"/>
          <w:color w:val="auto"/>
        </w:rPr>
      </w:pPr>
    </w:p>
    <w:p>
      <w:pPr>
        <w:ind w:left="2080" w:right="1579" w:hanging="257"/>
        <w:spacing w:after="0" w:line="308" w:lineRule="auto"/>
        <w:tabs>
          <w:tab w:leader="none" w:pos="20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decisions relating to the enterprise’s financial and human resource matters are made or are subject to approval by organizations or personnel in China;</w:t>
      </w:r>
    </w:p>
    <w:p>
      <w:pPr>
        <w:spacing w:after="0" w:line="51" w:lineRule="exact"/>
        <w:rPr>
          <w:rFonts w:ascii="Arial" w:cs="Arial" w:eastAsia="Arial" w:hAnsi="Arial"/>
          <w:sz w:val="12"/>
          <w:szCs w:val="12"/>
          <w:color w:val="auto"/>
        </w:rPr>
      </w:pPr>
    </w:p>
    <w:p>
      <w:pPr>
        <w:ind w:left="2080" w:right="1839" w:hanging="257"/>
        <w:spacing w:after="0" w:line="308" w:lineRule="auto"/>
        <w:tabs>
          <w:tab w:leader="none" w:pos="20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enterprise’s primary assets, accounting books and records, company seals, and board and shareholder resolutions, are located or maintained in China; and</w:t>
      </w:r>
    </w:p>
    <w:p>
      <w:pPr>
        <w:spacing w:after="0" w:line="61" w:lineRule="exact"/>
        <w:rPr>
          <w:rFonts w:ascii="Arial" w:cs="Arial" w:eastAsia="Arial" w:hAnsi="Arial"/>
          <w:sz w:val="12"/>
          <w:szCs w:val="12"/>
          <w:color w:val="auto"/>
        </w:rPr>
      </w:pPr>
    </w:p>
    <w:p>
      <w:pPr>
        <w:ind w:left="2080" w:hanging="257"/>
        <w:spacing w:after="0"/>
        <w:tabs>
          <w:tab w:leader="none" w:pos="20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at least 50% of voting board members or senior executives habitually reside in China.</w:t>
      </w:r>
    </w:p>
    <w:p>
      <w:pPr>
        <w:spacing w:after="0" w:line="123"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We believe that neither we nor any of its subsidiaries outside of China is a Chinese resident enterprise for Chinese tax purposes. We are not controlled by a Chinese enterprise or Chinese enterprise group, and we do not believe that we meet all of the conditions above. We are a company incorporated outside China. As a holding company, some of our key assets are located, and our records (including the resolutions of its board of directors and the resolutions of its shareholders) are maintained, outside China. For the same reasons, we believe our other subsidiaries outside of China are also not Chinese resident enterprises for Chinese tax purposes. However, the tax resident status of an enterprise is subject to determination by the Chinese tax authorities and uncertainties remain with respect to the interpretation of the term “de facto management body.”</w:t>
      </w:r>
    </w:p>
    <w:p>
      <w:pPr>
        <w:spacing w:after="0" w:line="229"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If the Chinese tax authorities determine that we are a Chinese resident enterprise for Enterprise Income Tax, or EIT, purposes, we may be required to withhold tax at a rate of 10% on dividends we pay to our shareholders, including holders of our ADSs, that are non-resident enterprises. In addition, non-resident enterprise shareholders (including our ADS holders) may be subject to a 10% Chinese withholding tax on gains realized on the sale or other disposition of ordinary shares or ADSs, if such income is treated as sourced from within China. Furthermore, gains derived by our non-Chinese individual shareholders from the sale of our ordinary shares and ADSs may be subject to a 20% Chinese withholding tax. It is unclear whether our non-Chinese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dividends realized by non-Chinese individuals, it will generally apply at a rate of 20%. The Chinese tax liability may be reduced under applicable tax</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8" w:name="page239"/>
    <w:bookmarkEnd w:id="23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619"/>
        <w:spacing w:after="0" w:line="288" w:lineRule="auto"/>
        <w:rPr>
          <w:sz w:val="20"/>
          <w:szCs w:val="20"/>
          <w:color w:val="auto"/>
        </w:rPr>
      </w:pPr>
      <w:r>
        <w:rPr>
          <w:rFonts w:ascii="Arial" w:cs="Arial" w:eastAsia="Arial" w:hAnsi="Arial"/>
          <w:sz w:val="12"/>
          <w:szCs w:val="12"/>
          <w:color w:val="auto"/>
        </w:rPr>
        <w:t>treaties. However, it is unclear whether our non-Chinese shareholders would be able to claim the benefits of any tax treaty between their country of tax residence and China in the event that we are treated as a Chinese resident enterprise.</w:t>
      </w:r>
    </w:p>
    <w:p>
      <w:pPr>
        <w:spacing w:after="0" w:line="74"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See the section titled “Risk Factors—Risks Related to Doing Business in China and Our International Operations—If we are classified as a China resident enterprise for China income tax purposes, such classification could result in unfavorable tax consequences to us and our non-Chinese shareholders or ADS holders.”</w:t>
      </w:r>
    </w:p>
    <w:p>
      <w:pPr>
        <w:spacing w:after="0" w:line="67"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Chinese-sourced income at a rate of 10%. Pursuant to the Arrangement between Mainland China and the Hong Kong Special Administrative Region for the Avoidance of Double Taxation and Tax Evasion on Income, the tax rate in respect to dividends paid by a Chinese enterprise to a Hong Kong enterprise is reduced to 5% from a standard rate of 10% if the Hong Kong enterprise directly holds at least 25% of the Chinese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Chinese resident enterprise; and (ii) it must have directly owned such percentage in the Chinese resident enterprise throughout the 12 months prior to receiving the dividends. Additionally, China has started an anti-tax treaty shopping practice since the issuance of Circular 601 in 2009. On February 3, 2018, the State Administration of Taxation released the Announcement on Issues concerning the “Beneficial Owner” in Tax Treaties, or PN9, which provides guidelines in determining a beneficial owner qualification under dividends, interest and royalty articles of tax treaties. Chinese tax authorities in general often scrutinize fact patterns case by case in determining foreign shareholders’ qualifications for a reduced treaty withholding tax rate, especially against foreign companies that are perceived as being conduits or lacking commercial substance. Furthermore, according to the Administrative Measures for Non-Resident Enterprises to Enjoy Treatments under Tax Treaties, which became effective in January 2020, where non-resident enterprises judge by themselves that they meet the conditions for entitlement to reduced tax rate according to tax treaties, they may enjoy such entitlement after reporting required information to competent tax authorities provided that they shall collect and retain relevant documents for future reference and inspections. Accordingly, our ShouTi Hong Kong Ltd. subsidiary may be able to enjoy the 5% tax rate for the dividends it receives from its Chinese incorporated subsidiaries if they satisfy the conditions prescribed under SAT Circular 81, PN9 and other relevant tax rules and regulations and complete the necessary government formalities.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245" w:lineRule="exact"/>
        <w:rPr>
          <w:sz w:val="20"/>
          <w:szCs w:val="20"/>
          <w:color w:val="auto"/>
        </w:rPr>
      </w:pPr>
    </w:p>
    <w:p>
      <w:pPr>
        <w:ind w:left="1560" w:right="1579"/>
        <w:spacing w:after="0" w:line="273" w:lineRule="auto"/>
        <w:rPr>
          <w:sz w:val="20"/>
          <w:szCs w:val="20"/>
          <w:color w:val="auto"/>
        </w:rPr>
      </w:pPr>
      <w:r>
        <w:rPr>
          <w:rFonts w:ascii="Arial" w:cs="Arial" w:eastAsia="Arial" w:hAnsi="Arial"/>
          <w:sz w:val="12"/>
          <w:szCs w:val="12"/>
          <w:color w:val="auto"/>
        </w:rPr>
        <w:t>If our Cayman Islands holding company, Structure Therapeutics Inc., is not deemed to be a Chinese resident enterprise, holders of our ordinary shares and ADSs who are not Chinese residents will not be subject to Chinese income tax on dividends distributed by us. With respect to gains realized from the sale or other disposition of the shares or ADSs, there is a possibility that a Chinese tax authority may impose an income tax under the indirect transfer rules set out under the Announcement of the State Administration of Taxation on Several Issues Concerning the Enterprise Income Tax on Indirect Property Transfer by Non-Resident Enterprises, or SAT Circular 7, except that such transaction could fall under the safe harbor thereunder. See the section titled “Risk Factors—Risks Related to Doing Business in China and Our International Operations —We and our shareholders face uncertainties in China with respect to indirect transfers of equity interests in China resident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9" w:name="page240"/>
    <w:bookmarkEnd w:id="239"/>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UNDERWRITING</w:t>
      </w:r>
    </w:p>
    <w:p>
      <w:pPr>
        <w:spacing w:after="0" w:line="253" w:lineRule="exact"/>
        <w:rPr>
          <w:sz w:val="20"/>
          <w:szCs w:val="20"/>
          <w:color w:val="auto"/>
        </w:rPr>
      </w:pPr>
    </w:p>
    <w:p>
      <w:pPr>
        <w:ind w:left="1560" w:right="1579"/>
        <w:spacing w:after="0" w:line="287" w:lineRule="auto"/>
        <w:rPr>
          <w:sz w:val="20"/>
          <w:szCs w:val="20"/>
          <w:color w:val="auto"/>
        </w:rPr>
      </w:pPr>
      <w:r>
        <w:rPr>
          <w:rFonts w:ascii="Arial" w:cs="Arial" w:eastAsia="Arial" w:hAnsi="Arial"/>
          <w:sz w:val="12"/>
          <w:szCs w:val="12"/>
          <w:color w:val="auto"/>
        </w:rPr>
        <w:t>Subject to the terms and conditions set forth in the underwriting agreement, dated February 2, 2023, between us and Jefferies LLC, SVB Securities LLC, Guggenheim Securities, LLC and BMO Capital Markets Corp., as the representatives of the underwriters named below and the joint book-running managers of this offering, we have agreed to sell to the underwriters, and each of the underwriters has agreed, severally and not jointly, to purchase from us the respective number of ADSs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76200</wp:posOffset>
            </wp:positionV>
            <wp:extent cx="3733165"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8"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9"/>
              <w:spacing w:after="0"/>
              <w:rPr>
                <w:sz w:val="20"/>
                <w:szCs w:val="20"/>
                <w:color w:val="auto"/>
              </w:rPr>
            </w:pPr>
            <w:r>
              <w:rPr>
                <w:rFonts w:ascii="Arial" w:cs="Arial" w:eastAsia="Arial" w:hAnsi="Arial"/>
                <w:sz w:val="10"/>
                <w:szCs w:val="10"/>
                <w:b w:val="1"/>
                <w:bCs w:val="1"/>
                <w:color w:val="auto"/>
              </w:rPr>
              <w:t>NUMBER OF</w:t>
            </w:r>
          </w:p>
        </w:tc>
      </w:tr>
      <w:tr>
        <w:trPr>
          <w:trHeight w:val="152"/>
        </w:trPr>
        <w:tc>
          <w:tcPr>
            <w:tcW w:w="5020" w:type="dxa"/>
            <w:vAlign w:val="bottom"/>
          </w:tcPr>
          <w:p>
            <w:pPr>
              <w:spacing w:after="0"/>
              <w:rPr>
                <w:sz w:val="20"/>
                <w:szCs w:val="20"/>
                <w:color w:val="auto"/>
              </w:rPr>
            </w:pPr>
            <w:r>
              <w:rPr>
                <w:rFonts w:ascii="Arial" w:cs="Arial" w:eastAsia="Arial" w:hAnsi="Arial"/>
                <w:sz w:val="10"/>
                <w:szCs w:val="10"/>
                <w:b w:val="1"/>
                <w:bCs w:val="1"/>
                <w:color w:val="auto"/>
              </w:rPr>
              <w:t>UNDERWRITER</w:t>
            </w:r>
          </w:p>
        </w:tc>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100" w:type="dxa"/>
            <w:vAlign w:val="bottom"/>
          </w:tcPr>
          <w:p>
            <w:pPr>
              <w:spacing w:after="0"/>
              <w:rPr>
                <w:sz w:val="13"/>
                <w:szCs w:val="13"/>
                <w:color w:val="auto"/>
              </w:rPr>
            </w:pPr>
          </w:p>
        </w:tc>
        <w:tc>
          <w:tcPr>
            <w:tcW w:w="640" w:type="dxa"/>
            <w:vAlign w:val="bottom"/>
            <w:gridSpan w:val="2"/>
          </w:tcPr>
          <w:p>
            <w:pPr>
              <w:jc w:val="right"/>
              <w:spacing w:after="0" w:line="152" w:lineRule="exact"/>
              <w:rPr>
                <w:sz w:val="20"/>
                <w:szCs w:val="20"/>
                <w:color w:val="auto"/>
              </w:rPr>
            </w:pPr>
            <w:r>
              <w:rPr>
                <w:rFonts w:ascii="Arial" w:cs="Arial" w:eastAsia="Arial" w:hAnsi="Arial"/>
                <w:sz w:val="9"/>
                <w:szCs w:val="9"/>
                <w:b w:val="1"/>
                <w:bCs w:val="1"/>
                <w:color w:val="auto"/>
              </w:rPr>
              <w:t xml:space="preserve">ADSS    </w:t>
            </w:r>
            <w:r>
              <w:rPr>
                <w:rFonts w:ascii="Arial" w:cs="Arial" w:eastAsia="Arial" w:hAnsi="Arial"/>
                <w:sz w:val="17"/>
                <w:szCs w:val="17"/>
                <w:b w:val="1"/>
                <w:bCs w:val="1"/>
                <w:color w:val="auto"/>
                <w:vertAlign w:val="subscript"/>
              </w:rPr>
              <w:t>​</w:t>
            </w:r>
          </w:p>
        </w:tc>
      </w:tr>
      <w:tr>
        <w:trPr>
          <w:trHeight w:val="20"/>
        </w:trPr>
        <w:tc>
          <w:tcPr>
            <w:tcW w:w="5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Jefferies LLC</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3,920,100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5020" w:type="dxa"/>
            <w:vAlign w:val="bottom"/>
          </w:tcPr>
          <w:p>
            <w:pPr>
              <w:spacing w:after="0"/>
              <w:rPr>
                <w:sz w:val="20"/>
                <w:szCs w:val="20"/>
                <w:color w:val="auto"/>
              </w:rPr>
            </w:pPr>
            <w:r>
              <w:rPr>
                <w:rFonts w:ascii="Arial" w:cs="Arial" w:eastAsia="Arial" w:hAnsi="Arial"/>
                <w:sz w:val="12"/>
                <w:szCs w:val="12"/>
                <w:color w:val="auto"/>
              </w:rPr>
              <w:t>SVB Securities LLC</w:t>
            </w:r>
          </w:p>
        </w:tc>
        <w:tc>
          <w:tcPr>
            <w:tcW w:w="26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3,383,100​</w:t>
            </w:r>
          </w:p>
        </w:tc>
      </w:tr>
      <w:tr>
        <w:trPr>
          <w:trHeight w:val="18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Guggenheim Securities, LLC</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2,148,000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5020" w:type="dxa"/>
            <w:vAlign w:val="bottom"/>
          </w:tcPr>
          <w:p>
            <w:pPr>
              <w:spacing w:after="0"/>
              <w:rPr>
                <w:sz w:val="20"/>
                <w:szCs w:val="20"/>
                <w:color w:val="auto"/>
              </w:rPr>
            </w:pPr>
            <w:r>
              <w:rPr>
                <w:rFonts w:ascii="Arial" w:cs="Arial" w:eastAsia="Arial" w:hAnsi="Arial"/>
                <w:sz w:val="12"/>
                <w:szCs w:val="12"/>
                <w:color w:val="auto"/>
              </w:rPr>
              <w:t>BMO Capital Markets Corp.</w:t>
            </w:r>
          </w:p>
        </w:tc>
        <w:tc>
          <w:tcPr>
            <w:tcW w:w="260" w:type="dxa"/>
            <w:vAlign w:val="bottom"/>
            <w:gridSpan w:val="2"/>
          </w:tcPr>
          <w:p>
            <w:pPr>
              <w:ind w:left="4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perscript"/>
              </w:rPr>
              <w:t>​</w:t>
            </w:r>
          </w:p>
        </w:tc>
        <w:tc>
          <w:tcPr>
            <w:tcW w:w="64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1,288,800</w:t>
            </w:r>
            <w:r>
              <w:rPr>
                <w:rFonts w:ascii="Arial" w:cs="Arial" w:eastAsia="Arial" w:hAnsi="Arial"/>
                <w:sz w:val="22"/>
                <w:szCs w:val="22"/>
                <w:color w:val="auto"/>
                <w:vertAlign w:val="subscript"/>
              </w:rPr>
              <w:t>​</w:t>
            </w:r>
          </w:p>
        </w:tc>
      </w:tr>
      <w:tr>
        <w:trPr>
          <w:trHeight w:val="20"/>
        </w:trPr>
        <w:tc>
          <w:tcPr>
            <w:tcW w:w="5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860" w:type="dxa"/>
            <w:vAlign w:val="bottom"/>
            <w:gridSpan w:val="3"/>
            <w:shd w:val="clear" w:color="auto" w:fill="CCEEFF"/>
          </w:tcPr>
          <w:p>
            <w:pPr>
              <w:ind w:left="40"/>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 10,740,000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502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291205"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91205" cy="635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-675005</wp:posOffset>
            </wp:positionV>
            <wp:extent cx="9842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8425" cy="6350"/>
                    </a:xfrm>
                    <a:prstGeom prst="rect">
                      <a:avLst/>
                    </a:prstGeom>
                    <a:noFill/>
                  </pic:spPr>
                </pic:pic>
              </a:graphicData>
            </a:graphic>
          </wp:anchor>
        </w:drawing>
      </w:r>
    </w:p>
    <w:p>
      <w:pPr>
        <w:spacing w:after="0" w:line="89" w:lineRule="exact"/>
        <w:rPr>
          <w:sz w:val="20"/>
          <w:szCs w:val="20"/>
          <w:color w:val="auto"/>
        </w:rPr>
      </w:pPr>
    </w:p>
    <w:p>
      <w:pPr>
        <w:ind w:left="1560" w:right="1579"/>
        <w:spacing w:after="0" w:line="282" w:lineRule="auto"/>
        <w:rPr>
          <w:sz w:val="20"/>
          <w:szCs w:val="20"/>
          <w:color w:val="auto"/>
        </w:rPr>
      </w:pPr>
      <w:r>
        <w:rPr>
          <w:rFonts w:ascii="Arial" w:cs="Arial" w:eastAsia="Arial" w:hAnsi="Arial"/>
          <w:sz w:val="12"/>
          <w:szCs w:val="12"/>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w:t>
      </w:r>
    </w:p>
    <w:p>
      <w:pPr>
        <w:spacing w:after="0" w:line="80" w:lineRule="exact"/>
        <w:rPr>
          <w:sz w:val="20"/>
          <w:szCs w:val="20"/>
          <w:color w:val="auto"/>
        </w:rPr>
      </w:pPr>
    </w:p>
    <w:p>
      <w:pPr>
        <w:ind w:left="1560" w:right="1599"/>
        <w:spacing w:after="0" w:line="293" w:lineRule="auto"/>
        <w:rPr>
          <w:sz w:val="20"/>
          <w:szCs w:val="20"/>
          <w:color w:val="auto"/>
        </w:rPr>
      </w:pPr>
      <w:r>
        <w:rPr>
          <w:rFonts w:ascii="Arial" w:cs="Arial" w:eastAsia="Arial" w:hAnsi="Arial"/>
          <w:sz w:val="12"/>
          <w:szCs w:val="12"/>
          <w:color w:val="auto"/>
        </w:rPr>
        <w:t>The underwriters are offering the ADSs subject to their acceptance of the ADSs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Commission and Expenses</w:t>
      </w:r>
    </w:p>
    <w:p>
      <w:pPr>
        <w:spacing w:after="0" w:line="46" w:lineRule="exact"/>
        <w:rPr>
          <w:sz w:val="20"/>
          <w:szCs w:val="20"/>
          <w:color w:val="auto"/>
        </w:rPr>
      </w:pPr>
    </w:p>
    <w:p>
      <w:pPr>
        <w:ind w:left="1560" w:right="1719"/>
        <w:spacing w:after="0" w:line="291" w:lineRule="auto"/>
        <w:rPr>
          <w:sz w:val="20"/>
          <w:szCs w:val="20"/>
          <w:color w:val="auto"/>
        </w:rPr>
      </w:pPr>
      <w:r>
        <w:rPr>
          <w:rFonts w:ascii="Arial" w:cs="Arial" w:eastAsia="Arial" w:hAnsi="Arial"/>
          <w:sz w:val="12"/>
          <w:szCs w:val="12"/>
          <w:color w:val="auto"/>
        </w:rPr>
        <w:t>The underwriters have advised us that they propose to offer the ADSs to the public at the initial public offering price set forth on the cover page of this prospectus and to certain dealers, which may include the underwriters, at that price less a concession not in excess of  $0.63 per ADS. After the offering, the initial public offering price and concession to dealers may be reduced by the representatives. No such reduction will change the amount of proceeds to be received by us as set forth on the cover page of this prospectus.</w:t>
      </w:r>
    </w:p>
    <w:p>
      <w:pPr>
        <w:spacing w:after="0" w:line="72" w:lineRule="exact"/>
        <w:rPr>
          <w:sz w:val="20"/>
          <w:szCs w:val="20"/>
          <w:color w:val="auto"/>
        </w:rPr>
      </w:pPr>
    </w:p>
    <w:p>
      <w:pPr>
        <w:ind w:left="1560" w:right="1639"/>
        <w:spacing w:after="0" w:line="293" w:lineRule="auto"/>
        <w:rPr>
          <w:sz w:val="20"/>
          <w:szCs w:val="20"/>
          <w:color w:val="auto"/>
        </w:rPr>
      </w:pPr>
      <w:r>
        <w:rPr>
          <w:rFonts w:ascii="Arial" w:cs="Arial" w:eastAsia="Arial" w:hAnsi="Arial"/>
          <w:sz w:val="12"/>
          <w:szCs w:val="12"/>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0" w:name="page241"/>
    <w:bookmarkEnd w:id="240"/>
    <w:p>
      <w:pPr>
        <w:ind w:left="6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383540</wp:posOffset>
            </wp:positionV>
            <wp:extent cx="373316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2960" w:type="dxa"/>
            <w:vAlign w:val="bottom"/>
          </w:tcPr>
          <w:p>
            <w:pPr>
              <w:spacing w:after="0"/>
              <w:rPr>
                <w:sz w:val="20"/>
                <w:szCs w:val="20"/>
                <w:color w:val="auto"/>
              </w:rPr>
            </w:pPr>
            <w:r>
              <w:rPr>
                <w:rFonts w:ascii="Arial" w:cs="Arial" w:eastAsia="Arial" w:hAnsi="Arial"/>
                <w:sz w:val="10"/>
                <w:szCs w:val="10"/>
                <w:b w:val="1"/>
                <w:bCs w:val="1"/>
                <w:color w:val="auto"/>
              </w:rPr>
              <w:t>​</w:t>
            </w:r>
          </w:p>
        </w:tc>
        <w:tc>
          <w:tcPr>
            <w:tcW w:w="360" w:type="dxa"/>
            <w:vAlign w:val="bottom"/>
            <w:gridSpan w:val="2"/>
          </w:tcPr>
          <w:p>
            <w:pPr>
              <w:ind w:left="140"/>
              <w:spacing w:after="0"/>
              <w:rPr>
                <w:sz w:val="20"/>
                <w:szCs w:val="20"/>
                <w:color w:val="auto"/>
              </w:rPr>
            </w:pPr>
            <w:r>
              <w:rPr>
                <w:rFonts w:ascii="Arial" w:cs="Arial" w:eastAsia="Arial" w:hAnsi="Arial"/>
                <w:sz w:val="10"/>
                <w:szCs w:val="10"/>
                <w:b w:val="1"/>
                <w:bCs w:val="1"/>
                <w:color w:val="auto"/>
              </w:rPr>
              <w:t>​​​ ​</w:t>
            </w:r>
          </w:p>
        </w:tc>
        <w:tc>
          <w:tcPr>
            <w:tcW w:w="3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0"/>
                <w:szCs w:val="10"/>
                <w:b w:val="1"/>
                <w:bCs w:val="1"/>
                <w:color w:val="auto"/>
              </w:rPr>
              <w:t>TOTAL</w:t>
            </w:r>
          </w:p>
        </w:tc>
        <w:tc>
          <w:tcPr>
            <w:tcW w:w="8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8"/>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rPr>
              <w:t>WITHOUT</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WITH</w:t>
            </w:r>
          </w:p>
        </w:tc>
        <w:tc>
          <w:tcPr>
            <w:tcW w:w="4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24"/>
              <w:spacing w:after="0"/>
              <w:rPr>
                <w:sz w:val="20"/>
                <w:szCs w:val="20"/>
                <w:color w:val="auto"/>
              </w:rPr>
            </w:pPr>
            <w:r>
              <w:rPr>
                <w:rFonts w:ascii="Arial" w:cs="Arial" w:eastAsia="Arial" w:hAnsi="Arial"/>
                <w:sz w:val="10"/>
                <w:szCs w:val="10"/>
                <w:b w:val="1"/>
                <w:bCs w:val="1"/>
                <w:color w:val="auto"/>
              </w:rPr>
              <w:t>OPTION TO</w:t>
            </w:r>
          </w:p>
        </w:tc>
        <w:tc>
          <w:tcPr>
            <w:tcW w:w="240" w:type="dxa"/>
            <w:vAlign w:val="bottom"/>
          </w:tcPr>
          <w:p>
            <w:pPr>
              <w:spacing w:after="0"/>
              <w:rPr>
                <w:sz w:val="11"/>
                <w:szCs w:val="11"/>
                <w:color w:val="auto"/>
              </w:rPr>
            </w:pPr>
          </w:p>
        </w:tc>
        <w:tc>
          <w:tcPr>
            <w:tcW w:w="900" w:type="dxa"/>
            <w:vAlign w:val="bottom"/>
            <w:gridSpan w:val="2"/>
          </w:tcPr>
          <w:p>
            <w:pPr>
              <w:jc w:val="right"/>
              <w:ind w:right="202"/>
              <w:spacing w:after="0"/>
              <w:rPr>
                <w:sz w:val="20"/>
                <w:szCs w:val="20"/>
                <w:color w:val="auto"/>
              </w:rPr>
            </w:pPr>
            <w:r>
              <w:rPr>
                <w:rFonts w:ascii="Arial" w:cs="Arial" w:eastAsia="Arial" w:hAnsi="Arial"/>
                <w:sz w:val="10"/>
                <w:szCs w:val="10"/>
                <w:b w:val="1"/>
                <w:bCs w:val="1"/>
                <w:color w:val="auto"/>
              </w:rPr>
              <w:t>OPTION TO</w:t>
            </w:r>
          </w:p>
        </w:tc>
      </w:tr>
      <w:tr>
        <w:trPr>
          <w:trHeight w:val="135"/>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44"/>
              <w:spacing w:after="0"/>
              <w:rPr>
                <w:sz w:val="20"/>
                <w:szCs w:val="20"/>
                <w:color w:val="auto"/>
              </w:rPr>
            </w:pPr>
            <w:r>
              <w:rPr>
                <w:rFonts w:ascii="Arial" w:cs="Arial" w:eastAsia="Arial" w:hAnsi="Arial"/>
                <w:sz w:val="10"/>
                <w:szCs w:val="10"/>
                <w:b w:val="1"/>
                <w:bCs w:val="1"/>
                <w:color w:val="auto"/>
              </w:rPr>
              <w:t>PURCHASE</w:t>
            </w:r>
          </w:p>
        </w:tc>
        <w:tc>
          <w:tcPr>
            <w:tcW w:w="240" w:type="dxa"/>
            <w:vAlign w:val="bottom"/>
          </w:tcPr>
          <w:p>
            <w:pPr>
              <w:spacing w:after="0"/>
              <w:rPr>
                <w:sz w:val="11"/>
                <w:szCs w:val="11"/>
                <w:color w:val="auto"/>
              </w:rPr>
            </w:pPr>
          </w:p>
        </w:tc>
        <w:tc>
          <w:tcPr>
            <w:tcW w:w="900" w:type="dxa"/>
            <w:vAlign w:val="bottom"/>
            <w:gridSpan w:val="2"/>
          </w:tcPr>
          <w:p>
            <w:pPr>
              <w:jc w:val="right"/>
              <w:ind w:right="202"/>
              <w:spacing w:after="0"/>
              <w:rPr>
                <w:sz w:val="20"/>
                <w:szCs w:val="20"/>
                <w:color w:val="auto"/>
              </w:rPr>
            </w:pPr>
            <w:r>
              <w:rPr>
                <w:rFonts w:ascii="Arial" w:cs="Arial" w:eastAsia="Arial" w:hAnsi="Arial"/>
                <w:sz w:val="10"/>
                <w:szCs w:val="10"/>
                <w:b w:val="1"/>
                <w:bCs w:val="1"/>
                <w:color w:val="auto"/>
              </w:rPr>
              <w:t>PURCHASE</w:t>
            </w:r>
          </w:p>
        </w:tc>
      </w:tr>
      <w:tr>
        <w:trPr>
          <w:trHeight w:val="152"/>
        </w:trPr>
        <w:tc>
          <w:tcPr>
            <w:tcW w:w="2960" w:type="dxa"/>
            <w:vAlign w:val="bottom"/>
          </w:tcPr>
          <w:p>
            <w:pPr>
              <w:spacing w:after="0"/>
              <w:rPr>
                <w:sz w:val="20"/>
                <w:szCs w:val="20"/>
                <w:color w:val="auto"/>
              </w:rPr>
            </w:pPr>
            <w:r>
              <w:rPr>
                <w:rFonts w:ascii="Arial" w:cs="Arial" w:eastAsia="Arial" w:hAnsi="Arial"/>
                <w:sz w:val="10"/>
                <w:szCs w:val="10"/>
                <w:b w:val="1"/>
                <w:bCs w:val="1"/>
                <w:color w:val="auto"/>
              </w:rPr>
              <w:t>​</w:t>
            </w:r>
          </w:p>
        </w:tc>
        <w:tc>
          <w:tcPr>
            <w:tcW w:w="2960" w:type="dxa"/>
            <w:vAlign w:val="bottom"/>
            <w:gridSpan w:val="9"/>
          </w:tcPr>
          <w:p>
            <w:pPr>
              <w:ind w:left="140"/>
              <w:spacing w:after="0" w:line="152"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PER ADS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ADDITIONAL ADSS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ADDITIONAL ADSS</w:t>
            </w:r>
            <w:r>
              <w:rPr>
                <w:rFonts w:ascii="Arial" w:cs="Arial" w:eastAsia="Arial" w:hAnsi="Arial"/>
                <w:sz w:val="17"/>
                <w:szCs w:val="17"/>
                <w:b w:val="1"/>
                <w:bCs w:val="1"/>
                <w:color w:val="auto"/>
                <w:vertAlign w:val="subscript"/>
              </w:rPr>
              <w:t>​</w:t>
            </w:r>
          </w:p>
        </w:tc>
      </w:tr>
      <w:tr>
        <w:trPr>
          <w:trHeight w:val="20"/>
        </w:trPr>
        <w:tc>
          <w:tcPr>
            <w:tcW w:w="2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Initial public offering price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161,100,000​​​​$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185,265,000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960" w:type="dxa"/>
            <w:vAlign w:val="bottom"/>
          </w:tcPr>
          <w:p>
            <w:pPr>
              <w:spacing w:after="0"/>
              <w:rPr>
                <w:sz w:val="20"/>
                <w:szCs w:val="20"/>
                <w:color w:val="auto"/>
              </w:rPr>
            </w:pPr>
            <w:r>
              <w:rPr>
                <w:rFonts w:ascii="Arial" w:cs="Arial" w:eastAsia="Arial" w:hAnsi="Arial"/>
                <w:sz w:val="12"/>
                <w:szCs w:val="12"/>
                <w:color w:val="auto"/>
              </w:rPr>
              <w:t>Underwriting discounts and commissions paid by us</w:t>
            </w:r>
          </w:p>
        </w:tc>
        <w:tc>
          <w:tcPr>
            <w:tcW w:w="3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2"/>
                <w:szCs w:val="12"/>
                <w:color w:val="auto"/>
              </w:rPr>
              <w:t>1.05​​​​$</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11,277,000​​​​$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12,968,550​</w:t>
            </w:r>
          </w:p>
        </w:tc>
      </w:tr>
      <w:tr>
        <w:trPr>
          <w:trHeight w:val="167"/>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Proceeds to us, before expenses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149,823,000</w:t>
            </w:r>
          </w:p>
        </w:tc>
        <w:tc>
          <w:tcPr>
            <w:tcW w:w="2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172,296,450</w:t>
            </w:r>
          </w:p>
        </w:tc>
        <w:tc>
          <w:tcPr>
            <w:tcW w:w="40" w:type="dxa"/>
            <w:vAlign w:val="bottom"/>
          </w:tcPr>
          <w:p>
            <w:pPr>
              <w:spacing w:after="0"/>
              <w:rPr>
                <w:sz w:val="14"/>
                <w:szCs w:val="14"/>
                <w:color w:val="auto"/>
              </w:rPr>
            </w:pPr>
          </w:p>
        </w:tc>
      </w:tr>
      <w:tr>
        <w:trPr>
          <w:trHeight w:val="152"/>
        </w:trPr>
        <w:tc>
          <w:tcPr>
            <w:tcW w:w="29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left w:val="single" w:sz="8" w:color="CCEEFF"/>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-441325</wp:posOffset>
            </wp:positionV>
            <wp:extent cx="4889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236982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369820" cy="6350"/>
                    </a:xfrm>
                    <a:prstGeom prst="rect">
                      <a:avLst/>
                    </a:prstGeom>
                    <a:noFill/>
                  </pic:spPr>
                </pic:pic>
              </a:graphicData>
            </a:graphic>
          </wp:anchor>
        </w:drawing>
      </w:r>
    </w:p>
    <w:p>
      <w:pPr>
        <w:spacing w:after="0" w:line="51" w:lineRule="exact"/>
        <w:rPr>
          <w:sz w:val="20"/>
          <w:szCs w:val="20"/>
          <w:color w:val="auto"/>
        </w:rPr>
      </w:pPr>
    </w:p>
    <w:p>
      <w:pPr>
        <w:ind w:left="1560" w:right="1679"/>
        <w:spacing w:after="0" w:line="280" w:lineRule="auto"/>
        <w:rPr>
          <w:sz w:val="20"/>
          <w:szCs w:val="20"/>
          <w:color w:val="auto"/>
        </w:rPr>
      </w:pPr>
      <w:r>
        <w:rPr>
          <w:rFonts w:ascii="Arial" w:cs="Arial" w:eastAsia="Arial" w:hAnsi="Arial"/>
          <w:sz w:val="12"/>
          <w:szCs w:val="12"/>
          <w:color w:val="auto"/>
        </w:rPr>
        <w:t>We estimate expenses payable by us in connection with this offering, other than the underwriting discounts and commissions referred to above, will be approximately $5,050,000. We have also agreed to reimburse the underwriters for certain of their expenses in amount up to $120,000.</w:t>
      </w:r>
    </w:p>
    <w:p>
      <w:pPr>
        <w:spacing w:after="0" w:line="68"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An investment fund associated with SVB Securities LLC acquired 164,266 of our Series B preferred shares in April 2022 for an aggregate purchase price of  $664,998.05. Such Series B shares were converted on a one-for-one basis into our ordinary shares in connection with the offering and are registered as part of this offering. The 164,266 ordinary shares are deemed to be underwriting compensation pursuant to FINRA Rule 5110, but meet an exception to the lock-up restriction pursuant to FINRA Rule 5110(e)(2)(A)(ii).</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Determination of Offering Price</w:t>
      </w:r>
    </w:p>
    <w:p>
      <w:pPr>
        <w:spacing w:after="0" w:line="36" w:lineRule="exact"/>
        <w:rPr>
          <w:sz w:val="20"/>
          <w:szCs w:val="20"/>
          <w:color w:val="auto"/>
        </w:rPr>
      </w:pPr>
    </w:p>
    <w:p>
      <w:pPr>
        <w:ind w:left="1560" w:right="1619"/>
        <w:spacing w:after="0" w:line="270" w:lineRule="auto"/>
        <w:rPr>
          <w:sz w:val="20"/>
          <w:szCs w:val="20"/>
          <w:color w:val="auto"/>
        </w:rPr>
      </w:pPr>
      <w:r>
        <w:rPr>
          <w:rFonts w:ascii="Arial" w:cs="Arial" w:eastAsia="Arial" w:hAnsi="Arial"/>
          <w:sz w:val="12"/>
          <w:szCs w:val="12"/>
          <w:color w:val="auto"/>
        </w:rPr>
        <w:t>Prior to this offering, there has not been a public market for our ADSs. Consequently, the initial public offering price for our ADSs was determined by negotiations between us and the representatives. Among the factors considered in these negotiations were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75"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We offer no assurances that the initial public offering price will correspond to the price at which the ADSs will trade in the public market subsequent to the offering or that an active trading market for the ADSs will develop and continue after the offering.</w:t>
      </w:r>
    </w:p>
    <w:p>
      <w:pPr>
        <w:spacing w:after="0" w:line="13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Listing</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ADSs have been approved for listing on the Nasdaq Global Market under the trading symbol “GPCR.”</w:t>
      </w:r>
    </w:p>
    <w:p>
      <w:pPr>
        <w:spacing w:after="0" w:line="16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Stamp Taxes</w:t>
      </w:r>
    </w:p>
    <w:p>
      <w:pPr>
        <w:spacing w:after="0" w:line="36" w:lineRule="exact"/>
        <w:rPr>
          <w:sz w:val="20"/>
          <w:szCs w:val="20"/>
          <w:color w:val="auto"/>
        </w:rPr>
      </w:pPr>
    </w:p>
    <w:p>
      <w:pPr>
        <w:ind w:left="1560" w:right="1599"/>
        <w:spacing w:after="0" w:line="272" w:lineRule="auto"/>
        <w:rPr>
          <w:sz w:val="20"/>
          <w:szCs w:val="20"/>
          <w:color w:val="auto"/>
        </w:rPr>
      </w:pPr>
      <w:r>
        <w:rPr>
          <w:rFonts w:ascii="Arial" w:cs="Arial" w:eastAsia="Arial" w:hAnsi="Arial"/>
          <w:sz w:val="12"/>
          <w:szCs w:val="12"/>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13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Option to Purchase Additional ADSs</w:t>
      </w:r>
    </w:p>
    <w:p>
      <w:pPr>
        <w:spacing w:after="0" w:line="36"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from time to time, in whole or in part, up to an aggregate of 1,611,000 ADSs from us at the public offering price set forth on the cover page of this prospectus,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Directed Share Program</w:t>
      </w:r>
    </w:p>
    <w:p>
      <w:pPr>
        <w:spacing w:after="0" w:line="36" w:lineRule="exact"/>
        <w:rPr>
          <w:sz w:val="20"/>
          <w:szCs w:val="20"/>
          <w:color w:val="auto"/>
        </w:rPr>
      </w:pPr>
    </w:p>
    <w:p>
      <w:pPr>
        <w:ind w:left="1560" w:right="1579"/>
        <w:spacing w:after="0" w:line="264" w:lineRule="auto"/>
        <w:rPr>
          <w:sz w:val="20"/>
          <w:szCs w:val="20"/>
          <w:color w:val="auto"/>
        </w:rPr>
      </w:pPr>
      <w:r>
        <w:rPr>
          <w:rFonts w:ascii="Arial" w:cs="Arial" w:eastAsia="Arial" w:hAnsi="Arial"/>
          <w:sz w:val="12"/>
          <w:szCs w:val="12"/>
          <w:color w:val="auto"/>
        </w:rPr>
        <w:t>At our request, the underwriters have reserved up to 5% of the ADSs offered by this prospectus, excluding the additional ADSs that the underwriters have a 30-day option to purchase, for sale, at the initial public offering price, to certain of our directors, officers, employees, and other persons related to the company. If purchased by our directors and officers, these ADSs will be subject to a 180-day lock-up restriction. Pursuant to lock-up agreements contemplated below. Jefferies LLC and SVB Securities LLC may, in their sole discretion and at any time or from time to time before the termination of such 180-day period, release all or any portion of the securities subject to these lock-up agreements.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1" w:name="page242"/>
    <w:bookmarkEnd w:id="24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679"/>
        <w:spacing w:after="0" w:line="264" w:lineRule="auto"/>
        <w:rPr>
          <w:sz w:val="20"/>
          <w:szCs w:val="20"/>
          <w:color w:val="auto"/>
        </w:rPr>
      </w:pPr>
      <w:r>
        <w:rPr>
          <w:rFonts w:ascii="Arial" w:cs="Arial" w:eastAsia="Arial" w:hAnsi="Arial"/>
          <w:sz w:val="12"/>
          <w:szCs w:val="12"/>
          <w:color w:val="auto"/>
        </w:rPr>
        <w:t>The number of ADSs available for sale to the general public will be reduced to the extent these individuals purchase such reserved shares. Any reserved ADSs that are not so purchased will be offered by the underwriters to the general public on the same basis as the other shares offered by this prospectus. Other than the underwriting discount described on the front cover of this prospectus, the underwriters will not be entitled to any commission with respect to the ADSs sold pursuant to the directed share program. We have agreed to indemnify the underwriters against certain liabilities and expenses, including liabilities under the Securities Act, in connection with sales of ADSs under the directed share program.</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No Sales of Similar Securities</w:t>
      </w:r>
    </w:p>
    <w:p>
      <w:pPr>
        <w:spacing w:after="0" w:line="36" w:lineRule="exact"/>
        <w:rPr>
          <w:sz w:val="20"/>
          <w:szCs w:val="20"/>
          <w:color w:val="auto"/>
        </w:rPr>
      </w:pPr>
    </w:p>
    <w:p>
      <w:pPr>
        <w:ind w:left="1560" w:right="1939"/>
        <w:spacing w:after="0" w:line="308" w:lineRule="auto"/>
        <w:rPr>
          <w:sz w:val="20"/>
          <w:szCs w:val="20"/>
          <w:color w:val="auto"/>
        </w:rPr>
      </w:pPr>
      <w:r>
        <w:rPr>
          <w:rFonts w:ascii="Arial" w:cs="Arial" w:eastAsia="Arial" w:hAnsi="Arial"/>
          <w:sz w:val="12"/>
          <w:szCs w:val="12"/>
          <w:color w:val="auto"/>
        </w:rPr>
        <w:t>We, our officers, directors and holders of all or substantially all our outstanding share capital and other securities have agreed, subject to specified exceptions, not to directly or indirectly:</w:t>
      </w:r>
    </w:p>
    <w:p>
      <w:pPr>
        <w:spacing w:after="0" w:line="4" w:lineRule="exact"/>
        <w:rPr>
          <w:sz w:val="20"/>
          <w:szCs w:val="20"/>
          <w:color w:val="auto"/>
        </w:rPr>
      </w:pPr>
    </w:p>
    <w:p>
      <w:pPr>
        <w:ind w:left="1980" w:right="1639" w:hanging="157"/>
        <w:spacing w:after="0" w:line="278"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sell, offer, contract or grant any option to sell (including any short sale), pledge, transfer, or establish an open “put equivalent position” within the meaning of Rule 16a-l(h) under the Exchange Act, or otherwise dispose of any ordinary shares, ADSs, options or warrants to acquire ordinary shares or ADSs, or securities exchangeable or convertible into ordinary shares or ADSs currently or hereafter owned either of record or beneficially; or</w:t>
      </w:r>
    </w:p>
    <w:p>
      <w:pPr>
        <w:spacing w:after="0" w:line="22" w:lineRule="exact"/>
        <w:rPr>
          <w:rFonts w:ascii="Arial" w:cs="Arial" w:eastAsia="Arial" w:hAnsi="Arial"/>
          <w:sz w:val="12"/>
          <w:szCs w:val="12"/>
          <w:color w:val="auto"/>
        </w:rPr>
      </w:pPr>
    </w:p>
    <w:p>
      <w:pPr>
        <w:ind w:left="1980" w:right="1659" w:hanging="157"/>
        <w:spacing w:after="0" w:line="282"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enter into any swap, hedge or similar arrangement or agreement that transfers, in whole or in part, the economic risk of ownership of ordinary shares, ADSs, options or warrants to acquire ordinary shares or ADSs, or securities exchangeable or convertible into ordinary shares or ADSs, regardless of whether any such transaction is to be settled in securities, in cash or otherwise; or</w:t>
      </w:r>
    </w:p>
    <w:p>
      <w:pPr>
        <w:spacing w:after="0" w:line="18" w:lineRule="exact"/>
        <w:rPr>
          <w:rFonts w:ascii="Arial" w:cs="Arial" w:eastAsia="Arial" w:hAnsi="Arial"/>
          <w:sz w:val="12"/>
          <w:szCs w:val="12"/>
          <w:color w:val="auto"/>
        </w:rPr>
      </w:pPr>
    </w:p>
    <w:p>
      <w:pPr>
        <w:ind w:left="1980" w:right="1639" w:hanging="157"/>
        <w:spacing w:after="0" w:line="276"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make any demand for, or exercise any right with respect to, the registration under the Securities Act of the offer and sale of any ordinary shares, ADSs, options or warrants to acquire ordinary shares or ADSs, or securities exchangeable or convertible into ordinary shares or ADSs, or cause to be filed a registration statement (except a registration statement on Form S-8 under the Securities Act), prospectus or prospectus supplement (or an amendment or supplement thereto) with respect to any such registration; or</w:t>
      </w:r>
    </w:p>
    <w:p>
      <w:pPr>
        <w:spacing w:after="0" w:line="24" w:lineRule="exact"/>
        <w:rPr>
          <w:rFonts w:ascii="Arial" w:cs="Arial" w:eastAsia="Arial" w:hAnsi="Arial"/>
          <w:sz w:val="12"/>
          <w:szCs w:val="12"/>
          <w:color w:val="auto"/>
        </w:rPr>
      </w:pPr>
    </w:p>
    <w:p>
      <w:pPr>
        <w:ind w:left="1980" w:right="1759" w:hanging="157"/>
        <w:spacing w:after="0" w:line="308"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publicly announce an intention to do any of the foregoing for a period of 180 days after the date of this prospectus without the prior written consent of the representatives.</w:t>
      </w:r>
    </w:p>
    <w:p>
      <w:pPr>
        <w:spacing w:after="0" w:line="52" w:lineRule="exact"/>
        <w:rPr>
          <w:sz w:val="20"/>
          <w:szCs w:val="20"/>
          <w:color w:val="auto"/>
        </w:rPr>
      </w:pPr>
    </w:p>
    <w:p>
      <w:pPr>
        <w:ind w:left="1560" w:right="1839"/>
        <w:spacing w:after="0" w:line="291" w:lineRule="auto"/>
        <w:rPr>
          <w:sz w:val="20"/>
          <w:szCs w:val="20"/>
          <w:color w:val="auto"/>
        </w:rPr>
      </w:pPr>
      <w:r>
        <w:rPr>
          <w:rFonts w:ascii="Arial" w:cs="Arial" w:eastAsia="Arial" w:hAnsi="Arial"/>
          <w:sz w:val="12"/>
          <w:szCs w:val="12"/>
          <w:color w:val="auto"/>
        </w:rPr>
        <w:t>This restriction terminates after the close of trading of the ADSs on and including the 180th day after the date of this prospectus.</w:t>
      </w:r>
    </w:p>
    <w:p>
      <w:pPr>
        <w:spacing w:after="0" w:line="62" w:lineRule="exact"/>
        <w:rPr>
          <w:sz w:val="20"/>
          <w:szCs w:val="20"/>
          <w:color w:val="auto"/>
        </w:rPr>
      </w:pPr>
    </w:p>
    <w:p>
      <w:pPr>
        <w:jc w:val="both"/>
        <w:ind w:left="1560" w:right="1859"/>
        <w:spacing w:after="0" w:line="280" w:lineRule="auto"/>
        <w:rPr>
          <w:sz w:val="20"/>
          <w:szCs w:val="20"/>
          <w:color w:val="auto"/>
        </w:rPr>
      </w:pPr>
      <w:r>
        <w:rPr>
          <w:rFonts w:ascii="Arial" w:cs="Arial" w:eastAsia="Arial" w:hAnsi="Arial"/>
          <w:sz w:val="12"/>
          <w:szCs w:val="12"/>
          <w:color w:val="auto"/>
        </w:rPr>
        <w:t>With respect to lock-up agreements that have been entered into by our officers, directors and holders of substantially all our outstanding share capital and other securities, or the Lock-up Parties, the foregoing restrictions do not apply to:</w:t>
      </w:r>
    </w:p>
    <w:p>
      <w:pPr>
        <w:spacing w:after="0" w:line="78" w:lineRule="exact"/>
        <w:rPr>
          <w:sz w:val="20"/>
          <w:szCs w:val="20"/>
          <w:color w:val="auto"/>
        </w:rPr>
      </w:pPr>
    </w:p>
    <w:p>
      <w:pPr>
        <w:ind w:left="2140" w:right="1579" w:hanging="317"/>
        <w:spacing w:after="0" w:line="282" w:lineRule="auto"/>
        <w:tabs>
          <w:tab w:leader="none" w:pos="21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transfers made by the Lock-up Party by gift, will or intestate succession to a family member, to a trust whose beneficiaries consist exclusively of one or more of the Lock-up Party’s family member, or as a bona fide gift to a charity or educational institution, if, in any such case, such transfer is not for value;</w:t>
      </w:r>
    </w:p>
    <w:p>
      <w:pPr>
        <w:spacing w:after="0" w:line="66" w:lineRule="exact"/>
        <w:rPr>
          <w:rFonts w:ascii="Arial" w:cs="Arial" w:eastAsia="Arial" w:hAnsi="Arial"/>
          <w:sz w:val="12"/>
          <w:szCs w:val="12"/>
          <w:color w:val="auto"/>
        </w:rPr>
      </w:pPr>
    </w:p>
    <w:p>
      <w:pPr>
        <w:ind w:left="2140" w:right="1799" w:hanging="317"/>
        <w:spacing w:after="0" w:line="308" w:lineRule="auto"/>
        <w:tabs>
          <w:tab w:leader="none" w:pos="21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transfers to any shareholder, partner, or member of, or owner of a similar equity interest in, the Lock-up Party, as the case may be, if, in any such case, such transfer is not for value;</w:t>
      </w:r>
    </w:p>
    <w:p>
      <w:pPr>
        <w:spacing w:after="0" w:line="61" w:lineRule="exact"/>
        <w:rPr>
          <w:rFonts w:ascii="Arial" w:cs="Arial" w:eastAsia="Arial" w:hAnsi="Arial"/>
          <w:sz w:val="12"/>
          <w:szCs w:val="12"/>
          <w:color w:val="auto"/>
        </w:rPr>
      </w:pPr>
    </w:p>
    <w:p>
      <w:pPr>
        <w:ind w:left="2140" w:right="1659" w:hanging="317"/>
        <w:spacing w:after="0" w:line="288" w:lineRule="auto"/>
        <w:tabs>
          <w:tab w:leader="none" w:pos="21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transfers made by the Lock-up Party to another corporation, partnership, limited liability company or other business entity so long as the transferee is an affiliate of the Lock-up Party and such transfer is not for value;</w:t>
      </w:r>
    </w:p>
    <w:p>
      <w:pPr>
        <w:spacing w:after="0" w:line="64" w:lineRule="exact"/>
        <w:rPr>
          <w:rFonts w:ascii="Arial" w:cs="Arial" w:eastAsia="Arial" w:hAnsi="Arial"/>
          <w:sz w:val="12"/>
          <w:szCs w:val="12"/>
          <w:color w:val="auto"/>
        </w:rPr>
      </w:pPr>
    </w:p>
    <w:p>
      <w:pPr>
        <w:ind w:left="2140" w:right="1659" w:hanging="317"/>
        <w:spacing w:after="0" w:line="275" w:lineRule="auto"/>
        <w:tabs>
          <w:tab w:leader="none" w:pos="21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transfers relating to ADSs acquired in this offering if the Lock-up Party is not an officer or director or in open market transactions after completion of this offering, provided that no filing under the Exchange Act (other than reports filed under Section 13 of the Exchange Act) shall be required, and such transaction is not publicly announced (whether on Form 4, Form 5 or otherwise) during the period ending 180 days after the date of this prospectus, or the Lock-up Period, and, if the filing of a report is required under Section 13 of the Exchange Act during the Lock-Up Period, such filing shall clearly indicate the type of transaction giving rise to the change in ownership;</w:t>
      </w:r>
    </w:p>
    <w:p>
      <w:pPr>
        <w:spacing w:after="0" w:line="82" w:lineRule="exact"/>
        <w:rPr>
          <w:rFonts w:ascii="Arial" w:cs="Arial" w:eastAsia="Arial" w:hAnsi="Arial"/>
          <w:sz w:val="12"/>
          <w:szCs w:val="12"/>
          <w:color w:val="auto"/>
        </w:rPr>
      </w:pPr>
    </w:p>
    <w:p>
      <w:pPr>
        <w:ind w:left="2140" w:hanging="317"/>
        <w:spacing w:after="0"/>
        <w:tabs>
          <w:tab w:leader="none" w:pos="21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entry, by the Lock-up Party, at any time on or after the date of the underwriting agreement, of</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2" w:name="page243"/>
    <w:bookmarkEnd w:id="24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2140" w:right="1719"/>
        <w:spacing w:after="0" w:line="266" w:lineRule="auto"/>
        <w:rPr>
          <w:sz w:val="20"/>
          <w:szCs w:val="20"/>
          <w:color w:val="auto"/>
        </w:rPr>
      </w:pPr>
      <w:r>
        <w:rPr>
          <w:rFonts w:ascii="Arial" w:cs="Arial" w:eastAsia="Arial" w:hAnsi="Arial"/>
          <w:sz w:val="12"/>
          <w:szCs w:val="12"/>
          <w:color w:val="auto"/>
        </w:rPr>
        <w:t>any trading plan providing for the sale of ordinary shares or ADSs by the Lock-up Party, which trading plan meets the requirements of Rule 10b5-1(c) under the Exchange Act, provided, however, that such plan does not provide for, or permit, the sale of any ordinary shares or ADSs during the Lock-Up Period and no public announcement or filing is voluntarily made or required regarding such plan during the Lock-Up Period;</w:t>
      </w:r>
    </w:p>
    <w:p>
      <w:pPr>
        <w:spacing w:after="0" w:line="86" w:lineRule="exact"/>
        <w:rPr>
          <w:sz w:val="20"/>
          <w:szCs w:val="20"/>
          <w:color w:val="auto"/>
        </w:rPr>
      </w:pPr>
    </w:p>
    <w:p>
      <w:pPr>
        <w:ind w:left="2140" w:right="1579" w:hanging="317"/>
        <w:spacing w:after="0" w:line="288" w:lineRule="auto"/>
        <w:tabs>
          <w:tab w:leader="none" w:pos="21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transfers made by the Lock-up Party to us in connection with the exercise, vesting or settlement of options, warrants, or other rights to acquire ADSs or ordinary shares in accordance with their terms (including, in each case, by way of net exercise and/or to cover withholding tax obligations);</w:t>
      </w:r>
    </w:p>
    <w:p>
      <w:pPr>
        <w:spacing w:after="0" w:line="73" w:lineRule="exact"/>
        <w:rPr>
          <w:rFonts w:ascii="Arial" w:cs="Arial" w:eastAsia="Arial" w:hAnsi="Arial"/>
          <w:sz w:val="12"/>
          <w:szCs w:val="12"/>
          <w:color w:val="auto"/>
        </w:rPr>
      </w:pPr>
    </w:p>
    <w:p>
      <w:pPr>
        <w:ind w:left="2140" w:right="1579" w:hanging="317"/>
        <w:spacing w:after="0" w:line="273" w:lineRule="auto"/>
        <w:tabs>
          <w:tab w:leader="none" w:pos="21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transfers of ordinary shares, ADSs, options or warrants or other rights to acquire ordinary shares or ADSs or any securities exchangeable or exercisable for or convertible into ordinary shares or ADSs, or to acquire other securities or rights ultimately exchangeable or exercisable for or convertible into ordinary shares or ADSs, in each case pursuant to a bona fide third-party tender offer for our securities, merger, consolidation or other similar transaction made to all holders of our securities involving a change of control, which transaction is approved by our board, provided that all of Lock-up Party’s securities not so transferred, sold, tendered or otherwise disposed of remain subject to the related lock-up agreement, and provided further that it shall be a condition of the transfer that if the tender offer, merger, consolidation or other such transaction is not completed, the Lock-up Party’s securities subject to the related lock-up agreement shall remain subject to the restrictions of the lock-up agreement;</w:t>
      </w:r>
    </w:p>
    <w:p>
      <w:pPr>
        <w:spacing w:after="0" w:line="71" w:lineRule="exact"/>
        <w:rPr>
          <w:rFonts w:ascii="Arial" w:cs="Arial" w:eastAsia="Arial" w:hAnsi="Arial"/>
          <w:sz w:val="12"/>
          <w:szCs w:val="12"/>
          <w:color w:val="auto"/>
        </w:rPr>
      </w:pPr>
    </w:p>
    <w:p>
      <w:pPr>
        <w:ind w:left="2140" w:right="1699" w:hanging="317"/>
        <w:spacing w:after="0" w:line="282" w:lineRule="auto"/>
        <w:tabs>
          <w:tab w:leader="none" w:pos="21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conversions of our outstanding preferred shares into ordinary shares or the transfer of ordinary shares to a depositary in exchange for ADSs, provided that any such ordinary shares received upon such conversion or ADSs received upon exchange shall be subject to these restrictions on transfer;</w:t>
      </w:r>
    </w:p>
    <w:p>
      <w:pPr>
        <w:spacing w:after="0" w:line="76" w:lineRule="exact"/>
        <w:rPr>
          <w:rFonts w:ascii="Arial" w:cs="Arial" w:eastAsia="Arial" w:hAnsi="Arial"/>
          <w:sz w:val="12"/>
          <w:szCs w:val="12"/>
          <w:color w:val="auto"/>
        </w:rPr>
      </w:pPr>
    </w:p>
    <w:p>
      <w:pPr>
        <w:ind w:left="2140" w:right="1719" w:hanging="317"/>
        <w:spacing w:after="0" w:line="308" w:lineRule="auto"/>
        <w:tabs>
          <w:tab w:leader="none" w:pos="21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transfers by (A) operation of law pursuant to a court order or (B) a settlement agreement related to the distribution of assets in connection with the dissolution of a marriage or civil union; and</w:t>
      </w:r>
    </w:p>
    <w:p>
      <w:pPr>
        <w:spacing w:after="0" w:line="51" w:lineRule="exact"/>
        <w:rPr>
          <w:rFonts w:ascii="Arial" w:cs="Arial" w:eastAsia="Arial" w:hAnsi="Arial"/>
          <w:sz w:val="12"/>
          <w:szCs w:val="12"/>
          <w:color w:val="auto"/>
        </w:rPr>
      </w:pPr>
    </w:p>
    <w:p>
      <w:pPr>
        <w:ind w:left="2140" w:right="1599" w:hanging="317"/>
        <w:spacing w:after="0" w:line="278" w:lineRule="auto"/>
        <w:tabs>
          <w:tab w:leader="none" w:pos="21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to any transfer of the Lock-up Party’s ordinary shares, ADSs, options or warrants or other rights to acquire ordinary shares or ADSs or any securities exchangeable or exercisable for or convertible into ordinary shares or ADSs to us in connection with (A) the termination of the Lock-up Party’s employment with us, or (B) pursuant to agreements under which we have the option to repurchase such shares,</w:t>
      </w:r>
    </w:p>
    <w:p>
      <w:pPr>
        <w:spacing w:after="0" w:line="81"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(A) in the case of any transfer described in clause (i), (ii), (iii) or (ix) above, it shall be a</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 to the transfer that each transferee executes and delivers to the representatives an agreement in form and substance satisfactory to the representatives stating that such transferee is receiving and holding such ordinary shares, ADSs, options or warrants or other rights to acquire ordinary shares or ADSs or any securities exchangeable or exercisable for or convertible into ordinary shares or ADSs subject to the provisions of the lock-up agreement and agrees to comply with the restrictions set forth in the lock-up agreement, (B) in the case of any transfer described in clause (i), (ii), (iii) and (iv) above, prior to the expiration of the Lock-up Period, no public disclosure or filing under Section 16 of the Exchange Act by any party to the transfer (donor, donee, transferor or transferee) shall be required, or made voluntarily, reporting a reduction in beneficial ownership in connection with such transfer, and (C) in the case of any transfer described in clause (vi), (viii), (ix) or (x) above, that any required filing under Section 16 of the Exchange Act shall indicate in the footnotes thereto that the filing relates to the circumstances described in such clause and no other public announcement shall be required or shall be made voluntarily in connection with such transfer.</w:t>
      </w:r>
    </w:p>
    <w:p>
      <w:pPr>
        <w:spacing w:after="0" w:line="239" w:lineRule="exact"/>
        <w:rPr>
          <w:sz w:val="20"/>
          <w:szCs w:val="20"/>
          <w:color w:val="auto"/>
        </w:rPr>
      </w:pPr>
    </w:p>
    <w:p>
      <w:pPr>
        <w:ind w:left="1560" w:right="1679"/>
        <w:spacing w:after="0" w:line="278" w:lineRule="auto"/>
        <w:rPr>
          <w:sz w:val="20"/>
          <w:szCs w:val="20"/>
          <w:color w:val="auto"/>
        </w:rPr>
      </w:pPr>
      <w:r>
        <w:rPr>
          <w:rFonts w:ascii="Arial" w:cs="Arial" w:eastAsia="Arial" w:hAnsi="Arial"/>
          <w:sz w:val="12"/>
          <w:szCs w:val="12"/>
          <w:color w:val="auto"/>
        </w:rPr>
        <w:t>Jefferies LLC and SVB Securities LLC may, in their sole discretion and at any time or from time to time before the termination of the Lock-up Period release all or any portion of the securities subject to lock-up agreements. There are no existing agreements between the underwriters and any of our shareholders who will execute a lock-up agreement, providing consent to the sale of ADSs or ordinary shares prior to the expiration of the lock-up period.</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Stabilization</w:t>
      </w:r>
    </w:p>
    <w:p>
      <w:pPr>
        <w:spacing w:after="0" w:line="46" w:lineRule="exact"/>
        <w:rPr>
          <w:sz w:val="20"/>
          <w:szCs w:val="20"/>
          <w:color w:val="auto"/>
        </w:rPr>
      </w:pPr>
    </w:p>
    <w:p>
      <w:pPr>
        <w:ind w:left="1560" w:right="1679"/>
        <w:spacing w:after="0" w:line="305" w:lineRule="auto"/>
        <w:rPr>
          <w:sz w:val="20"/>
          <w:szCs w:val="20"/>
          <w:color w:val="auto"/>
        </w:rPr>
      </w:pPr>
      <w:r>
        <w:rPr>
          <w:rFonts w:ascii="Arial" w:cs="Arial" w:eastAsia="Arial" w:hAnsi="Arial"/>
          <w:sz w:val="12"/>
          <w:szCs w:val="12"/>
          <w:color w:val="auto"/>
        </w:rPr>
        <w:t>The underwriters have advised us that they, pursuant to Regulation M under the Exchange Act, and certain persons participating in the offering may engage in short sale transactions, stabilizing transactions, syndicate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3" w:name="page244"/>
    <w:bookmarkEnd w:id="24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jc w:val="both"/>
        <w:ind w:left="1560" w:right="1699"/>
        <w:spacing w:after="0" w:line="282" w:lineRule="auto"/>
        <w:rPr>
          <w:sz w:val="20"/>
          <w:szCs w:val="20"/>
          <w:color w:val="auto"/>
        </w:rPr>
      </w:pPr>
      <w:r>
        <w:rPr>
          <w:rFonts w:ascii="Arial" w:cs="Arial" w:eastAsia="Arial" w:hAnsi="Arial"/>
          <w:sz w:val="12"/>
          <w:szCs w:val="12"/>
          <w:color w:val="auto"/>
        </w:rPr>
        <w:t>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w:t>
      </w:r>
    </w:p>
    <w:p>
      <w:pPr>
        <w:spacing w:after="0" w:line="77"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“Covered” short sales are sales made in an amount not greater than the underwriters’ option to purchase additional shares of our ADSs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73" w:lineRule="exact"/>
        <w:rPr>
          <w:sz w:val="20"/>
          <w:szCs w:val="20"/>
          <w:color w:val="auto"/>
        </w:rPr>
      </w:pPr>
    </w:p>
    <w:p>
      <w:pPr>
        <w:jc w:val="both"/>
        <w:ind w:left="1560" w:right="1699"/>
        <w:spacing w:after="0" w:line="282" w:lineRule="auto"/>
        <w:rPr>
          <w:sz w:val="20"/>
          <w:szCs w:val="20"/>
          <w:color w:val="auto"/>
        </w:rPr>
      </w:pPr>
      <w:r>
        <w:rPr>
          <w:rFonts w:ascii="Arial" w:cs="Arial" w:eastAsia="Arial" w:hAnsi="Arial"/>
          <w:sz w:val="12"/>
          <w:szCs w:val="12"/>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ADSs in the open market after pricing that could adversely affect investors who purchase in this offering.</w:t>
      </w:r>
    </w:p>
    <w:p>
      <w:pPr>
        <w:spacing w:after="0" w:line="77"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w:t>
      </w:r>
    </w:p>
    <w:p>
      <w:pPr>
        <w:spacing w:after="0" w:line="84"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Neither we nor any of the underwriters make any representation or prediction as to the direction or magnitude of any effect that the transactions described above may have on the price of ADSs. The underwriters are not obligated to engage in these activities and, if commenced, any of the activities may be discontinued at any time.</w:t>
      </w:r>
    </w:p>
    <w:p>
      <w:pPr>
        <w:spacing w:after="0" w:line="67" w:lineRule="exact"/>
        <w:rPr>
          <w:sz w:val="20"/>
          <w:szCs w:val="20"/>
          <w:color w:val="auto"/>
        </w:rPr>
      </w:pPr>
    </w:p>
    <w:p>
      <w:pPr>
        <w:ind w:left="1560" w:right="1759"/>
        <w:spacing w:after="0" w:line="276" w:lineRule="auto"/>
        <w:rPr>
          <w:sz w:val="20"/>
          <w:szCs w:val="20"/>
          <w:color w:val="auto"/>
        </w:rPr>
      </w:pPr>
      <w:r>
        <w:rPr>
          <w:rFonts w:ascii="Arial" w:cs="Arial" w:eastAsia="Arial" w:hAnsi="Arial"/>
          <w:sz w:val="12"/>
          <w:szCs w:val="12"/>
          <w:color w:val="auto"/>
        </w:rPr>
        <w:t>The underwriters may also engage in passive market making transactions in our ADSs on the Nasdaq Global Market in accordance with Rule 103 of Regulation M during a period before the commencement of offers or sales of ADSs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Electronic Distribution</w:t>
      </w:r>
    </w:p>
    <w:p>
      <w:pPr>
        <w:spacing w:after="0" w:line="46"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27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Other Activities and Relationships</w:t>
      </w:r>
    </w:p>
    <w:p>
      <w:pPr>
        <w:spacing w:after="0" w:line="46" w:lineRule="exact"/>
        <w:rPr>
          <w:sz w:val="20"/>
          <w:szCs w:val="20"/>
          <w:color w:val="auto"/>
        </w:rPr>
      </w:pPr>
    </w:p>
    <w:p>
      <w:pPr>
        <w:ind w:left="1560" w:right="1699"/>
        <w:spacing w:after="0" w:line="276" w:lineRule="auto"/>
        <w:rPr>
          <w:sz w:val="20"/>
          <w:szCs w:val="20"/>
          <w:color w:val="auto"/>
        </w:rPr>
      </w:pPr>
      <w:r>
        <w:rPr>
          <w:rFonts w:ascii="Arial" w:cs="Arial" w:eastAsia="Arial" w:hAnsi="Arial"/>
          <w:sz w:val="12"/>
          <w:szCs w:val="12"/>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4" w:name="page245"/>
    <w:bookmarkEnd w:id="24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Disclaimers about Non-U.S. Jurisdictions</w:t>
      </w:r>
    </w:p>
    <w:p>
      <w:pPr>
        <w:spacing w:after="0" w:line="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Canada</w:t>
      </w:r>
    </w:p>
    <w:p>
      <w:pPr>
        <w:spacing w:after="0" w:line="15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Resale Restrictions</w:t>
      </w:r>
    </w:p>
    <w:p>
      <w:pPr>
        <w:spacing w:after="0" w:line="34"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The distribution of ADSs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Representations of Canadian Purchasers</w:t>
      </w:r>
    </w:p>
    <w:p>
      <w:pPr>
        <w:spacing w:after="0" w:line="34" w:lineRule="exact"/>
        <w:rPr>
          <w:sz w:val="20"/>
          <w:szCs w:val="20"/>
          <w:color w:val="auto"/>
        </w:rPr>
      </w:pPr>
    </w:p>
    <w:p>
      <w:pPr>
        <w:ind w:left="1560" w:right="2179"/>
        <w:spacing w:after="0" w:line="308" w:lineRule="auto"/>
        <w:rPr>
          <w:sz w:val="20"/>
          <w:szCs w:val="20"/>
          <w:color w:val="auto"/>
        </w:rPr>
      </w:pPr>
      <w:r>
        <w:rPr>
          <w:rFonts w:ascii="Arial" w:cs="Arial" w:eastAsia="Arial" w:hAnsi="Arial"/>
          <w:sz w:val="12"/>
          <w:szCs w:val="12"/>
          <w:color w:val="auto"/>
        </w:rPr>
        <w:t>By purchasing ADSs in Canada and accepting delivery of a purchase confirmation, a purchaser is representing to us and the dealer from whom the purchase confirmation is received that:</w:t>
      </w:r>
    </w:p>
    <w:p>
      <w:pPr>
        <w:spacing w:after="0" w:line="4" w:lineRule="exact"/>
        <w:rPr>
          <w:sz w:val="20"/>
          <w:szCs w:val="20"/>
          <w:color w:val="auto"/>
        </w:rPr>
      </w:pPr>
    </w:p>
    <w:p>
      <w:pPr>
        <w:ind w:left="1980" w:right="1579" w:hanging="157"/>
        <w:spacing w:after="0" w:line="282" w:lineRule="auto"/>
        <w:tabs>
          <w:tab w:leader="none" w:pos="19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purchaser is entitled under applicable provincial securities laws to purchase the ADSs without the benefit of a prospectus qualified under those securities laws as it is an “accredited investor” as defined under National Instrument 45-106—</w:t>
      </w:r>
      <w:r>
        <w:rPr>
          <w:rFonts w:ascii="Arial" w:cs="Arial" w:eastAsia="Arial" w:hAnsi="Arial"/>
          <w:sz w:val="12"/>
          <w:szCs w:val="12"/>
          <w:i w:val="1"/>
          <w:iCs w:val="1"/>
          <w:color w:val="auto"/>
        </w:rPr>
        <w:t>Prospectus Exemptions or Section 73.3(1) of the</w:t>
      </w:r>
      <w:r>
        <w:rPr>
          <w:rFonts w:ascii="Arial" w:cs="Arial" w:eastAsia="Arial" w:hAnsi="Arial"/>
          <w:sz w:val="12"/>
          <w:szCs w:val="12"/>
          <w:color w:val="auto"/>
        </w:rPr>
        <w:t xml:space="preserve"> </w:t>
      </w:r>
      <w:r>
        <w:rPr>
          <w:rFonts w:ascii="Arial" w:cs="Arial" w:eastAsia="Arial" w:hAnsi="Arial"/>
          <w:sz w:val="12"/>
          <w:szCs w:val="12"/>
          <w:i w:val="1"/>
          <w:iCs w:val="1"/>
          <w:color w:val="auto"/>
        </w:rPr>
        <w:t>Securities Act (Ontario)</w:t>
      </w:r>
      <w:r>
        <w:rPr>
          <w:rFonts w:ascii="Arial" w:cs="Arial" w:eastAsia="Arial" w:hAnsi="Arial"/>
          <w:sz w:val="12"/>
          <w:szCs w:val="12"/>
          <w:color w:val="auto"/>
        </w:rPr>
        <w:t>, as applicable;</w:t>
      </w:r>
    </w:p>
    <w:p>
      <w:pPr>
        <w:spacing w:after="0" w:line="18" w:lineRule="exact"/>
        <w:rPr>
          <w:rFonts w:ascii="Arial" w:cs="Arial" w:eastAsia="Arial" w:hAnsi="Arial"/>
          <w:sz w:val="12"/>
          <w:szCs w:val="12"/>
          <w:color w:val="auto"/>
        </w:rPr>
      </w:pPr>
    </w:p>
    <w:p>
      <w:pPr>
        <w:ind w:left="1980" w:right="2119" w:hanging="157"/>
        <w:spacing w:after="0" w:line="308" w:lineRule="auto"/>
        <w:tabs>
          <w:tab w:leader="none" w:pos="19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purchaser is a “permitted client” as defined in National Instrument 31-103—</w:t>
      </w:r>
      <w:r>
        <w:rPr>
          <w:rFonts w:ascii="Arial" w:cs="Arial" w:eastAsia="Arial" w:hAnsi="Arial"/>
          <w:sz w:val="12"/>
          <w:szCs w:val="12"/>
          <w:i w:val="1"/>
          <w:iCs w:val="1"/>
          <w:color w:val="auto"/>
        </w:rPr>
        <w:t>Registration</w:t>
      </w:r>
      <w:r>
        <w:rPr>
          <w:rFonts w:ascii="Arial" w:cs="Arial" w:eastAsia="Arial" w:hAnsi="Arial"/>
          <w:sz w:val="12"/>
          <w:szCs w:val="12"/>
          <w:color w:val="auto"/>
        </w:rPr>
        <w:t xml:space="preserve"> </w:t>
      </w:r>
      <w:r>
        <w:rPr>
          <w:rFonts w:ascii="Arial" w:cs="Arial" w:eastAsia="Arial" w:hAnsi="Arial"/>
          <w:sz w:val="12"/>
          <w:szCs w:val="12"/>
          <w:i w:val="1"/>
          <w:iCs w:val="1"/>
          <w:color w:val="auto"/>
        </w:rPr>
        <w:t>Requirements, Exemptions and Ongoing Registrant Obligations</w:t>
      </w:r>
      <w:r>
        <w:rPr>
          <w:rFonts w:ascii="Arial" w:cs="Arial" w:eastAsia="Arial" w:hAnsi="Arial"/>
          <w:sz w:val="12"/>
          <w:szCs w:val="12"/>
          <w:color w:val="auto"/>
        </w:rPr>
        <w:t>;</w:t>
      </w:r>
    </w:p>
    <w:p>
      <w:pPr>
        <w:spacing w:after="0" w:line="3" w:lineRule="exact"/>
        <w:rPr>
          <w:rFonts w:ascii="Arial" w:cs="Arial" w:eastAsia="Arial" w:hAnsi="Arial"/>
          <w:sz w:val="12"/>
          <w:szCs w:val="12"/>
          <w:color w:val="auto"/>
        </w:rPr>
      </w:pPr>
    </w:p>
    <w:p>
      <w:pPr>
        <w:ind w:left="1980" w:hanging="157"/>
        <w:spacing w:after="0"/>
        <w:tabs>
          <w:tab w:leader="none" w:pos="19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where required by law, the purchaser is purchasing as principal and not as agent; and</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purchaser has reviewed the text above.</w:t>
      </w:r>
    </w:p>
    <w:p>
      <w:pPr>
        <w:spacing w:after="0" w:line="57"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Conflicts of Interest</w:t>
      </w:r>
    </w:p>
    <w:p>
      <w:pPr>
        <w:spacing w:after="0" w:line="34" w:lineRule="exact"/>
        <w:rPr>
          <w:sz w:val="20"/>
          <w:szCs w:val="20"/>
          <w:color w:val="auto"/>
        </w:rPr>
      </w:pPr>
    </w:p>
    <w:p>
      <w:pPr>
        <w:ind w:left="1560" w:right="1579"/>
        <w:spacing w:after="0" w:line="280" w:lineRule="auto"/>
        <w:rPr>
          <w:sz w:val="20"/>
          <w:szCs w:val="20"/>
          <w:color w:val="auto"/>
        </w:rPr>
      </w:pPr>
      <w:r>
        <w:rPr>
          <w:rFonts w:ascii="Arial" w:cs="Arial" w:eastAsia="Arial" w:hAnsi="Arial"/>
          <w:sz w:val="12"/>
          <w:szCs w:val="12"/>
          <w:color w:val="auto"/>
        </w:rPr>
        <w:t>Canadian purchasers are hereby notified that certain of the underwriters are relying on the exemption set out in section 3A.3 or 3A.4, if applicable, of National Instrument 33-105—</w:t>
      </w:r>
      <w:r>
        <w:rPr>
          <w:rFonts w:ascii="Arial" w:cs="Arial" w:eastAsia="Arial" w:hAnsi="Arial"/>
          <w:sz w:val="12"/>
          <w:szCs w:val="12"/>
          <w:i w:val="1"/>
          <w:iCs w:val="1"/>
          <w:color w:val="auto"/>
        </w:rPr>
        <w:t>Underwriting Conflicts</w:t>
      </w:r>
      <w:r>
        <w:rPr>
          <w:rFonts w:ascii="Arial" w:cs="Arial" w:eastAsia="Arial" w:hAnsi="Arial"/>
          <w:sz w:val="12"/>
          <w:szCs w:val="12"/>
          <w:color w:val="auto"/>
        </w:rPr>
        <w:t xml:space="preserve"> from having to provide certain conflict of interest disclosure in this document.</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Statutory Rights of Action</w:t>
      </w:r>
    </w:p>
    <w:p>
      <w:pPr>
        <w:spacing w:after="0" w:line="34"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3"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Enforcement of Legal Rights</w:t>
      </w:r>
    </w:p>
    <w:p>
      <w:pPr>
        <w:spacing w:after="0" w:line="34"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5" w:name="page246"/>
    <w:bookmarkEnd w:id="24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Taxation and Eligibility for Investment</w:t>
      </w:r>
    </w:p>
    <w:p>
      <w:pPr>
        <w:spacing w:after="0" w:line="34" w:lineRule="exact"/>
        <w:rPr>
          <w:sz w:val="20"/>
          <w:szCs w:val="20"/>
          <w:color w:val="auto"/>
        </w:rPr>
      </w:pPr>
    </w:p>
    <w:p>
      <w:pPr>
        <w:ind w:left="1560" w:right="1679"/>
        <w:spacing w:after="0" w:line="280" w:lineRule="auto"/>
        <w:rPr>
          <w:sz w:val="20"/>
          <w:szCs w:val="20"/>
          <w:color w:val="auto"/>
        </w:rPr>
      </w:pPr>
      <w:r>
        <w:rPr>
          <w:rFonts w:ascii="Arial" w:cs="Arial" w:eastAsia="Arial" w:hAnsi="Arial"/>
          <w:sz w:val="12"/>
          <w:szCs w:val="12"/>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Australia</w:t>
      </w:r>
    </w:p>
    <w:p>
      <w:pPr>
        <w:spacing w:after="0" w:line="34" w:lineRule="exact"/>
        <w:rPr>
          <w:sz w:val="20"/>
          <w:szCs w:val="20"/>
          <w:color w:val="auto"/>
        </w:rPr>
      </w:pPr>
    </w:p>
    <w:p>
      <w:pPr>
        <w:ind w:left="1560" w:right="1659"/>
        <w:spacing w:after="0" w:line="271" w:lineRule="auto"/>
        <w:rPr>
          <w:sz w:val="20"/>
          <w:szCs w:val="20"/>
          <w:color w:val="auto"/>
        </w:rPr>
      </w:pPr>
      <w:r>
        <w:rPr>
          <w:rFonts w:ascii="Arial" w:cs="Arial" w:eastAsia="Arial" w:hAnsi="Arial"/>
          <w:sz w:val="12"/>
          <w:szCs w:val="12"/>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8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You confirm and warrant that you are either:</w:t>
      </w:r>
    </w:p>
    <w:p>
      <w:pPr>
        <w:spacing w:after="0" w:line="65" w:lineRule="exact"/>
        <w:rPr>
          <w:sz w:val="20"/>
          <w:szCs w:val="20"/>
          <w:color w:val="auto"/>
        </w:rPr>
      </w:pPr>
    </w:p>
    <w:p>
      <w:pPr>
        <w:ind w:left="1980" w:hanging="157"/>
        <w:spacing w:after="0"/>
        <w:tabs>
          <w:tab w:leader="none" w:pos="198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 “sophisticated investor” under section 708(8)(a) or (b) of the Corporations Act;</w:t>
      </w:r>
    </w:p>
    <w:p>
      <w:pPr>
        <w:spacing w:after="0" w:line="65" w:lineRule="exact"/>
        <w:rPr>
          <w:rFonts w:ascii="Arial" w:cs="Arial" w:eastAsia="Arial" w:hAnsi="Arial"/>
          <w:sz w:val="12"/>
          <w:szCs w:val="12"/>
          <w:color w:val="auto"/>
        </w:rPr>
      </w:pPr>
    </w:p>
    <w:p>
      <w:pPr>
        <w:ind w:left="1980" w:right="1679" w:hanging="157"/>
        <w:spacing w:after="0" w:line="274" w:lineRule="auto"/>
        <w:tabs>
          <w:tab w:leader="none" w:pos="198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 “sophisticated investor” under section 708(8)(c) or (d) of the Corporations Act and that you have provided an accountant’s certificate to us which complies with the requirements of section 708(8)(c)</w:t>
      </w:r>
    </w:p>
    <w:p>
      <w:pPr>
        <w:ind w:left="1980"/>
        <w:spacing w:after="0"/>
        <w:rPr>
          <w:rFonts w:ascii="Arial" w:cs="Arial" w:eastAsia="Arial" w:hAnsi="Arial"/>
          <w:sz w:val="12"/>
          <w:szCs w:val="12"/>
          <w:color w:val="auto"/>
        </w:rPr>
      </w:pPr>
      <w:r>
        <w:rPr>
          <w:rFonts w:ascii="Arial" w:cs="Arial" w:eastAsia="Arial" w:hAnsi="Arial"/>
          <w:sz w:val="12"/>
          <w:szCs w:val="12"/>
          <w:color w:val="auto"/>
        </w:rPr>
        <w:t>(i) or (ii) of the Corporations Act and related regulations before the offer has been made;</w:t>
      </w:r>
    </w:p>
    <w:p>
      <w:pPr>
        <w:spacing w:after="0" w:line="58" w:lineRule="exact"/>
        <w:rPr>
          <w:rFonts w:ascii="Arial" w:cs="Arial" w:eastAsia="Arial" w:hAnsi="Arial"/>
          <w:sz w:val="12"/>
          <w:szCs w:val="12"/>
          <w:color w:val="auto"/>
        </w:rPr>
      </w:pPr>
    </w:p>
    <w:p>
      <w:pPr>
        <w:ind w:left="1980" w:hanging="157"/>
        <w:spacing w:after="0"/>
        <w:tabs>
          <w:tab w:leader="none" w:pos="198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 person associated with us under Section 708(12) of the Corporations Act; or</w:t>
      </w:r>
    </w:p>
    <w:p>
      <w:pPr>
        <w:spacing w:after="0" w:line="65" w:lineRule="exact"/>
        <w:rPr>
          <w:rFonts w:ascii="Arial" w:cs="Arial" w:eastAsia="Arial" w:hAnsi="Arial"/>
          <w:sz w:val="12"/>
          <w:szCs w:val="12"/>
          <w:color w:val="auto"/>
        </w:rPr>
      </w:pPr>
    </w:p>
    <w:p>
      <w:pPr>
        <w:ind w:left="1980" w:hanging="157"/>
        <w:spacing w:after="0"/>
        <w:tabs>
          <w:tab w:leader="none" w:pos="198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 “professional investor” within the meaning of section 708(11)(a) or (b) of the Corporations Act.</w:t>
      </w:r>
    </w:p>
    <w:p>
      <w:pPr>
        <w:spacing w:after="0" w:line="113" w:lineRule="exact"/>
        <w:rPr>
          <w:sz w:val="20"/>
          <w:szCs w:val="20"/>
          <w:color w:val="auto"/>
        </w:rPr>
      </w:pPr>
    </w:p>
    <w:p>
      <w:pPr>
        <w:ind w:left="1560" w:right="1879"/>
        <w:spacing w:after="0" w:line="272" w:lineRule="auto"/>
        <w:rPr>
          <w:sz w:val="20"/>
          <w:szCs w:val="20"/>
          <w:color w:val="auto"/>
        </w:rPr>
      </w:pPr>
      <w:r>
        <w:rPr>
          <w:rFonts w:ascii="Arial" w:cs="Arial" w:eastAsia="Arial" w:hAnsi="Arial"/>
          <w:sz w:val="12"/>
          <w:szCs w:val="12"/>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72" w:lineRule="exact"/>
        <w:rPr>
          <w:sz w:val="20"/>
          <w:szCs w:val="20"/>
          <w:color w:val="auto"/>
        </w:rPr>
      </w:pPr>
    </w:p>
    <w:p>
      <w:pPr>
        <w:ind w:left="1560" w:right="1679"/>
        <w:spacing w:after="0" w:line="280" w:lineRule="auto"/>
        <w:rPr>
          <w:sz w:val="20"/>
          <w:szCs w:val="20"/>
          <w:color w:val="auto"/>
        </w:rPr>
      </w:pPr>
      <w:r>
        <w:rPr>
          <w:rFonts w:ascii="Arial" w:cs="Arial" w:eastAsia="Arial" w:hAnsi="Arial"/>
          <w:sz w:val="12"/>
          <w:szCs w:val="12"/>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European Economic Area</w:t>
      </w:r>
    </w:p>
    <w:p>
      <w:pPr>
        <w:spacing w:after="0" w:line="34" w:lineRule="exact"/>
        <w:rPr>
          <w:sz w:val="20"/>
          <w:szCs w:val="20"/>
          <w:color w:val="auto"/>
        </w:rPr>
      </w:pPr>
    </w:p>
    <w:p>
      <w:pPr>
        <w:ind w:left="1560" w:right="1579"/>
        <w:spacing w:after="0" w:line="266" w:lineRule="auto"/>
        <w:rPr>
          <w:sz w:val="20"/>
          <w:szCs w:val="20"/>
          <w:color w:val="auto"/>
        </w:rPr>
      </w:pPr>
      <w:r>
        <w:rPr>
          <w:rFonts w:ascii="Arial" w:cs="Arial" w:eastAsia="Arial" w:hAnsi="Arial"/>
          <w:sz w:val="12"/>
          <w:szCs w:val="12"/>
          <w:color w:val="auto"/>
        </w:rPr>
        <w:t>In relation to each Member State of the European Economic Area, or a Relevant State, no shares have been offered or will be offered pursuant to the offering to the public in that Relevant State prior to the publication of a prospectus in relation to the ADSs which have been approved by the competent authority in that Relevant State or, where appropriate, approved in another Relevant State and notified to the competent authority in that Relevant State, all in accordance with the Prospectus Regulation, except that the ADSs may be offered to the public in that Relevant State at any time:</w:t>
      </w:r>
    </w:p>
    <w:p>
      <w:pPr>
        <w:spacing w:after="0" w:line="40" w:lineRule="exact"/>
        <w:rPr>
          <w:sz w:val="20"/>
          <w:szCs w:val="20"/>
          <w:color w:val="auto"/>
        </w:rPr>
      </w:pPr>
    </w:p>
    <w:p>
      <w:pPr>
        <w:ind w:left="1980" w:right="2079" w:hanging="157"/>
        <w:spacing w:after="0" w:line="308" w:lineRule="auto"/>
        <w:tabs>
          <w:tab w:leader="none" w:pos="19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Article 2 of the Prospectus Regulation;</w:t>
      </w:r>
    </w:p>
    <w:p>
      <w:pPr>
        <w:spacing w:after="0" w:line="3" w:lineRule="exact"/>
        <w:rPr>
          <w:rFonts w:ascii="Arial" w:cs="Arial" w:eastAsia="Arial" w:hAnsi="Arial"/>
          <w:sz w:val="12"/>
          <w:szCs w:val="12"/>
          <w:color w:val="auto"/>
        </w:rPr>
      </w:pPr>
    </w:p>
    <w:p>
      <w:pPr>
        <w:ind w:left="1980" w:right="1579" w:hanging="157"/>
        <w:spacing w:after="0" w:line="288" w:lineRule="auto"/>
        <w:tabs>
          <w:tab w:leader="none" w:pos="19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Article 2 of the Prospectus Regulation), subject to obtaining the prior consent of representatives for any such offer; or</w:t>
      </w:r>
    </w:p>
    <w:p>
      <w:pPr>
        <w:spacing w:after="0" w:line="15" w:lineRule="exact"/>
        <w:rPr>
          <w:rFonts w:ascii="Arial" w:cs="Arial" w:eastAsia="Arial" w:hAnsi="Arial"/>
          <w:sz w:val="12"/>
          <w:szCs w:val="12"/>
          <w:color w:val="auto"/>
        </w:rPr>
      </w:pPr>
    </w:p>
    <w:p>
      <w:pPr>
        <w:ind w:left="1980" w:hanging="157"/>
        <w:spacing w:after="0"/>
        <w:tabs>
          <w:tab w:leader="none" w:pos="19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13"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 such offer of the ADSs shall require us or any of the representatives to publish a prospectus</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Article 3 of the Prospectus Regulation or supplement a prospectus pursuant to Article 23 of the Prospectus Regulation.</w:t>
      </w:r>
    </w:p>
    <w:p>
      <w:pPr>
        <w:spacing w:after="0" w:line="72"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For the purposes of this provision, the expression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3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Hong Kong</w:t>
      </w:r>
    </w:p>
    <w:p>
      <w:pPr>
        <w:spacing w:after="0" w:line="34" w:lineRule="exact"/>
        <w:rPr>
          <w:sz w:val="20"/>
          <w:szCs w:val="20"/>
          <w:color w:val="auto"/>
        </w:rPr>
      </w:pPr>
    </w:p>
    <w:p>
      <w:pPr>
        <w:ind w:left="1560" w:right="1679"/>
        <w:spacing w:after="0" w:line="266" w:lineRule="auto"/>
        <w:rPr>
          <w:sz w:val="20"/>
          <w:szCs w:val="20"/>
          <w:color w:val="auto"/>
        </w:rPr>
      </w:pPr>
      <w:r>
        <w:rPr>
          <w:rFonts w:ascii="Arial" w:cs="Arial" w:eastAsia="Arial" w:hAnsi="Arial"/>
          <w:sz w:val="12"/>
          <w:szCs w:val="12"/>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6" w:name="page247"/>
    <w:bookmarkEnd w:id="24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1560" w:right="1599"/>
        <w:spacing w:after="0" w:line="262" w:lineRule="auto"/>
        <w:rPr>
          <w:sz w:val="20"/>
          <w:szCs w:val="20"/>
          <w:color w:val="auto"/>
        </w:rPr>
      </w:pPr>
      <w:r>
        <w:rPr>
          <w:rFonts w:ascii="Arial" w:cs="Arial" w:eastAsia="Arial" w:hAnsi="Arial"/>
          <w:sz w:val="12"/>
          <w:szCs w:val="12"/>
          <w:color w:val="auto"/>
        </w:rPr>
        <w:t>result in the document being a “prospectus” as defined in the Companies Ordinance (Cap. 32) of Hong Kong, or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81" w:lineRule="exact"/>
        <w:rPr>
          <w:sz w:val="20"/>
          <w:szCs w:val="20"/>
          <w:color w:val="auto"/>
        </w:rPr>
      </w:pPr>
    </w:p>
    <w:p>
      <w:pPr>
        <w:ind w:left="1560" w:right="1639"/>
        <w:spacing w:after="0" w:line="266" w:lineRule="auto"/>
        <w:rPr>
          <w:sz w:val="20"/>
          <w:szCs w:val="20"/>
          <w:color w:val="auto"/>
        </w:rPr>
      </w:pPr>
      <w:r>
        <w:rPr>
          <w:rFonts w:ascii="Arial" w:cs="Arial" w:eastAsia="Arial" w:hAnsi="Arial"/>
          <w:sz w:val="12"/>
          <w:szCs w:val="12"/>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Israel</w:t>
      </w:r>
    </w:p>
    <w:p>
      <w:pPr>
        <w:spacing w:after="0" w:line="34" w:lineRule="exact"/>
        <w:rPr>
          <w:sz w:val="20"/>
          <w:szCs w:val="20"/>
          <w:color w:val="auto"/>
        </w:rPr>
      </w:pPr>
    </w:p>
    <w:p>
      <w:pPr>
        <w:ind w:left="1560" w:right="1659"/>
        <w:spacing w:after="0" w:line="264" w:lineRule="auto"/>
        <w:rPr>
          <w:sz w:val="20"/>
          <w:szCs w:val="20"/>
          <w:color w:val="auto"/>
        </w:rPr>
      </w:pPr>
      <w:r>
        <w:rPr>
          <w:rFonts w:ascii="Arial" w:cs="Arial" w:eastAsia="Arial" w:hAnsi="Arial"/>
          <w:sz w:val="12"/>
          <w:szCs w:val="12"/>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ADSs is directed only at,</w:t>
      </w:r>
    </w:p>
    <w:p>
      <w:pPr>
        <w:spacing w:after="0" w:line="1" w:lineRule="exact"/>
        <w:rPr>
          <w:sz w:val="20"/>
          <w:szCs w:val="20"/>
          <w:color w:val="auto"/>
        </w:rPr>
      </w:pPr>
    </w:p>
    <w:p>
      <w:pPr>
        <w:ind w:left="1560" w:right="1579" w:firstLine="5"/>
        <w:spacing w:after="0" w:line="260" w:lineRule="auto"/>
        <w:tabs>
          <w:tab w:leader="none" w:pos="1703"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Japan</w:t>
      </w:r>
    </w:p>
    <w:p>
      <w:pPr>
        <w:spacing w:after="0" w:line="44" w:lineRule="exact"/>
        <w:rPr>
          <w:sz w:val="20"/>
          <w:szCs w:val="20"/>
          <w:color w:val="auto"/>
        </w:rPr>
      </w:pPr>
    </w:p>
    <w:p>
      <w:pPr>
        <w:ind w:left="1560" w:right="1619"/>
        <w:spacing w:after="0" w:line="275" w:lineRule="auto"/>
        <w:rPr>
          <w:sz w:val="20"/>
          <w:szCs w:val="20"/>
          <w:color w:val="auto"/>
        </w:rPr>
      </w:pPr>
      <w:r>
        <w:rPr>
          <w:rFonts w:ascii="Arial" w:cs="Arial" w:eastAsia="Arial" w:hAnsi="Arial"/>
          <w:sz w:val="12"/>
          <w:szCs w:val="12"/>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7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Singapore</w:t>
      </w:r>
    </w:p>
    <w:p>
      <w:pPr>
        <w:spacing w:after="0" w:line="44" w:lineRule="exact"/>
        <w:rPr>
          <w:sz w:val="20"/>
          <w:szCs w:val="20"/>
          <w:color w:val="auto"/>
        </w:rPr>
      </w:pPr>
    </w:p>
    <w:p>
      <w:pPr>
        <w:ind w:left="1560" w:right="1679"/>
        <w:spacing w:after="0" w:line="274" w:lineRule="auto"/>
        <w:rPr>
          <w:sz w:val="20"/>
          <w:szCs w:val="20"/>
          <w:color w:val="auto"/>
        </w:rPr>
      </w:pPr>
      <w:r>
        <w:rPr>
          <w:rFonts w:ascii="Arial" w:cs="Arial" w:eastAsia="Arial" w:hAnsi="Arial"/>
          <w:sz w:val="12"/>
          <w:szCs w:val="12"/>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Where the notes are subscribed or purchased under Section 275 of the SFA by a relevant person which is</w:t>
      </w:r>
    </w:p>
    <w:p>
      <w:pPr>
        <w:spacing w:after="0" w:line="23" w:lineRule="exact"/>
        <w:rPr>
          <w:sz w:val="20"/>
          <w:szCs w:val="20"/>
          <w:color w:val="auto"/>
        </w:rPr>
      </w:pPr>
    </w:p>
    <w:p>
      <w:pPr>
        <w:ind w:left="1560" w:right="1659" w:firstLine="5"/>
        <w:spacing w:after="0" w:line="274" w:lineRule="auto"/>
        <w:tabs>
          <w:tab w:leader="none" w:pos="1744"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7" w:name="page248"/>
    <w:bookmarkEnd w:id="24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8"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interest (howsoever described) in that trust shall not be transferred within six months after that corporation or that trust has acquired the notes pursuant to an offer made under Section 275 of the SFA except (i)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w:t>
      </w:r>
    </w:p>
    <w:p>
      <w:pPr>
        <w:spacing w:after="0" w:line="1" w:lineRule="exact"/>
        <w:rPr>
          <w:sz w:val="20"/>
          <w:szCs w:val="20"/>
          <w:color w:val="auto"/>
        </w:rPr>
      </w:pPr>
    </w:p>
    <w:p>
      <w:pPr>
        <w:ind w:left="1560" w:right="1959"/>
        <w:spacing w:after="0" w:line="298" w:lineRule="auto"/>
        <w:rPr>
          <w:sz w:val="20"/>
          <w:szCs w:val="20"/>
          <w:color w:val="auto"/>
        </w:rPr>
      </w:pPr>
      <w:r>
        <w:rPr>
          <w:rFonts w:ascii="Arial" w:cs="Arial" w:eastAsia="Arial" w:hAnsi="Arial"/>
          <w:sz w:val="12"/>
          <w:szCs w:val="12"/>
          <w:color w:val="auto"/>
        </w:rPr>
        <w:t>Section 276(7) of the SFA, or (v) as specified in Regulation 32 of the Securities and Futures (Offers of Investments) (Shares and Debentures) Regulations 2005 of Singapore.</w:t>
      </w:r>
    </w:p>
    <w:p>
      <w:pPr>
        <w:spacing w:after="0" w:line="10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Switzerland</w:t>
      </w:r>
    </w:p>
    <w:p>
      <w:pPr>
        <w:spacing w:after="0" w:line="44"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82"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7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United Kingdom</w:t>
      </w:r>
    </w:p>
    <w:p>
      <w:pPr>
        <w:spacing w:after="0" w:line="44"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No shares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16" w:lineRule="exact"/>
        <w:rPr>
          <w:sz w:val="20"/>
          <w:szCs w:val="20"/>
          <w:color w:val="auto"/>
        </w:rPr>
      </w:pPr>
    </w:p>
    <w:p>
      <w:pPr>
        <w:ind w:left="1980" w:right="1959" w:hanging="157"/>
        <w:spacing w:after="0" w:line="308" w:lineRule="auto"/>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Article 2 of the UK Prospectus Regulation;</w:t>
      </w:r>
    </w:p>
    <w:p>
      <w:pPr>
        <w:spacing w:after="0" w:line="3" w:lineRule="exact"/>
        <w:rPr>
          <w:rFonts w:ascii="Arial" w:cs="Arial" w:eastAsia="Arial" w:hAnsi="Arial"/>
          <w:sz w:val="12"/>
          <w:szCs w:val="12"/>
          <w:color w:val="auto"/>
        </w:rPr>
      </w:pPr>
    </w:p>
    <w:p>
      <w:pPr>
        <w:ind w:left="1980" w:right="1579" w:hanging="157"/>
        <w:spacing w:after="0" w:line="288" w:lineRule="auto"/>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Article 2 of the UK Prospectus Regulation), subject to obtaining the prior consent of the representatives for any such offer; or</w:t>
      </w:r>
    </w:p>
    <w:p>
      <w:pPr>
        <w:spacing w:after="0" w:line="25" w:lineRule="exact"/>
        <w:rPr>
          <w:rFonts w:ascii="Arial" w:cs="Arial" w:eastAsia="Arial" w:hAnsi="Arial"/>
          <w:sz w:val="12"/>
          <w:szCs w:val="12"/>
          <w:color w:val="auto"/>
        </w:rPr>
      </w:pPr>
    </w:p>
    <w:p>
      <w:pPr>
        <w:ind w:left="1980" w:hanging="157"/>
        <w:spacing w:after="0"/>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FSMA,</w:t>
      </w:r>
    </w:p>
    <w:p>
      <w:pPr>
        <w:spacing w:after="0" w:line="113"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 such offer of the ADSs shall require us or any underwriter to publish a prospectus pursuant</w:t>
      </w:r>
      <w:r>
        <w:rPr>
          <w:rFonts w:ascii="Arial" w:cs="Arial" w:eastAsia="Arial" w:hAnsi="Arial"/>
          <w:sz w:val="12"/>
          <w:szCs w:val="12"/>
          <w:i w:val="1"/>
          <w:iCs w:val="1"/>
          <w:color w:val="auto"/>
        </w:rPr>
        <w:t xml:space="preserve"> </w:t>
      </w:r>
      <w:r>
        <w:rPr>
          <w:rFonts w:ascii="Arial" w:cs="Arial" w:eastAsia="Arial" w:hAnsi="Arial"/>
          <w:sz w:val="12"/>
          <w:szCs w:val="12"/>
          <w:color w:val="auto"/>
        </w:rPr>
        <w:t>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8" w:name="page249"/>
    <w:bookmarkEnd w:id="248"/>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LEGAL MATTERS</w:t>
      </w:r>
    </w:p>
    <w:p>
      <w:pPr>
        <w:spacing w:after="0" w:line="253"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We are being represented by Cooley LLP, San Diego, California, with respect to certain legal matters as to U.S. federal securities laws. The validity of the ordinary shares represented by the ADSs offered in this offering will be passed upon for us by Travers Thorp Alberga. Certain legal matters as to Chinese law will be passed upon for us by Zhong Lun Law Firm. Certain legal matters in connection with this offering will be passed upon for the underwriters by Latham &amp; Watkins LLP, San Diego, California. As of the date of this prospectus, Cooley LLP beneficially owns an aggregate of 177,000 of our ordinary shares, and GC&amp;H Investments, LLC, an entity that is comprised of partners and associates of Cooley LLP, beneficially own an aggregate of 172,303 of our Series A+ convertible preferred shares, which will be converted into 172,303 ordinary shares upon the closing of this offering.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EXPERTS</w:t>
      </w:r>
    </w:p>
    <w:p>
      <w:pPr>
        <w:spacing w:after="0" w:line="243"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The financial statements as of December 31, 2021 and 2020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253"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We have filed with the SEC a registration statement on Form S-1, including exhibits and schedules, under the Securities Act, with respect to the ADSs being offered by this prospectus. This prospectus, which constitutes part of the registration statement, does not contain all of the information in the registration statement and its exhibits. For further information with respect to us and the ADSs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84"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on the web site of the SEC referred to above. We also maintain a website at www.structuretx.com,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9" w:name="page250"/>
    <w:bookmarkEnd w:id="249"/>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STRUCTURE THERAPEUTICS INC.</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3"/>
          <w:szCs w:val="13"/>
          <w:b w:val="1"/>
          <w:bCs w:val="1"/>
          <w:color w:val="auto"/>
        </w:rPr>
        <w:t>INDEX TO 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December 31,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85090</wp:posOffset>
            </wp:positionV>
            <wp:extent cx="373316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41" w:lineRule="exact"/>
        <w:rPr>
          <w:sz w:val="20"/>
          <w:szCs w:val="20"/>
          <w:color w:val="auto"/>
        </w:rPr>
      </w:pPr>
    </w:p>
    <w:tbl>
      <w:tblPr>
        <w:tblLayout w:type="fixed"/>
        <w:tblInd w:w="1560" w:type="dxa"/>
        <w:tblCellMar>
          <w:top w:w="0" w:type="dxa"/>
          <w:left w:w="0" w:type="dxa"/>
          <w:bottom w:w="0" w:type="dxa"/>
          <w:right w:w="0" w:type="dxa"/>
        </w:tblCellMar>
      </w:tblPr>
      <w:tr>
        <w:trPr>
          <w:trHeight w:val="263"/>
        </w:trPr>
        <w:tc>
          <w:tcPr>
            <w:tcW w:w="5420" w:type="dxa"/>
            <w:vAlign w:val="bottom"/>
            <w:gridSpan w:val="14"/>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gridSpan w:val="4"/>
          </w:tcPr>
          <w:p>
            <w:pPr>
              <w:jc w:val="right"/>
              <w:spacing w:after="0"/>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PAGE</w:t>
            </w:r>
            <w:r>
              <w:rPr>
                <w:rFonts w:ascii="Arial" w:cs="Arial" w:eastAsia="Arial" w:hAnsi="Arial"/>
                <w:sz w:val="20"/>
                <w:szCs w:val="20"/>
                <w:b w:val="1"/>
                <w:bCs w:val="1"/>
                <w:color w:val="auto"/>
                <w:vertAlign w:val="subscript"/>
              </w:rPr>
              <w:t>​</w:t>
            </w:r>
          </w:p>
        </w:tc>
      </w:tr>
      <w:tr>
        <w:trPr>
          <w:trHeight w:val="20"/>
        </w:trPr>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4"/>
        </w:trPr>
        <w:tc>
          <w:tcPr>
            <w:tcW w:w="3140" w:type="dxa"/>
            <w:vAlign w:val="bottom"/>
            <w:tcBorders>
              <w:bottom w:val="single" w:sz="8" w:color="0000EE"/>
            </w:tcBorders>
            <w:gridSpan w:val="9"/>
            <w:shd w:val="clear" w:color="auto" w:fill="CCEEFF"/>
          </w:tcPr>
          <w:p>
            <w:pPr>
              <w:spacing w:after="0" w:line="115" w:lineRule="exact"/>
              <w:rPr>
                <w:sz w:val="20"/>
                <w:szCs w:val="20"/>
                <w:color w:val="auto"/>
              </w:rPr>
            </w:pPr>
            <w:r>
              <w:rPr>
                <w:rFonts w:ascii="Arial" w:cs="Arial" w:eastAsia="Arial" w:hAnsi="Arial"/>
                <w:sz w:val="12"/>
                <w:szCs w:val="12"/>
                <w:color w:val="0000EE"/>
              </w:rPr>
              <w:t>Report of Independent Registered Public Accounting Firm</w:t>
            </w:r>
          </w:p>
        </w:tc>
        <w:tc>
          <w:tcPr>
            <w:tcW w:w="4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right w:val="single" w:sz="8" w:color="CCEEFF"/>
            </w:tcBorders>
            <w:gridSpan w:val="2"/>
            <w:shd w:val="clear" w:color="auto" w:fill="CCEEFF"/>
          </w:tcPr>
          <w:p>
            <w:pPr>
              <w:ind w:left="40"/>
              <w:spacing w:after="0" w:line="125" w:lineRule="exact"/>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200" w:type="dxa"/>
            <w:vAlign w:val="bottom"/>
            <w:tcBorders>
              <w:bottom w:val="single" w:sz="8" w:color="0000EE"/>
              <w:right w:val="single" w:sz="8" w:color="CCEEFF"/>
            </w:tcBorders>
            <w:shd w:val="clear" w:color="auto" w:fill="CCEEFF"/>
          </w:tcPr>
          <w:p>
            <w:pPr>
              <w:jc w:val="center"/>
              <w:spacing w:after="0" w:line="115" w:lineRule="exact"/>
              <w:rPr>
                <w:sz w:val="20"/>
                <w:szCs w:val="20"/>
                <w:color w:val="auto"/>
              </w:rPr>
            </w:pPr>
            <w:r>
              <w:rPr>
                <w:rFonts w:ascii="Arial" w:cs="Arial" w:eastAsia="Arial" w:hAnsi="Arial"/>
                <w:sz w:val="12"/>
                <w:szCs w:val="12"/>
                <w:color w:val="0000EE"/>
                <w:w w:val="99"/>
              </w:rPr>
              <w:t>F-2</w:t>
            </w:r>
          </w:p>
        </w:tc>
        <w:tc>
          <w:tcPr>
            <w:tcW w:w="4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w:t>
            </w:r>
          </w:p>
        </w:tc>
      </w:tr>
      <w:tr>
        <w:trPr>
          <w:trHeight w:val="184"/>
        </w:trPr>
        <w:tc>
          <w:tcPr>
            <w:tcW w:w="5420" w:type="dxa"/>
            <w:vAlign w:val="bottom"/>
            <w:gridSpan w:val="14"/>
          </w:tcPr>
          <w:p>
            <w:pPr>
              <w:spacing w:after="0"/>
              <w:rPr>
                <w:sz w:val="20"/>
                <w:szCs w:val="20"/>
                <w:color w:val="auto"/>
              </w:rPr>
            </w:pPr>
            <w:r>
              <w:rPr>
                <w:rFonts w:ascii="Arial" w:cs="Arial" w:eastAsia="Arial" w:hAnsi="Arial"/>
                <w:sz w:val="12"/>
                <w:szCs w:val="12"/>
                <w:b w:val="1"/>
                <w:bCs w:val="1"/>
                <w:color w:val="auto"/>
              </w:rPr>
              <w:t>Consolidated Financial Statements</w:t>
            </w:r>
          </w:p>
        </w:tc>
        <w:tc>
          <w:tcPr>
            <w:tcW w:w="260" w:type="dxa"/>
            <w:vAlign w:val="bottom"/>
            <w:gridSpan w:val="2"/>
          </w:tcPr>
          <w:p>
            <w:pPr>
              <w:ind w:left="40"/>
              <w:spacing w:after="0"/>
              <w:rPr>
                <w:sz w:val="20"/>
                <w:szCs w:val="20"/>
                <w:color w:val="auto"/>
              </w:rPr>
            </w:pPr>
            <w:r>
              <w:rPr>
                <w:rFonts w:ascii="Arial" w:cs="Arial" w:eastAsia="Arial" w:hAnsi="Arial"/>
                <w:sz w:val="12"/>
                <w:szCs w:val="12"/>
                <w:b w:val="1"/>
                <w:bCs w:val="1"/>
                <w:color w:val="auto"/>
              </w:rPr>
              <w:t>​ ​ ​</w:t>
            </w:r>
          </w:p>
        </w:tc>
        <w:tc>
          <w:tcPr>
            <w:tcW w:w="2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64"/>
        </w:trPr>
        <w:tc>
          <w:tcPr>
            <w:tcW w:w="1620" w:type="dxa"/>
            <w:vAlign w:val="bottom"/>
            <w:tcBorders>
              <w:bottom w:val="single" w:sz="8" w:color="0000EE"/>
            </w:tcBorders>
            <w:gridSpan w:val="2"/>
            <w:shd w:val="clear" w:color="auto" w:fill="CCEEFF"/>
          </w:tcPr>
          <w:p>
            <w:pPr>
              <w:spacing w:after="0" w:line="125" w:lineRule="exact"/>
              <w:rPr>
                <w:sz w:val="20"/>
                <w:szCs w:val="20"/>
                <w:color w:val="auto"/>
              </w:rPr>
            </w:pPr>
            <w:r>
              <w:rPr>
                <w:rFonts w:ascii="Arial" w:cs="Arial" w:eastAsia="Arial" w:hAnsi="Arial"/>
                <w:sz w:val="12"/>
                <w:szCs w:val="12"/>
                <w:color w:val="0000EE"/>
              </w:rPr>
              <w:t>Consolidated Balance Sheets</w:t>
            </w: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right w:val="single" w:sz="8" w:color="CCEEFF"/>
            </w:tcBorders>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200" w:type="dxa"/>
            <w:vAlign w:val="bottom"/>
            <w:tcBorders>
              <w:bottom w:val="single" w:sz="8" w:color="0000EE"/>
              <w:right w:val="single" w:sz="8" w:color="CCEEFF"/>
            </w:tcBorders>
            <w:shd w:val="clear" w:color="auto" w:fill="CCEEFF"/>
          </w:tcPr>
          <w:p>
            <w:pPr>
              <w:jc w:val="center"/>
              <w:spacing w:after="0" w:line="125" w:lineRule="exact"/>
              <w:rPr>
                <w:sz w:val="20"/>
                <w:szCs w:val="20"/>
                <w:color w:val="auto"/>
              </w:rPr>
            </w:pPr>
            <w:r>
              <w:rPr>
                <w:rFonts w:ascii="Arial" w:cs="Arial" w:eastAsia="Arial" w:hAnsi="Arial"/>
                <w:sz w:val="12"/>
                <w:szCs w:val="12"/>
                <w:color w:val="0000EE"/>
                <w:w w:val="99"/>
              </w:rPr>
              <w:t>F-3</w:t>
            </w:r>
          </w:p>
        </w:tc>
        <w:tc>
          <w:tcPr>
            <w:tcW w:w="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r>
      <w:tr>
        <w:trPr>
          <w:trHeight w:val="154"/>
        </w:trPr>
        <w:tc>
          <w:tcPr>
            <w:tcW w:w="3560" w:type="dxa"/>
            <w:vAlign w:val="bottom"/>
            <w:tcBorders>
              <w:bottom w:val="single" w:sz="8" w:color="0000EE"/>
            </w:tcBorders>
            <w:gridSpan w:val="10"/>
          </w:tcPr>
          <w:p>
            <w:pPr>
              <w:spacing w:after="0" w:line="125" w:lineRule="exact"/>
              <w:rPr>
                <w:sz w:val="20"/>
                <w:szCs w:val="20"/>
                <w:color w:val="auto"/>
              </w:rPr>
            </w:pPr>
            <w:r>
              <w:rPr>
                <w:rFonts w:ascii="Arial" w:cs="Arial" w:eastAsia="Arial" w:hAnsi="Arial"/>
                <w:sz w:val="12"/>
                <w:szCs w:val="12"/>
                <w:color w:val="0000EE"/>
              </w:rPr>
              <w:t>Consolidated Statements of Operations and Comprehensive Loss</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200" w:type="dxa"/>
            <w:vAlign w:val="bottom"/>
            <w:tcBorders>
              <w:bottom w:val="single" w:sz="8" w:color="0000EE"/>
            </w:tcBorders>
          </w:tcPr>
          <w:p>
            <w:pPr>
              <w:jc w:val="center"/>
              <w:spacing w:after="0" w:line="125" w:lineRule="exact"/>
              <w:rPr>
                <w:sz w:val="20"/>
                <w:szCs w:val="20"/>
                <w:color w:val="auto"/>
              </w:rPr>
            </w:pPr>
            <w:r>
              <w:rPr>
                <w:rFonts w:ascii="Arial" w:cs="Arial" w:eastAsia="Arial" w:hAnsi="Arial"/>
                <w:sz w:val="12"/>
                <w:szCs w:val="12"/>
                <w:color w:val="0000EE"/>
                <w:w w:val="99"/>
              </w:rPr>
              <w:t>F-4</w:t>
            </w:r>
          </w:p>
        </w:tc>
        <w:tc>
          <w:tcPr>
            <w:tcW w:w="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r>
      <w:tr>
        <w:trPr>
          <w:trHeight w:val="145"/>
        </w:trPr>
        <w:tc>
          <w:tcPr>
            <w:tcW w:w="462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2"/>
                <w:szCs w:val="12"/>
                <w:color w:val="0000EE"/>
              </w:rPr>
              <w:t>Consolidated Statements of Redeemable Convertible Preferred Shares, Redeemable</w:t>
            </w:r>
          </w:p>
        </w:tc>
        <w:tc>
          <w:tcPr>
            <w:tcW w:w="80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200" w:type="dxa"/>
            <w:vAlign w:val="bottom"/>
            <w:tcBorders>
              <w:bottom w:val="single" w:sz="8" w:color="CCEEFF"/>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20" w:type="dxa"/>
            <w:vAlign w:val="bottom"/>
            <w:tcBorders>
              <w:bottom w:val="single" w:sz="8" w:color="CCEEFF"/>
            </w:tcBorders>
            <w:shd w:val="clear" w:color="auto" w:fill="CCEEFF"/>
          </w:tcPr>
          <w:p>
            <w:pPr>
              <w:spacing w:after="0"/>
              <w:rPr>
                <w:sz w:val="12"/>
                <w:szCs w:val="12"/>
                <w:color w:val="auto"/>
              </w:rPr>
            </w:pPr>
          </w:p>
        </w:tc>
        <w:tc>
          <w:tcPr>
            <w:tcW w:w="2640" w:type="dxa"/>
            <w:vAlign w:val="bottom"/>
            <w:tcBorders>
              <w:bottom w:val="single" w:sz="8" w:color="0000EE"/>
            </w:tcBorders>
            <w:gridSpan w:val="5"/>
            <w:shd w:val="clear" w:color="auto" w:fill="CCEEFF"/>
          </w:tcPr>
          <w:p>
            <w:pPr>
              <w:spacing w:after="0" w:line="135" w:lineRule="exact"/>
              <w:rPr>
                <w:sz w:val="20"/>
                <w:szCs w:val="20"/>
                <w:color w:val="auto"/>
              </w:rPr>
            </w:pPr>
            <w:r>
              <w:rPr>
                <w:rFonts w:ascii="Arial" w:cs="Arial" w:eastAsia="Arial" w:hAnsi="Arial"/>
                <w:sz w:val="12"/>
                <w:szCs w:val="12"/>
                <w:color w:val="0000EE"/>
              </w:rPr>
              <w:t>Noncontrolling Interest and Shareholders’ Deficit</w:t>
            </w:r>
          </w:p>
        </w:tc>
        <w:tc>
          <w:tcPr>
            <w:tcW w:w="2660" w:type="dxa"/>
            <w:vAlign w:val="bottom"/>
            <w:tcBorders>
              <w:bottom w:val="single" w:sz="8" w:color="CCEEFF"/>
            </w:tcBorders>
            <w:gridSpan w:val="8"/>
            <w:shd w:val="clear" w:color="auto" w:fill="CCEEFF"/>
          </w:tcPr>
          <w:p>
            <w:pPr>
              <w:spacing w:after="0"/>
              <w:rPr>
                <w:sz w:val="12"/>
                <w:szCs w:val="12"/>
                <w:color w:val="auto"/>
              </w:rPr>
            </w:pPr>
          </w:p>
        </w:tc>
        <w:tc>
          <w:tcPr>
            <w:tcW w:w="260" w:type="dxa"/>
            <w:vAlign w:val="bottom"/>
            <w:tcBorders>
              <w:bottom w:val="single" w:sz="8" w:color="CCEEFF"/>
              <w:right w:val="single" w:sz="8" w:color="CCEEFF"/>
            </w:tcBorders>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2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Arial" w:cs="Arial" w:eastAsia="Arial" w:hAnsi="Arial"/>
                <w:sz w:val="12"/>
                <w:szCs w:val="12"/>
                <w:color w:val="0000EE"/>
                <w:w w:val="99"/>
              </w:rPr>
              <w:t>F-5</w:t>
            </w:r>
          </w:p>
        </w:tc>
        <w:tc>
          <w:tcPr>
            <w:tcW w:w="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r>
      <w:tr>
        <w:trPr>
          <w:trHeight w:val="154"/>
        </w:trPr>
        <w:tc>
          <w:tcPr>
            <w:tcW w:w="2180" w:type="dxa"/>
            <w:vAlign w:val="bottom"/>
            <w:tcBorders>
              <w:bottom w:val="single" w:sz="8" w:color="0000EE"/>
            </w:tcBorders>
            <w:gridSpan w:val="3"/>
          </w:tcPr>
          <w:p>
            <w:pPr>
              <w:spacing w:after="0" w:line="125" w:lineRule="exact"/>
              <w:rPr>
                <w:sz w:val="20"/>
                <w:szCs w:val="20"/>
                <w:color w:val="auto"/>
              </w:rPr>
            </w:pPr>
            <w:r>
              <w:rPr>
                <w:rFonts w:ascii="Arial" w:cs="Arial" w:eastAsia="Arial" w:hAnsi="Arial"/>
                <w:sz w:val="12"/>
                <w:szCs w:val="12"/>
                <w:color w:val="0000EE"/>
              </w:rPr>
              <w:t>Consolidated Statements of Cash Flows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spacing w:after="0"/>
              <w:rPr>
                <w:sz w:val="13"/>
                <w:szCs w:val="13"/>
                <w:color w:val="auto"/>
              </w:rPr>
            </w:pPr>
          </w:p>
        </w:tc>
        <w:tc>
          <w:tcPr>
            <w:tcW w:w="10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200" w:type="dxa"/>
            <w:vAlign w:val="bottom"/>
            <w:tcBorders>
              <w:bottom w:val="single" w:sz="8" w:color="0000EE"/>
            </w:tcBorders>
          </w:tcPr>
          <w:p>
            <w:pPr>
              <w:jc w:val="center"/>
              <w:spacing w:after="0" w:line="125" w:lineRule="exact"/>
              <w:rPr>
                <w:sz w:val="20"/>
                <w:szCs w:val="20"/>
                <w:color w:val="auto"/>
              </w:rPr>
            </w:pPr>
            <w:r>
              <w:rPr>
                <w:rFonts w:ascii="Arial" w:cs="Arial" w:eastAsia="Arial" w:hAnsi="Arial"/>
                <w:sz w:val="12"/>
                <w:szCs w:val="12"/>
                <w:color w:val="0000EE"/>
                <w:w w:val="99"/>
              </w:rPr>
              <w:t>F-7</w:t>
            </w:r>
          </w:p>
        </w:tc>
        <w:tc>
          <w:tcPr>
            <w:tcW w:w="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r>
      <w:tr>
        <w:trPr>
          <w:trHeight w:val="154"/>
        </w:trPr>
        <w:tc>
          <w:tcPr>
            <w:tcW w:w="5420" w:type="dxa"/>
            <w:vAlign w:val="bottom"/>
            <w:gridSpan w:val="14"/>
            <w:shd w:val="clear" w:color="auto" w:fill="CCEEFF"/>
          </w:tcPr>
          <w:p>
            <w:pPr>
              <w:spacing w:after="0"/>
              <w:rPr>
                <w:sz w:val="20"/>
                <w:szCs w:val="20"/>
                <w:color w:val="auto"/>
              </w:rPr>
            </w:pPr>
            <w:r>
              <w:rPr>
                <w:rFonts w:ascii="Arial" w:cs="Arial" w:eastAsia="Arial" w:hAnsi="Arial"/>
                <w:sz w:val="12"/>
                <w:szCs w:val="12"/>
                <w:color w:val="0000EE"/>
              </w:rPr>
              <w:t>Notes to Consolidated Financial Statements</w:t>
            </w:r>
          </w:p>
        </w:tc>
        <w:tc>
          <w:tcPr>
            <w:tcW w:w="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2"/>
                <w:szCs w:val="12"/>
                <w:color w:val="0000EE"/>
                <w:w w:val="99"/>
              </w:rPr>
              <w:t>F-8</w:t>
            </w:r>
          </w:p>
        </w:tc>
        <w:tc>
          <w:tcPr>
            <w:tcW w:w="40" w:type="dxa"/>
            <w:vAlign w:val="bottom"/>
          </w:tcPr>
          <w:p>
            <w:pPr>
              <w:spacing w:after="0"/>
              <w:rPr>
                <w:sz w:val="13"/>
                <w:szCs w:val="13"/>
                <w:color w:val="auto"/>
              </w:rPr>
            </w:pPr>
          </w:p>
        </w:tc>
      </w:tr>
      <w:tr>
        <w:trPr>
          <w:trHeight w:val="154"/>
        </w:trPr>
        <w:tc>
          <w:tcPr>
            <w:tcW w:w="120" w:type="dxa"/>
            <w:vAlign w:val="bottom"/>
            <w:tcBorders>
              <w:top w:val="single" w:sz="8" w:color="0000EE"/>
              <w:bottom w:val="single" w:sz="8" w:color="auto"/>
            </w:tcBorders>
            <w:shd w:val="clear" w:color="auto" w:fill="CCEEFF"/>
          </w:tcPr>
          <w:p>
            <w:pPr>
              <w:spacing w:after="0"/>
              <w:rPr>
                <w:sz w:val="13"/>
                <w:szCs w:val="13"/>
                <w:color w:val="auto"/>
              </w:rPr>
            </w:pPr>
          </w:p>
        </w:tc>
        <w:tc>
          <w:tcPr>
            <w:tcW w:w="1500" w:type="dxa"/>
            <w:vAlign w:val="bottom"/>
            <w:tcBorders>
              <w:top w:val="single" w:sz="8" w:color="0000EE"/>
              <w:bottom w:val="single" w:sz="8" w:color="auto"/>
            </w:tcBorders>
            <w:shd w:val="clear" w:color="auto" w:fill="CCEEFF"/>
          </w:tcPr>
          <w:p>
            <w:pPr>
              <w:spacing w:after="0"/>
              <w:rPr>
                <w:sz w:val="13"/>
                <w:szCs w:val="13"/>
                <w:color w:val="auto"/>
              </w:rPr>
            </w:pPr>
          </w:p>
        </w:tc>
        <w:tc>
          <w:tcPr>
            <w:tcW w:w="560" w:type="dxa"/>
            <w:vAlign w:val="bottom"/>
            <w:tcBorders>
              <w:top w:val="single" w:sz="8" w:color="0000EE"/>
              <w:bottom w:val="single" w:sz="8" w:color="auto"/>
            </w:tcBorders>
            <w:shd w:val="clear" w:color="auto" w:fill="CCEEFF"/>
          </w:tcPr>
          <w:p>
            <w:pPr>
              <w:spacing w:after="0"/>
              <w:rPr>
                <w:sz w:val="13"/>
                <w:szCs w:val="13"/>
                <w:color w:val="auto"/>
              </w:rPr>
            </w:pPr>
          </w:p>
        </w:tc>
        <w:tc>
          <w:tcPr>
            <w:tcW w:w="100" w:type="dxa"/>
            <w:vAlign w:val="bottom"/>
            <w:tcBorders>
              <w:top w:val="single" w:sz="8" w:color="0000EE"/>
              <w:bottom w:val="single" w:sz="8" w:color="auto"/>
            </w:tcBorders>
            <w:shd w:val="clear" w:color="auto" w:fill="CCEEFF"/>
          </w:tcPr>
          <w:p>
            <w:pPr>
              <w:spacing w:after="0"/>
              <w:rPr>
                <w:sz w:val="13"/>
                <w:szCs w:val="13"/>
                <w:color w:val="auto"/>
              </w:rPr>
            </w:pPr>
          </w:p>
        </w:tc>
        <w:tc>
          <w:tcPr>
            <w:tcW w:w="100" w:type="dxa"/>
            <w:vAlign w:val="bottom"/>
            <w:tcBorders>
              <w:top w:val="single" w:sz="8" w:color="0000EE"/>
              <w:bottom w:val="single" w:sz="8" w:color="auto"/>
            </w:tcBorders>
            <w:shd w:val="clear" w:color="auto" w:fill="CCEEFF"/>
          </w:tcPr>
          <w:p>
            <w:pPr>
              <w:spacing w:after="0"/>
              <w:rPr>
                <w:sz w:val="13"/>
                <w:szCs w:val="13"/>
                <w:color w:val="auto"/>
              </w:rPr>
            </w:pPr>
          </w:p>
        </w:tc>
        <w:tc>
          <w:tcPr>
            <w:tcW w:w="38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420" w:type="dxa"/>
            <w:vAlign w:val="bottom"/>
            <w:tcBorders>
              <w:top w:val="single" w:sz="8" w:color="CCEEFF"/>
              <w:bottom w:val="single" w:sz="8" w:color="auto"/>
            </w:tcBorders>
            <w:shd w:val="clear" w:color="auto" w:fill="CCEEFF"/>
          </w:tcPr>
          <w:p>
            <w:pPr>
              <w:spacing w:after="0"/>
              <w:rPr>
                <w:sz w:val="13"/>
                <w:szCs w:val="13"/>
                <w:color w:val="auto"/>
              </w:rPr>
            </w:pPr>
          </w:p>
        </w:tc>
        <w:tc>
          <w:tcPr>
            <w:tcW w:w="660" w:type="dxa"/>
            <w:vAlign w:val="bottom"/>
            <w:tcBorders>
              <w:top w:val="single" w:sz="8" w:color="CCEEFF"/>
              <w:bottom w:val="single" w:sz="8" w:color="auto"/>
            </w:tcBorders>
            <w:shd w:val="clear" w:color="auto" w:fill="CCEEFF"/>
          </w:tcPr>
          <w:p>
            <w:pPr>
              <w:spacing w:after="0"/>
              <w:rPr>
                <w:sz w:val="13"/>
                <w:szCs w:val="13"/>
                <w:color w:val="auto"/>
              </w:rPr>
            </w:pPr>
          </w:p>
        </w:tc>
        <w:tc>
          <w:tcPr>
            <w:tcW w:w="400" w:type="dxa"/>
            <w:vAlign w:val="bottom"/>
            <w:tcBorders>
              <w:top w:val="single" w:sz="8" w:color="CCEEFF"/>
              <w:bottom w:val="single" w:sz="8" w:color="auto"/>
            </w:tcBorders>
            <w:shd w:val="clear" w:color="auto" w:fill="CCEEFF"/>
          </w:tcPr>
          <w:p>
            <w:pPr>
              <w:spacing w:after="0"/>
              <w:rPr>
                <w:sz w:val="13"/>
                <w:szCs w:val="13"/>
                <w:color w:val="auto"/>
              </w:rPr>
            </w:pPr>
          </w:p>
        </w:tc>
        <w:tc>
          <w:tcPr>
            <w:tcW w:w="660" w:type="dxa"/>
            <w:vAlign w:val="bottom"/>
            <w:tcBorders>
              <w:top w:val="single" w:sz="8" w:color="CCEEFF"/>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200" w:type="dxa"/>
            <w:vAlign w:val="bottom"/>
            <w:tcBorders>
              <w:top w:val="single" w:sz="8" w:color="0000EE"/>
              <w:bottom w:val="single" w:sz="8" w:color="auto"/>
              <w:right w:val="single" w:sz="8" w:color="CCEEFF"/>
            </w:tcBorders>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308"/>
        </w:trPr>
        <w:tc>
          <w:tcPr>
            <w:tcW w:w="120" w:type="dxa"/>
            <w:vAlign w:val="bottom"/>
          </w:tcPr>
          <w:p>
            <w:pPr>
              <w:spacing w:after="0"/>
              <w:rPr>
                <w:sz w:val="24"/>
                <w:szCs w:val="24"/>
                <w:color w:val="auto"/>
              </w:rPr>
            </w:pPr>
          </w:p>
        </w:tc>
        <w:tc>
          <w:tcPr>
            <w:tcW w:w="5300" w:type="dxa"/>
            <w:vAlign w:val="bottom"/>
            <w:gridSpan w:val="13"/>
          </w:tcPr>
          <w:p>
            <w:pPr>
              <w:ind w:left="1160"/>
              <w:spacing w:after="0"/>
              <w:rPr>
                <w:sz w:val="20"/>
                <w:szCs w:val="20"/>
                <w:color w:val="auto"/>
              </w:rPr>
            </w:pPr>
            <w:r>
              <w:rPr>
                <w:rFonts w:ascii="Arial" w:cs="Arial" w:eastAsia="Arial" w:hAnsi="Arial"/>
                <w:sz w:val="13"/>
                <w:szCs w:val="13"/>
                <w:b w:val="1"/>
                <w:bCs w:val="1"/>
                <w:color w:val="auto"/>
              </w:rPr>
              <w:t>Nine Months Ended September 30, 2021 and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
        </w:trPr>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270"/>
        </w:trPr>
        <w:tc>
          <w:tcPr>
            <w:tcW w:w="5420" w:type="dxa"/>
            <w:vAlign w:val="bottom"/>
            <w:gridSpan w:val="14"/>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gridSpan w:val="4"/>
          </w:tcPr>
          <w:p>
            <w:pPr>
              <w:jc w:val="right"/>
              <w:spacing w:after="0"/>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PAGE</w:t>
            </w:r>
            <w:r>
              <w:rPr>
                <w:rFonts w:ascii="Arial" w:cs="Arial" w:eastAsia="Arial" w:hAnsi="Arial"/>
                <w:sz w:val="20"/>
                <w:szCs w:val="20"/>
                <w:b w:val="1"/>
                <w:bCs w:val="1"/>
                <w:color w:val="auto"/>
                <w:vertAlign w:val="subscript"/>
              </w:rPr>
              <w:t>​</w:t>
            </w:r>
          </w:p>
        </w:tc>
      </w:tr>
      <w:tr>
        <w:trPr>
          <w:trHeight w:val="20"/>
        </w:trPr>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5420" w:type="dxa"/>
            <w:vAlign w:val="bottom"/>
            <w:gridSpan w:val="14"/>
            <w:shd w:val="clear" w:color="auto" w:fill="CCEEFF"/>
          </w:tcPr>
          <w:p>
            <w:pPr>
              <w:spacing w:after="0"/>
              <w:rPr>
                <w:sz w:val="20"/>
                <w:szCs w:val="20"/>
                <w:color w:val="auto"/>
              </w:rPr>
            </w:pPr>
            <w:r>
              <w:rPr>
                <w:rFonts w:ascii="Arial" w:cs="Arial" w:eastAsia="Arial" w:hAnsi="Arial"/>
                <w:sz w:val="12"/>
                <w:szCs w:val="12"/>
                <w:b w:val="1"/>
                <w:bCs w:val="1"/>
                <w:color w:val="auto"/>
              </w:rPr>
              <w:t>Condensed Consolidated Financial Statements</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 ​​</w:t>
            </w:r>
          </w:p>
        </w:tc>
        <w:tc>
          <w:tcPr>
            <w:tcW w:w="20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54"/>
        </w:trPr>
        <w:tc>
          <w:tcPr>
            <w:tcW w:w="2280" w:type="dxa"/>
            <w:vAlign w:val="bottom"/>
            <w:tcBorders>
              <w:bottom w:val="single" w:sz="8" w:color="0000EE"/>
            </w:tcBorders>
            <w:gridSpan w:val="4"/>
          </w:tcPr>
          <w:p>
            <w:pPr>
              <w:spacing w:after="0" w:line="125" w:lineRule="exact"/>
              <w:rPr>
                <w:sz w:val="20"/>
                <w:szCs w:val="20"/>
                <w:color w:val="auto"/>
              </w:rPr>
            </w:pPr>
            <w:r>
              <w:rPr>
                <w:rFonts w:ascii="Arial" w:cs="Arial" w:eastAsia="Arial" w:hAnsi="Arial"/>
                <w:sz w:val="12"/>
                <w:szCs w:val="12"/>
                <w:color w:val="0000EE"/>
              </w:rPr>
              <w:t>Condensed Consolidated Balance Sheets</w:t>
            </w:r>
          </w:p>
        </w:tc>
        <w:tc>
          <w:tcPr>
            <w:tcW w:w="56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spacing w:after="0"/>
              <w:rPr>
                <w:sz w:val="13"/>
                <w:szCs w:val="13"/>
                <w:color w:val="auto"/>
              </w:rPr>
            </w:pPr>
          </w:p>
        </w:tc>
        <w:tc>
          <w:tcPr>
            <w:tcW w:w="10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 ​​</w:t>
            </w:r>
          </w:p>
        </w:tc>
        <w:tc>
          <w:tcPr>
            <w:tcW w:w="200" w:type="dxa"/>
            <w:vAlign w:val="bottom"/>
            <w:tcBorders>
              <w:bottom w:val="single" w:sz="8" w:color="0000EE"/>
            </w:tcBorders>
          </w:tcPr>
          <w:p>
            <w:pPr>
              <w:jc w:val="center"/>
              <w:spacing w:after="0" w:line="125" w:lineRule="exact"/>
              <w:rPr>
                <w:sz w:val="20"/>
                <w:szCs w:val="20"/>
                <w:color w:val="auto"/>
              </w:rPr>
            </w:pPr>
            <w:r>
              <w:rPr>
                <w:rFonts w:ascii="Arial" w:cs="Arial" w:eastAsia="Arial" w:hAnsi="Arial"/>
                <w:sz w:val="12"/>
                <w:szCs w:val="12"/>
                <w:color w:val="0000EE"/>
                <w:w w:val="80"/>
              </w:rPr>
              <w:t>F-32</w:t>
            </w:r>
          </w:p>
        </w:tc>
        <w:tc>
          <w:tcPr>
            <w:tcW w:w="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73"/>
        </w:trPr>
        <w:tc>
          <w:tcPr>
            <w:tcW w:w="4220" w:type="dxa"/>
            <w:vAlign w:val="bottom"/>
            <w:tcBorders>
              <w:bottom w:val="single" w:sz="8" w:color="0000EE"/>
            </w:tcBorders>
            <w:gridSpan w:val="11"/>
            <w:shd w:val="clear" w:color="auto" w:fill="CCEEFF"/>
          </w:tcPr>
          <w:p>
            <w:pPr>
              <w:spacing w:after="0" w:line="134" w:lineRule="exact"/>
              <w:rPr>
                <w:sz w:val="20"/>
                <w:szCs w:val="20"/>
                <w:color w:val="auto"/>
              </w:rPr>
            </w:pPr>
            <w:r>
              <w:rPr>
                <w:rFonts w:ascii="Arial" w:cs="Arial" w:eastAsia="Arial" w:hAnsi="Arial"/>
                <w:sz w:val="12"/>
                <w:szCs w:val="12"/>
                <w:color w:val="0000EE"/>
              </w:rPr>
              <w:t>Condensed Consolidated Statements of Operations and Comprehensive Loss</w:t>
            </w:r>
          </w:p>
        </w:tc>
        <w:tc>
          <w:tcPr>
            <w:tcW w:w="106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200" w:type="dxa"/>
            <w:vAlign w:val="bottom"/>
            <w:tcBorders>
              <w:bottom w:val="single" w:sz="8" w:color="0000EE"/>
              <w:right w:val="single" w:sz="8" w:color="CCEEFF"/>
            </w:tcBorders>
            <w:shd w:val="clear" w:color="auto" w:fill="CCEEFF"/>
          </w:tcPr>
          <w:p>
            <w:pPr>
              <w:jc w:val="center"/>
              <w:spacing w:after="0" w:line="134" w:lineRule="exact"/>
              <w:rPr>
                <w:sz w:val="20"/>
                <w:szCs w:val="20"/>
                <w:color w:val="auto"/>
              </w:rPr>
            </w:pPr>
            <w:r>
              <w:rPr>
                <w:rFonts w:ascii="Arial" w:cs="Arial" w:eastAsia="Arial" w:hAnsi="Arial"/>
                <w:sz w:val="12"/>
                <w:szCs w:val="12"/>
                <w:color w:val="0000EE"/>
                <w:w w:val="80"/>
              </w:rPr>
              <w:t>F-33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5280" w:type="dxa"/>
            <w:vAlign w:val="bottom"/>
            <w:tcBorders>
              <w:bottom w:val="single" w:sz="8" w:color="0000EE"/>
            </w:tcBorders>
            <w:gridSpan w:val="13"/>
          </w:tcPr>
          <w:p>
            <w:pPr>
              <w:spacing w:after="0" w:line="136" w:lineRule="exact"/>
              <w:rPr>
                <w:sz w:val="20"/>
                <w:szCs w:val="20"/>
                <w:color w:val="auto"/>
              </w:rPr>
            </w:pPr>
            <w:r>
              <w:rPr>
                <w:rFonts w:ascii="Arial" w:cs="Arial" w:eastAsia="Arial" w:hAnsi="Arial"/>
                <w:sz w:val="12"/>
                <w:szCs w:val="12"/>
                <w:color w:val="0000EE"/>
              </w:rPr>
              <w:t>Condensed Consolidated Statements of Redeemable Convertible Preferred Shares, Redeemable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20" w:type="dxa"/>
            <w:vAlign w:val="bottom"/>
          </w:tcPr>
          <w:p>
            <w:pPr>
              <w:spacing w:after="0"/>
              <w:rPr>
                <w:sz w:val="11"/>
                <w:szCs w:val="11"/>
                <w:color w:val="auto"/>
              </w:rPr>
            </w:pPr>
          </w:p>
        </w:tc>
        <w:tc>
          <w:tcPr>
            <w:tcW w:w="2640" w:type="dxa"/>
            <w:vAlign w:val="bottom"/>
            <w:gridSpan w:val="5"/>
          </w:tcPr>
          <w:p>
            <w:pPr>
              <w:spacing w:after="0" w:line="135" w:lineRule="exact"/>
              <w:rPr>
                <w:sz w:val="20"/>
                <w:szCs w:val="20"/>
                <w:color w:val="auto"/>
              </w:rPr>
            </w:pPr>
            <w:r>
              <w:rPr>
                <w:rFonts w:ascii="Arial" w:cs="Arial" w:eastAsia="Arial" w:hAnsi="Arial"/>
                <w:sz w:val="12"/>
                <w:szCs w:val="12"/>
                <w:color w:val="0000EE"/>
              </w:rPr>
              <w:t>Noncontrolling Interest and Shareholders’ Deficit</w:t>
            </w:r>
          </w:p>
        </w:tc>
        <w:tc>
          <w:tcPr>
            <w:tcW w:w="2660" w:type="dxa"/>
            <w:vAlign w:val="bottom"/>
            <w:gridSpan w:val="8"/>
          </w:tcPr>
          <w:p>
            <w:pPr>
              <w:spacing w:after="0"/>
              <w:rPr>
                <w:sz w:val="11"/>
                <w:szCs w:val="11"/>
                <w:color w:val="auto"/>
              </w:rPr>
            </w:pPr>
          </w:p>
        </w:tc>
        <w:tc>
          <w:tcPr>
            <w:tcW w:w="500" w:type="dxa"/>
            <w:vAlign w:val="bottom"/>
            <w:gridSpan w:val="4"/>
          </w:tcPr>
          <w:p>
            <w:pPr>
              <w:jc w:val="right"/>
              <w:spacing w:after="0" w:line="135" w:lineRule="exact"/>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0000EE"/>
              </w:rPr>
              <w:t>F-34</w:t>
            </w:r>
            <w:r>
              <w:rPr>
                <w:rFonts w:ascii="Arial" w:cs="Arial" w:eastAsia="Arial" w:hAnsi="Arial"/>
                <w:sz w:val="12"/>
                <w:szCs w:val="12"/>
                <w:color w:val="auto"/>
              </w:rPr>
              <w:t>​</w:t>
            </w:r>
          </w:p>
        </w:tc>
      </w:tr>
      <w:tr>
        <w:trPr>
          <w:trHeight w:val="29"/>
        </w:trPr>
        <w:tc>
          <w:tcPr>
            <w:tcW w:w="120" w:type="dxa"/>
            <w:vAlign w:val="bottom"/>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r>
      <w:tr>
        <w:trPr>
          <w:trHeight w:val="164"/>
        </w:trPr>
        <w:tc>
          <w:tcPr>
            <w:tcW w:w="2840" w:type="dxa"/>
            <w:vAlign w:val="bottom"/>
            <w:tcBorders>
              <w:bottom w:val="single" w:sz="8" w:color="0000EE"/>
            </w:tcBorders>
            <w:gridSpan w:val="7"/>
            <w:shd w:val="clear" w:color="auto" w:fill="CCEEFF"/>
          </w:tcPr>
          <w:p>
            <w:pPr>
              <w:spacing w:after="0" w:line="125" w:lineRule="exact"/>
              <w:rPr>
                <w:sz w:val="20"/>
                <w:szCs w:val="20"/>
                <w:color w:val="auto"/>
              </w:rPr>
            </w:pPr>
            <w:r>
              <w:rPr>
                <w:rFonts w:ascii="Arial" w:cs="Arial" w:eastAsia="Arial" w:hAnsi="Arial"/>
                <w:sz w:val="12"/>
                <w:szCs w:val="12"/>
                <w:color w:val="0000EE"/>
              </w:rPr>
              <w:t>Condensed Consolidated Statements of Cash Flows</w:t>
            </w:r>
          </w:p>
        </w:tc>
        <w:tc>
          <w:tcPr>
            <w:tcW w:w="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gridSpan w:val="6"/>
            <w:shd w:val="clear" w:color="auto" w:fill="CCEEFF"/>
          </w:tcPr>
          <w:p>
            <w:pPr>
              <w:spacing w:after="0"/>
              <w:rPr>
                <w:sz w:val="14"/>
                <w:szCs w:val="14"/>
                <w:color w:val="auto"/>
              </w:rPr>
            </w:pPr>
          </w:p>
        </w:tc>
        <w:tc>
          <w:tcPr>
            <w:tcW w:w="260" w:type="dxa"/>
            <w:vAlign w:val="bottom"/>
            <w:tcBorders>
              <w:bottom w:val="single" w:sz="8" w:color="CCEEFF"/>
              <w:right w:val="single" w:sz="8" w:color="CCEEFF"/>
            </w:tcBorders>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 ​​</w:t>
            </w:r>
          </w:p>
        </w:tc>
        <w:tc>
          <w:tcPr>
            <w:tcW w:w="200" w:type="dxa"/>
            <w:vAlign w:val="bottom"/>
            <w:tcBorders>
              <w:bottom w:val="single" w:sz="8" w:color="0000EE"/>
              <w:right w:val="single" w:sz="8" w:color="CCEEFF"/>
            </w:tcBorders>
            <w:shd w:val="clear" w:color="auto" w:fill="CCEEFF"/>
          </w:tcPr>
          <w:p>
            <w:pPr>
              <w:jc w:val="center"/>
              <w:spacing w:after="0" w:line="125" w:lineRule="exact"/>
              <w:rPr>
                <w:sz w:val="20"/>
                <w:szCs w:val="20"/>
                <w:color w:val="auto"/>
              </w:rPr>
            </w:pPr>
            <w:r>
              <w:rPr>
                <w:rFonts w:ascii="Arial" w:cs="Arial" w:eastAsia="Arial" w:hAnsi="Arial"/>
                <w:sz w:val="12"/>
                <w:szCs w:val="12"/>
                <w:color w:val="0000EE"/>
                <w:w w:val="80"/>
              </w:rPr>
              <w:t>F-35</w:t>
            </w:r>
          </w:p>
        </w:tc>
        <w:tc>
          <w:tcPr>
            <w:tcW w:w="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45"/>
        </w:trPr>
        <w:tc>
          <w:tcPr>
            <w:tcW w:w="5420" w:type="dxa"/>
            <w:vAlign w:val="bottom"/>
            <w:gridSpan w:val="14"/>
          </w:tcPr>
          <w:p>
            <w:pPr>
              <w:spacing w:after="0"/>
              <w:rPr>
                <w:sz w:val="20"/>
                <w:szCs w:val="20"/>
                <w:color w:val="auto"/>
              </w:rPr>
            </w:pPr>
            <w:r>
              <w:rPr>
                <w:rFonts w:ascii="Arial" w:cs="Arial" w:eastAsia="Arial" w:hAnsi="Arial"/>
                <w:sz w:val="12"/>
                <w:szCs w:val="12"/>
                <w:color w:val="0000EE"/>
              </w:rPr>
              <w:t>Notes to Condensed Consolidated Financial Statements</w:t>
            </w:r>
          </w:p>
        </w:tc>
        <w:tc>
          <w:tcPr>
            <w:tcW w:w="160" w:type="dxa"/>
            <w:vAlign w:val="bottom"/>
          </w:tcPr>
          <w:p>
            <w:pPr>
              <w:spacing w:after="0"/>
              <w:rPr>
                <w:sz w:val="12"/>
                <w:szCs w:val="12"/>
                <w:color w:val="auto"/>
              </w:rPr>
            </w:pPr>
          </w:p>
        </w:tc>
        <w:tc>
          <w:tcPr>
            <w:tcW w:w="340" w:type="dxa"/>
            <w:vAlign w:val="bottom"/>
            <w:gridSpan w:val="3"/>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color w:val="0000EE"/>
              </w:rPr>
              <w:t>F-36</w:t>
            </w:r>
          </w:p>
        </w:tc>
      </w:tr>
      <w:tr>
        <w:trPr>
          <w:trHeight w:val="154"/>
        </w:trPr>
        <w:tc>
          <w:tcPr>
            <w:tcW w:w="120" w:type="dxa"/>
            <w:vAlign w:val="bottom"/>
            <w:tcBorders>
              <w:top w:val="single" w:sz="8" w:color="0000EE"/>
              <w:bottom w:val="single" w:sz="8" w:color="auto"/>
            </w:tcBorders>
          </w:tcPr>
          <w:p>
            <w:pPr>
              <w:spacing w:after="0"/>
              <w:rPr>
                <w:sz w:val="13"/>
                <w:szCs w:val="13"/>
                <w:color w:val="auto"/>
              </w:rPr>
            </w:pPr>
          </w:p>
        </w:tc>
        <w:tc>
          <w:tcPr>
            <w:tcW w:w="1500" w:type="dxa"/>
            <w:vAlign w:val="bottom"/>
            <w:tcBorders>
              <w:top w:val="single" w:sz="8" w:color="0000EE"/>
              <w:bottom w:val="single" w:sz="8" w:color="auto"/>
            </w:tcBorders>
          </w:tcPr>
          <w:p>
            <w:pPr>
              <w:spacing w:after="0"/>
              <w:rPr>
                <w:sz w:val="13"/>
                <w:szCs w:val="13"/>
                <w:color w:val="auto"/>
              </w:rPr>
            </w:pPr>
          </w:p>
        </w:tc>
        <w:tc>
          <w:tcPr>
            <w:tcW w:w="5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8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 ​​</w:t>
            </w:r>
          </w:p>
        </w:tc>
        <w:tc>
          <w:tcPr>
            <w:tcW w:w="200" w:type="dxa"/>
            <w:vAlign w:val="bottom"/>
            <w:tcBorders>
              <w:top w:val="single" w:sz="8" w:color="0000EE"/>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-2326640</wp:posOffset>
            </wp:positionV>
            <wp:extent cx="98425"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-877570</wp:posOffset>
            </wp:positionV>
            <wp:extent cx="98425"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84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0" w:name="page251"/>
    <w:bookmarkEnd w:id="250"/>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To the Board of Directors and Shareholders of Structure Therapeutics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Opinion on the Financial Statements</w:t>
      </w:r>
    </w:p>
    <w:p>
      <w:pPr>
        <w:spacing w:after="0" w:line="44"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We have audited the accompanying consolidated balance sheets of Structure Therapeutics Inc. (formerly known as ShouTi Inc.) and its subsidiaries (the “Company”) as of December 31, 2021 and 2020, and the related consolidated statements of operations and comprehensive loss, of redeemable convertible preferred shares, redeemable noncontrolling interest and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27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44"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7"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/s/ PricewaterhouseCoopers LLP</w:t>
      </w:r>
    </w:p>
    <w:p>
      <w:pPr>
        <w:spacing w:after="0" w:line="11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San Jose, California</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May 12, 2022</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1" w:name="page252"/>
    <w:bookmarkEnd w:id="251"/>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CONSOLIDATED BALANCE SHEETS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3806825"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06825" cy="6350"/>
                    </a:xfrm>
                    <a:prstGeom prst="rect">
                      <a:avLst/>
                    </a:prstGeom>
                    <a:noFill/>
                  </pic:spPr>
                </pic:pic>
              </a:graphicData>
            </a:graphic>
          </wp:anchor>
        </w:drawing>
      </w:r>
    </w:p>
    <w:p>
      <w:pPr>
        <w:spacing w:after="0" w:line="395" w:lineRule="exact"/>
        <w:rPr>
          <w:sz w:val="20"/>
          <w:szCs w:val="20"/>
          <w:color w:val="auto"/>
        </w:rPr>
      </w:pPr>
    </w:p>
    <w:tbl>
      <w:tblPr>
        <w:tblLayout w:type="fixed"/>
        <w:tblInd w:w="1560" w:type="dxa"/>
        <w:tblCellMar>
          <w:top w:w="0" w:type="dxa"/>
          <w:left w:w="0" w:type="dxa"/>
          <w:bottom w:w="0" w:type="dxa"/>
          <w:right w:w="0" w:type="dxa"/>
        </w:tblCellMar>
      </w:tblPr>
      <w:tr>
        <w:trPr>
          <w:trHeight w:val="132"/>
        </w:trPr>
        <w:tc>
          <w:tcPr>
            <w:tcW w:w="4960" w:type="dxa"/>
            <w:vAlign w:val="bottom"/>
          </w:tcPr>
          <w:p>
            <w:pPr>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ind w:right="6"/>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49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0"/>
                <w:szCs w:val="10"/>
                <w:b w:val="1"/>
                <w:bCs w:val="1"/>
                <w:color w:val="auto"/>
              </w:rPr>
              <w:t>2020  ​</w:t>
            </w: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jc w:val="right"/>
              <w:ind w:right="6"/>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5"/>
        </w:trPr>
        <w:tc>
          <w:tcPr>
            <w:tcW w:w="496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Assets</w:t>
            </w:r>
          </w:p>
        </w:tc>
        <w:tc>
          <w:tcPr>
            <w:tcW w:w="100" w:type="dxa"/>
            <w:vAlign w:val="bottom"/>
            <w:gridSpan w:val="2"/>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00" w:type="dxa"/>
            <w:vAlign w:val="bottom"/>
          </w:tcPr>
          <w:p>
            <w:pPr>
              <w:spacing w:after="0"/>
              <w:rPr>
                <w:sz w:val="12"/>
                <w:szCs w:val="12"/>
                <w:color w:val="auto"/>
              </w:rPr>
            </w:pPr>
          </w:p>
        </w:tc>
        <w:tc>
          <w:tcPr>
            <w:tcW w:w="80" w:type="dxa"/>
            <w:vAlign w:val="bottom"/>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16,352</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44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6"/>
              </w:rPr>
              <w:t>105,305​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Short-term investments</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3"/>
          </w:tcPr>
          <w:p>
            <w:pPr>
              <w:jc w:val="right"/>
              <w:ind w:right="51"/>
              <w:spacing w:after="0"/>
              <w:rPr>
                <w:sz w:val="20"/>
                <w:szCs w:val="20"/>
                <w:color w:val="auto"/>
              </w:rPr>
            </w:pPr>
            <w:r>
              <w:rPr>
                <w:rFonts w:ascii="Arial" w:cs="Arial" w:eastAsia="Arial" w:hAnsi="Arial"/>
                <w:sz w:val="12"/>
                <w:szCs w:val="12"/>
                <w:color w:val="auto"/>
              </w:rPr>
              <w:t>​21,093</w:t>
            </w:r>
            <w:r>
              <w:rPr>
                <w:rFonts w:ascii="Arial" w:cs="Arial" w:eastAsia="Arial" w:hAnsi="Arial"/>
                <w:sz w:val="12"/>
                <w:szCs w:val="12"/>
                <w:b w:val="1"/>
                <w:bCs w:val="1"/>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2,002​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974</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960" w:type="dxa"/>
            <w:vAlign w:val="bottom"/>
            <w:tcBorders>
              <w:top w:val="single" w:sz="8" w:color="CCEEFF"/>
            </w:tcBorders>
          </w:tcPr>
          <w:p>
            <w:pPr>
              <w:ind w:left="240"/>
              <w:spacing w:after="0" w:line="125" w:lineRule="exact"/>
              <w:rPr>
                <w:sz w:val="20"/>
                <w:szCs w:val="20"/>
                <w:color w:val="auto"/>
              </w:rPr>
            </w:pPr>
            <w:r>
              <w:rPr>
                <w:rFonts w:ascii="Arial" w:cs="Arial" w:eastAsia="Arial" w:hAnsi="Arial"/>
                <w:sz w:val="12"/>
                <w:szCs w:val="12"/>
                <w:color w:val="auto"/>
              </w:rPr>
              <w:t>Total current assets</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b w:val="1"/>
                <w:bCs w:val="1"/>
                <w:color w:val="auto"/>
              </w:rPr>
              <w:t>​</w:t>
            </w:r>
          </w:p>
        </w:tc>
        <w:tc>
          <w:tcPr>
            <w:tcW w:w="42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2"/>
                <w:szCs w:val="12"/>
                <w:color w:val="auto"/>
              </w:rPr>
              <w:t>​38,419</w:t>
            </w:r>
          </w:p>
        </w:tc>
        <w:tc>
          <w:tcPr>
            <w:tcW w:w="80" w:type="dxa"/>
            <w:vAlign w:val="bottom"/>
            <w:tcBorders>
              <w:top w:val="single" w:sz="8" w:color="auto"/>
            </w:tcBorders>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2"/>
                <w:szCs w:val="12"/>
                <w:color w:val="auto"/>
                <w:w w:val="96"/>
              </w:rPr>
              <w:t>​109,250​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Property and equipment, net</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19</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Operating right-of-use assets</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tcPr>
          <w:p>
            <w:pPr>
              <w:jc w:val="right"/>
              <w:ind w:right="51"/>
              <w:spacing w:after="0"/>
              <w:rPr>
                <w:sz w:val="20"/>
                <w:szCs w:val="20"/>
                <w:color w:val="auto"/>
              </w:rPr>
            </w:pPr>
            <w:r>
              <w:rPr>
                <w:rFonts w:ascii="Arial" w:cs="Arial" w:eastAsia="Arial" w:hAnsi="Arial"/>
                <w:sz w:val="12"/>
                <w:szCs w:val="12"/>
                <w:color w:val="auto"/>
              </w:rPr>
              <w:t>258</w:t>
            </w:r>
            <w:r>
              <w:rPr>
                <w:rFonts w:ascii="Arial" w:cs="Arial" w:eastAsia="Arial" w:hAnsi="Arial"/>
                <w:sz w:val="12"/>
                <w:szCs w:val="12"/>
                <w:b w:val="1"/>
                <w:bCs w:val="1"/>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609​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8</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60" w:type="dxa"/>
            <w:vAlign w:val="bottom"/>
            <w:tcBorders>
              <w:top w:val="single" w:sz="8" w:color="CCEEFF"/>
              <w:bottom w:val="single" w:sz="8" w:color="CCEEFF"/>
            </w:tcBorders>
          </w:tcPr>
          <w:p>
            <w:pPr>
              <w:ind w:left="240"/>
              <w:spacing w:after="0" w:line="135" w:lineRule="exact"/>
              <w:rPr>
                <w:sz w:val="20"/>
                <w:szCs w:val="20"/>
                <w:color w:val="auto"/>
              </w:rPr>
            </w:pPr>
            <w:r>
              <w:rPr>
                <w:rFonts w:ascii="Arial" w:cs="Arial" w:eastAsia="Arial" w:hAnsi="Arial"/>
                <w:sz w:val="12"/>
                <w:szCs w:val="12"/>
                <w:color w:val="auto"/>
              </w:rPr>
              <w:t>Total assets</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line="135"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color w:val="auto"/>
                <w:vertAlign w:val="superscript"/>
              </w:rPr>
              <w:t>$</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7"/>
              </w:rPr>
              <w:t>38,704</w:t>
            </w:r>
          </w:p>
        </w:tc>
        <w:tc>
          <w:tcPr>
            <w:tcW w:w="80" w:type="dxa"/>
            <w:vAlign w:val="bottom"/>
            <w:tcBorders>
              <w:top w:val="single" w:sz="8" w:color="auto"/>
              <w:bottom w:val="single" w:sz="8" w:color="CCEEFF"/>
            </w:tcBorders>
          </w:tcPr>
          <w:p>
            <w:pPr>
              <w:jc w:val="right"/>
              <w:spacing w:after="0" w:line="135"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color w:val="auto"/>
                <w:vertAlign w:val="superscript"/>
              </w:rPr>
              <w:t>$</w:t>
            </w:r>
          </w:p>
        </w:tc>
        <w:tc>
          <w:tcPr>
            <w:tcW w:w="440" w:type="dxa"/>
            <w:vAlign w:val="bottom"/>
            <w:tcBorders>
              <w:top w:val="single" w:sz="8" w:color="auto"/>
              <w:bottom w:val="single" w:sz="8" w:color="auto"/>
            </w:tcBorders>
            <w:gridSpan w:val="3"/>
          </w:tcPr>
          <w:p>
            <w:pPr>
              <w:jc w:val="right"/>
              <w:spacing w:after="0" w:line="135" w:lineRule="exact"/>
              <w:rPr>
                <w:sz w:val="20"/>
                <w:szCs w:val="20"/>
                <w:color w:val="auto"/>
              </w:rPr>
            </w:pPr>
            <w:r>
              <w:rPr>
                <w:rFonts w:ascii="Arial" w:cs="Arial" w:eastAsia="Arial" w:hAnsi="Arial"/>
                <w:sz w:val="12"/>
                <w:szCs w:val="12"/>
                <w:color w:val="auto"/>
                <w:w w:val="96"/>
              </w:rPr>
              <w:t>111,155</w:t>
            </w: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98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Liabilities, redeemable convertible preferred shares and shareholders’ deficit​</w:t>
            </w:r>
          </w:p>
        </w:tc>
        <w:tc>
          <w:tcPr>
            <w:tcW w:w="20" w:type="dxa"/>
            <w:vAlign w:val="bottom"/>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00" w:type="dxa"/>
            <w:vAlign w:val="bottom"/>
          </w:tcPr>
          <w:p>
            <w:pPr>
              <w:spacing w:after="0"/>
              <w:rPr>
                <w:sz w:val="12"/>
                <w:szCs w:val="12"/>
                <w:color w:val="auto"/>
              </w:rPr>
            </w:pPr>
          </w:p>
        </w:tc>
        <w:tc>
          <w:tcPr>
            <w:tcW w:w="80" w:type="dxa"/>
            <w:vAlign w:val="bottom"/>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1,527</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tcPr>
          <w:p>
            <w:pPr>
              <w:jc w:val="right"/>
              <w:ind w:right="51"/>
              <w:spacing w:after="0"/>
              <w:rPr>
                <w:sz w:val="20"/>
                <w:szCs w:val="20"/>
                <w:color w:val="auto"/>
              </w:rPr>
            </w:pPr>
            <w:r>
              <w:rPr>
                <w:rFonts w:ascii="Arial" w:cs="Arial" w:eastAsia="Arial" w:hAnsi="Arial"/>
                <w:sz w:val="12"/>
                <w:szCs w:val="12"/>
                <w:color w:val="auto"/>
              </w:rPr>
              <w:t>1,365</w:t>
            </w:r>
            <w:r>
              <w:rPr>
                <w:rFonts w:ascii="Arial" w:cs="Arial" w:eastAsia="Arial" w:hAnsi="Arial"/>
                <w:sz w:val="12"/>
                <w:szCs w:val="12"/>
                <w:b w:val="1"/>
                <w:bCs w:val="1"/>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4,825​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 current portion</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147</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960" w:type="dxa"/>
            <w:vAlign w:val="bottom"/>
            <w:tcBorders>
              <w:top w:val="single" w:sz="8" w:color="CCEEFF"/>
            </w:tcBorders>
          </w:tcPr>
          <w:p>
            <w:pPr>
              <w:ind w:left="240"/>
              <w:spacing w:after="0" w:line="125" w:lineRule="exact"/>
              <w:rPr>
                <w:sz w:val="20"/>
                <w:szCs w:val="20"/>
                <w:color w:val="auto"/>
              </w:rPr>
            </w:pPr>
            <w:r>
              <w:rPr>
                <w:rFonts w:ascii="Arial" w:cs="Arial" w:eastAsia="Arial" w:hAnsi="Arial"/>
                <w:sz w:val="12"/>
                <w:szCs w:val="12"/>
                <w:color w:val="auto"/>
              </w:rPr>
              <w:t>Total current liabilities</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b w:val="1"/>
                <w:bCs w:val="1"/>
                <w:color w:val="auto"/>
              </w:rPr>
              <w:t>​</w:t>
            </w:r>
          </w:p>
        </w:tc>
        <w:tc>
          <w:tcPr>
            <w:tcW w:w="2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294942296"/>
              </w:rPr>
              <w:t>​</w:t>
            </w:r>
          </w:p>
        </w:tc>
        <w:tc>
          <w:tcPr>
            <w:tcW w:w="4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3,039</w:t>
            </w:r>
          </w:p>
        </w:tc>
        <w:tc>
          <w:tcPr>
            <w:tcW w:w="80" w:type="dxa"/>
            <w:vAlign w:val="bottom"/>
            <w:tcBorders>
              <w:top w:val="single" w:sz="8" w:color="auto"/>
            </w:tcBorders>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2"/>
                <w:szCs w:val="12"/>
                <w:color w:val="auto"/>
              </w:rPr>
              <w:t>8,658​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 net of current portion</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133</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960" w:type="dxa"/>
            <w:vAlign w:val="bottom"/>
            <w:tcBorders>
              <w:top w:val="single" w:sz="8" w:color="CCEEFF"/>
            </w:tcBorders>
          </w:tcPr>
          <w:p>
            <w:pPr>
              <w:ind w:left="380"/>
              <w:spacing w:after="0" w:line="125" w:lineRule="exact"/>
              <w:rPr>
                <w:sz w:val="20"/>
                <w:szCs w:val="20"/>
                <w:color w:val="auto"/>
              </w:rPr>
            </w:pPr>
            <w:r>
              <w:rPr>
                <w:rFonts w:ascii="Arial" w:cs="Arial" w:eastAsia="Arial" w:hAnsi="Arial"/>
                <w:sz w:val="12"/>
                <w:szCs w:val="12"/>
                <w:color w:val="auto"/>
              </w:rPr>
              <w:t>Total liabilities</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b w:val="1"/>
                <w:bCs w:val="1"/>
                <w:color w:val="auto"/>
              </w:rPr>
              <w:t>​</w:t>
            </w:r>
          </w:p>
        </w:tc>
        <w:tc>
          <w:tcPr>
            <w:tcW w:w="2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294942296"/>
              </w:rPr>
              <w:t>​</w:t>
            </w:r>
          </w:p>
        </w:tc>
        <w:tc>
          <w:tcPr>
            <w:tcW w:w="4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3,172</w:t>
            </w:r>
          </w:p>
        </w:tc>
        <w:tc>
          <w:tcPr>
            <w:tcW w:w="80" w:type="dxa"/>
            <w:vAlign w:val="bottom"/>
            <w:tcBorders>
              <w:top w:val="single" w:sz="8" w:color="auto"/>
            </w:tcBorders>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2"/>
                <w:szCs w:val="12"/>
                <w:color w:val="auto"/>
              </w:rPr>
              <w:t>8,930​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6)</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2"/>
                <w:szCs w:val="12"/>
                <w:color w:val="auto"/>
              </w:rPr>
              <w:t>Series A redeemable convertible preferred shares – $0.0001 par value, 19,200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authorized, issued and outstanding as of December 31, 2020 and 2021 (liquidation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120"/>
              <w:spacing w:after="0"/>
              <w:rPr>
                <w:sz w:val="20"/>
                <w:szCs w:val="20"/>
                <w:color w:val="auto"/>
              </w:rPr>
            </w:pPr>
            <w:r>
              <w:rPr>
                <w:rFonts w:ascii="Arial" w:cs="Arial" w:eastAsia="Arial" w:hAnsi="Arial"/>
                <w:sz w:val="12"/>
                <w:szCs w:val="12"/>
                <w:color w:val="auto"/>
              </w:rPr>
              <w:t>preference of  $32,001 as of December 31, 2020 and 2021)</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3"/>
          </w:tcPr>
          <w:p>
            <w:pPr>
              <w:jc w:val="right"/>
              <w:ind w:right="51"/>
              <w:spacing w:after="0"/>
              <w:rPr>
                <w:sz w:val="20"/>
                <w:szCs w:val="20"/>
                <w:color w:val="auto"/>
              </w:rPr>
            </w:pPr>
            <w:r>
              <w:rPr>
                <w:rFonts w:ascii="Arial" w:cs="Arial" w:eastAsia="Arial" w:hAnsi="Arial"/>
                <w:sz w:val="12"/>
                <w:szCs w:val="12"/>
                <w:color w:val="auto"/>
              </w:rPr>
              <w:t>​32,001</w:t>
            </w:r>
            <w:r>
              <w:rPr>
                <w:rFonts w:ascii="Arial" w:cs="Arial" w:eastAsia="Arial" w:hAnsi="Arial"/>
                <w:sz w:val="12"/>
                <w:szCs w:val="12"/>
                <w:b w:val="1"/>
                <w:bCs w:val="1"/>
                <w:color w:val="auto"/>
              </w:rPr>
              <w:t>​</w:t>
            </w:r>
          </w:p>
        </w:tc>
        <w:tc>
          <w:tcPr>
            <w:tcW w:w="480" w:type="dxa"/>
            <w:vAlign w:val="bottom"/>
            <w:gridSpan w:val="5"/>
          </w:tcPr>
          <w:p>
            <w:pPr>
              <w:spacing w:after="0"/>
              <w:rPr>
                <w:sz w:val="20"/>
                <w:szCs w:val="20"/>
                <w:color w:val="auto"/>
              </w:rPr>
            </w:pPr>
            <w:r>
              <w:rPr>
                <w:rFonts w:ascii="Arial" w:cs="Arial" w:eastAsia="Arial" w:hAnsi="Arial"/>
                <w:sz w:val="12"/>
                <w:szCs w:val="12"/>
                <w:color w:val="auto"/>
              </w:rPr>
              <w:t>​ 32,001​</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Series A+ redeemable convertible preferred shares – $0.0001 par value, 12,800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authorized, issued and outstanding as of December 31, 2020 and 2021 (liquidation</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preference of  $26,000 as of December 31, 2020 and 2021)</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3"/>
            <w:shd w:val="clear" w:color="auto" w:fill="CCEEFF"/>
          </w:tcPr>
          <w:p>
            <w:pPr>
              <w:jc w:val="right"/>
              <w:ind w:right="51"/>
              <w:spacing w:after="0"/>
              <w:rPr>
                <w:sz w:val="20"/>
                <w:szCs w:val="20"/>
                <w:color w:val="auto"/>
              </w:rPr>
            </w:pPr>
            <w:r>
              <w:rPr>
                <w:rFonts w:ascii="Arial" w:cs="Arial" w:eastAsia="Arial" w:hAnsi="Arial"/>
                <w:sz w:val="12"/>
                <w:szCs w:val="12"/>
                <w:color w:val="auto"/>
              </w:rPr>
              <w:t>​26,000</w:t>
            </w:r>
            <w:r>
              <w:rPr>
                <w:rFonts w:ascii="Arial" w:cs="Arial" w:eastAsia="Arial" w:hAnsi="Arial"/>
                <w:sz w:val="12"/>
                <w:szCs w:val="12"/>
                <w:b w:val="1"/>
                <w:bCs w:val="1"/>
                <w:color w:val="auto"/>
              </w:rPr>
              <w:t>​</w:t>
            </w:r>
          </w:p>
        </w:tc>
        <w:tc>
          <w:tcPr>
            <w:tcW w:w="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 26,000​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2"/>
                <w:szCs w:val="12"/>
                <w:color w:val="auto"/>
              </w:rPr>
              <w:t>Series B redeemable convertible preferred stock – $0.0001 par value, 0 and 24,702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authorized, issued and outstanding as of December 31, 2020 and 2021, respectively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(liquidation preference of  $0 and $100,000 as of December 31, 2020 and 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120"/>
              <w:spacing w:after="0"/>
              <w:rPr>
                <w:sz w:val="20"/>
                <w:szCs w:val="20"/>
                <w:color w:val="auto"/>
              </w:rPr>
            </w:pPr>
            <w:r>
              <w:rPr>
                <w:rFonts w:ascii="Arial" w:cs="Arial" w:eastAsia="Arial" w:hAnsi="Arial"/>
                <w:sz w:val="12"/>
                <w:szCs w:val="12"/>
                <w:color w:val="auto"/>
              </w:rPr>
              <w:t>respectively)</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tcPr>
          <w:p>
            <w:pPr>
              <w:jc w:val="right"/>
              <w:ind w:right="5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480" w:type="dxa"/>
            <w:vAlign w:val="bottom"/>
            <w:gridSpan w:val="5"/>
          </w:tcPr>
          <w:p>
            <w:pPr>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Series B-1 redeemable convertible preferred stock – $0.0001 par value, 0 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2,161 shares authorized, issued and outstanding as of December 31, 2020 and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2021, respectively (liquidation preference of  $0 and $7,000 as of December 31,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2020 and 2021, respectively)</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8,959​</w:t>
            </w:r>
          </w:p>
        </w:tc>
        <w:tc>
          <w:tcPr>
            <w:tcW w:w="20" w:type="dxa"/>
            <w:vAlign w:val="bottom"/>
          </w:tcPr>
          <w:p>
            <w:pPr>
              <w:spacing w:after="0"/>
              <w:rPr>
                <w:sz w:val="14"/>
                <w:szCs w:val="14"/>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20"/>
                <w:szCs w:val="20"/>
                <w:color w:val="auto"/>
              </w:rPr>
            </w:pPr>
            <w:r>
              <w:rPr>
                <w:rFonts w:ascii="Arial" w:cs="Arial" w:eastAsia="Arial" w:hAnsi="Arial"/>
                <w:sz w:val="12"/>
                <w:szCs w:val="12"/>
                <w:color w:val="auto"/>
              </w:rPr>
              <w:t>Shareholders’ deficit:</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00" w:type="dxa"/>
            <w:vAlign w:val="bottom"/>
          </w:tcPr>
          <w:p>
            <w:pPr>
              <w:spacing w:after="0"/>
              <w:rPr>
                <w:sz w:val="12"/>
                <w:szCs w:val="12"/>
                <w:color w:val="auto"/>
              </w:rPr>
            </w:pPr>
          </w:p>
        </w:tc>
        <w:tc>
          <w:tcPr>
            <w:tcW w:w="80" w:type="dxa"/>
            <w:vAlign w:val="bottom"/>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2"/>
                <w:szCs w:val="12"/>
                <w:color w:val="auto"/>
              </w:rPr>
              <w:t>Ordinary shares – $0.0001 par value; 468,000 and 441,137 shares authorized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240"/>
              <w:spacing w:after="0"/>
              <w:rPr>
                <w:sz w:val="20"/>
                <w:szCs w:val="20"/>
                <w:color w:val="auto"/>
              </w:rPr>
            </w:pPr>
            <w:r>
              <w:rPr>
                <w:rFonts w:ascii="Arial" w:cs="Arial" w:eastAsia="Arial" w:hAnsi="Arial"/>
                <w:sz w:val="12"/>
                <w:szCs w:val="12"/>
                <w:color w:val="auto"/>
              </w:rPr>
              <w:t>as of December 31, 2020 and 2021, respectively; 10,865 and 10,894 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240"/>
              <w:spacing w:after="0"/>
              <w:rPr>
                <w:sz w:val="20"/>
                <w:szCs w:val="20"/>
                <w:color w:val="auto"/>
              </w:rPr>
            </w:pPr>
            <w:r>
              <w:rPr>
                <w:rFonts w:ascii="Arial" w:cs="Arial" w:eastAsia="Arial" w:hAnsi="Arial"/>
                <w:sz w:val="12"/>
                <w:szCs w:val="12"/>
                <w:color w:val="auto"/>
              </w:rPr>
              <w:t>issued and outstanding as of December 31, 2020 and 2021, respectively</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tcPr>
          <w:p>
            <w:pPr>
              <w:jc w:val="right"/>
              <w:ind w:right="51"/>
              <w:spacing w:after="0"/>
              <w:rPr>
                <w:sz w:val="20"/>
                <w:szCs w:val="20"/>
                <w:color w:val="auto"/>
              </w:rPr>
            </w:pPr>
            <w:r>
              <w:rPr>
                <w:rFonts w:ascii="Arial" w:cs="Arial" w:eastAsia="Arial" w:hAnsi="Arial"/>
                <w:sz w:val="12"/>
                <w:szCs w:val="12"/>
                <w:color w:val="auto"/>
              </w:rPr>
              <w:t>1</w:t>
            </w:r>
            <w:r>
              <w:rPr>
                <w:rFonts w:ascii="Arial" w:cs="Arial" w:eastAsia="Arial" w:hAnsi="Arial"/>
                <w:sz w:val="12"/>
                <w:szCs w:val="12"/>
                <w:b w:val="1"/>
                <w:bCs w:val="1"/>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20" w:type="dxa"/>
            <w:vAlign w:val="bottom"/>
            <w:gridSpan w:val="3"/>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6"/>
        </w:trPr>
        <w:tc>
          <w:tcPr>
            <w:tcW w:w="496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tcPr>
          <w:p>
            <w:pPr>
              <w:jc w:val="right"/>
              <w:ind w:right="51"/>
              <w:spacing w:after="0"/>
              <w:rPr>
                <w:sz w:val="20"/>
                <w:szCs w:val="20"/>
                <w:color w:val="auto"/>
              </w:rPr>
            </w:pPr>
            <w:r>
              <w:rPr>
                <w:rFonts w:ascii="Arial" w:cs="Arial" w:eastAsia="Arial" w:hAnsi="Arial"/>
                <w:sz w:val="12"/>
                <w:szCs w:val="12"/>
                <w:color w:val="auto"/>
              </w:rPr>
              <w:t>477</w:t>
            </w:r>
            <w:r>
              <w:rPr>
                <w:rFonts w:ascii="Arial" w:cs="Arial" w:eastAsia="Arial" w:hAnsi="Arial"/>
                <w:sz w:val="12"/>
                <w:szCs w:val="12"/>
                <w:b w:val="1"/>
                <w:bCs w:val="1"/>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(1)</w:t>
            </w:r>
            <w:r>
              <w:rPr>
                <w:rFonts w:ascii="Arial" w:cs="Arial" w:eastAsia="Arial" w:hAnsi="Arial"/>
                <w:sz w:val="12"/>
                <w:szCs w:val="12"/>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3"/>
          </w:tcPr>
          <w:p>
            <w:pPr>
              <w:jc w:val="right"/>
              <w:ind w:right="51"/>
              <w:spacing w:after="0"/>
              <w:rPr>
                <w:sz w:val="20"/>
                <w:szCs w:val="20"/>
                <w:color w:val="auto"/>
              </w:rPr>
            </w:pPr>
            <w:r>
              <w:rPr>
                <w:rFonts w:ascii="Arial" w:cs="Arial" w:eastAsia="Arial" w:hAnsi="Arial"/>
                <w:sz w:val="12"/>
                <w:szCs w:val="12"/>
                <w:color w:val="auto"/>
                <w:w w:val="93"/>
              </w:rPr>
              <w:t>​(22,946)</w:t>
            </w:r>
            <w:r>
              <w:rPr>
                <w:rFonts w:ascii="Arial" w:cs="Arial" w:eastAsia="Arial" w:hAnsi="Arial"/>
                <w:sz w:val="12"/>
                <w:szCs w:val="12"/>
                <w:b w:val="1"/>
                <w:bCs w:val="1"/>
                <w:color w:val="auto"/>
                <w:w w:val="93"/>
              </w:rPr>
              <w:t>​</w:t>
            </w:r>
          </w:p>
        </w:tc>
        <w:tc>
          <w:tcPr>
            <w:tcW w:w="440" w:type="dxa"/>
            <w:vAlign w:val="bottom"/>
            <w:gridSpan w:val="3"/>
          </w:tcPr>
          <w:p>
            <w:pPr>
              <w:spacing w:after="0"/>
              <w:rPr>
                <w:sz w:val="20"/>
                <w:szCs w:val="20"/>
                <w:color w:val="auto"/>
              </w:rPr>
            </w:pPr>
            <w:r>
              <w:rPr>
                <w:rFonts w:ascii="Arial" w:cs="Arial" w:eastAsia="Arial" w:hAnsi="Arial"/>
                <w:sz w:val="12"/>
                <w:szCs w:val="12"/>
                <w:color w:val="auto"/>
                <w:w w:val="93"/>
              </w:rPr>
              <w:t>​(64,736)</w:t>
            </w: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960" w:type="dxa"/>
            <w:vAlign w:val="bottom"/>
            <w:tcBorders>
              <w:top w:val="single" w:sz="8" w:color="CCEEFF"/>
              <w:bottom w:val="single" w:sz="8" w:color="CCEEFF"/>
            </w:tcBorders>
            <w:shd w:val="clear" w:color="auto" w:fill="CCEEFF"/>
          </w:tcPr>
          <w:p>
            <w:pPr>
              <w:ind w:left="240"/>
              <w:spacing w:after="0" w:line="135" w:lineRule="exact"/>
              <w:rPr>
                <w:sz w:val="20"/>
                <w:szCs w:val="20"/>
                <w:color w:val="auto"/>
              </w:rPr>
            </w:pPr>
            <w:r>
              <w:rPr>
                <w:rFonts w:ascii="Arial" w:cs="Arial" w:eastAsia="Arial" w:hAnsi="Arial"/>
                <w:sz w:val="12"/>
                <w:szCs w:val="12"/>
                <w:color w:val="auto"/>
              </w:rPr>
              <w:t>Total shareholders’ deficit</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w:t>
            </w:r>
          </w:p>
        </w:tc>
        <w:tc>
          <w:tcPr>
            <w:tcW w:w="420" w:type="dxa"/>
            <w:vAlign w:val="bottom"/>
            <w:tcBorders>
              <w:top w:val="single" w:sz="8" w:color="auto"/>
              <w:bottom w:val="single" w:sz="8" w:color="auto"/>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84"/>
              </w:rPr>
              <w:t>​(22,469)</w:t>
            </w:r>
          </w:p>
        </w:tc>
        <w:tc>
          <w:tcPr>
            <w:tcW w:w="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
                <w:szCs w:val="1"/>
                <w:b w:val="1"/>
                <w:bCs w:val="1"/>
                <w:color w:val="auto"/>
                <w:w w:val="4294942296"/>
              </w:rPr>
              <w:t>​</w:t>
            </w:r>
          </w:p>
        </w:tc>
        <w:tc>
          <w:tcPr>
            <w:tcW w:w="440" w:type="dxa"/>
            <w:vAlign w:val="bottom"/>
            <w:tcBorders>
              <w:top w:val="single" w:sz="8" w:color="auto"/>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w w:val="93"/>
              </w:rPr>
              <w:t>​(64,735)</w:t>
            </w: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54"/>
        </w:trPr>
        <w:tc>
          <w:tcPr>
            <w:tcW w:w="4960" w:type="dxa"/>
            <w:vAlign w:val="bottom"/>
          </w:tcPr>
          <w:p>
            <w:pPr>
              <w:ind w:left="380"/>
              <w:spacing w:after="0"/>
              <w:rPr>
                <w:sz w:val="20"/>
                <w:szCs w:val="20"/>
                <w:color w:val="auto"/>
              </w:rPr>
            </w:pPr>
            <w:r>
              <w:rPr>
                <w:rFonts w:ascii="Arial" w:cs="Arial" w:eastAsia="Arial" w:hAnsi="Arial"/>
                <w:sz w:val="12"/>
                <w:szCs w:val="12"/>
                <w:color w:val="auto"/>
              </w:rPr>
              <w:t>Total liabilities, redeemable convertible preferred shares and shareholders’ deficit</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38,704</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480" w:type="dxa"/>
            <w:vAlign w:val="bottom"/>
            <w:gridSpan w:val="5"/>
          </w:tcPr>
          <w:p>
            <w:pPr>
              <w:jc w:val="right"/>
              <w:spacing w:after="0"/>
              <w:rPr>
                <w:sz w:val="20"/>
                <w:szCs w:val="20"/>
                <w:color w:val="auto"/>
              </w:rPr>
            </w:pPr>
            <w:r>
              <w:rPr>
                <w:rFonts w:ascii="Arial" w:cs="Arial" w:eastAsia="Arial" w:hAnsi="Arial"/>
                <w:sz w:val="12"/>
                <w:szCs w:val="12"/>
                <w:color w:val="auto"/>
              </w:rPr>
              <w:t>111,155​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-883285</wp:posOffset>
            </wp:positionV>
            <wp:extent cx="3806825" cy="294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06825" cy="2946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-208280</wp:posOffset>
            </wp:positionV>
            <wp:extent cx="635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-208280</wp:posOffset>
            </wp:positionV>
            <wp:extent cx="635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-306070</wp:posOffset>
            </wp:positionV>
            <wp:extent cx="3475355"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75355" cy="63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-2584450</wp:posOffset>
            </wp:positionV>
            <wp:extent cx="635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-2584450</wp:posOffset>
            </wp:positionV>
            <wp:extent cx="635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-2774315</wp:posOffset>
            </wp:positionV>
            <wp:extent cx="635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-2774315</wp:posOffset>
            </wp:positionV>
            <wp:extent cx="635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-3394710</wp:posOffset>
            </wp:positionV>
            <wp:extent cx="635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-3394710</wp:posOffset>
            </wp:positionV>
            <wp:extent cx="635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-3769360</wp:posOffset>
            </wp:positionV>
            <wp:extent cx="635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-3769360</wp:posOffset>
            </wp:positionV>
            <wp:extent cx="635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-4236085</wp:posOffset>
            </wp:positionV>
            <wp:extent cx="314960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149600" cy="6350"/>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2" w:name="page253"/>
    <w:bookmarkEnd w:id="252"/>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1860"/>
        <w:spacing w:after="0"/>
        <w:rPr>
          <w:sz w:val="20"/>
          <w:szCs w:val="20"/>
          <w:color w:val="auto"/>
        </w:rPr>
      </w:pPr>
      <w:r>
        <w:rPr>
          <w:rFonts w:ascii="Arial" w:cs="Arial" w:eastAsia="Arial" w:hAnsi="Arial"/>
          <w:sz w:val="13"/>
          <w:szCs w:val="13"/>
          <w:b w:val="1"/>
          <w:bCs w:val="1"/>
          <w:color w:val="auto"/>
        </w:rPr>
        <w:t>CONSOLIDATED STATEMENTS OF OPERATIONS AND COMPREHENSIVE LOSS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3733165"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39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5"/>
          </w:tcPr>
          <w:p>
            <w:pPr>
              <w:jc w:val="right"/>
              <w:ind w:right="81"/>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458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100" w:type="dxa"/>
            <w:vAlign w:val="bottom"/>
          </w:tcPr>
          <w:p>
            <w:pPr>
              <w:spacing w:after="0"/>
              <w:rPr>
                <w:sz w:val="13"/>
                <w:szCs w:val="13"/>
                <w:color w:val="auto"/>
              </w:rPr>
            </w:pPr>
          </w:p>
        </w:tc>
        <w:tc>
          <w:tcPr>
            <w:tcW w:w="480" w:type="dxa"/>
            <w:vAlign w:val="bottom"/>
            <w:gridSpan w:val="2"/>
          </w:tcPr>
          <w:p>
            <w:pPr>
              <w:jc w:val="right"/>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w:t>
            </w: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80" w:type="dxa"/>
            <w:vAlign w:val="bottom"/>
            <w:vMerge w:val="continue"/>
            <w:shd w:val="clear" w:color="auto" w:fill="CCEEFF"/>
          </w:tcPr>
          <w:p>
            <w:pPr>
              <w:spacing w:after="0"/>
              <w:rPr>
                <w:sz w:val="14"/>
                <w:szCs w:val="1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458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26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12,364​​</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29,111​</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26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4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2"/>
                <w:szCs w:val="12"/>
                <w:color w:val="auto"/>
              </w:rPr>
              <w:t>3,542</w:t>
            </w:r>
            <w:r>
              <w:rPr>
                <w:rFonts w:ascii="Arial" w:cs="Arial" w:eastAsia="Arial" w:hAnsi="Arial"/>
                <w:sz w:val="22"/>
                <w:szCs w:val="22"/>
                <w:color w:val="auto"/>
                <w:vertAlign w:val="subscript"/>
              </w:rPr>
              <w:t>​​</w:t>
            </w:r>
          </w:p>
        </w:tc>
        <w:tc>
          <w:tcPr>
            <w:tcW w:w="1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8,585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740" w:type="dxa"/>
            <w:vAlign w:val="bottom"/>
            <w:gridSpan w:val="4"/>
          </w:tcPr>
          <w:p>
            <w:pPr>
              <w:ind w:left="40"/>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 xml:space="preserve"> ​15,906</w:t>
            </w:r>
            <w:r>
              <w:rPr>
                <w:rFonts w:ascii="Arial" w:cs="Arial" w:eastAsia="Arial" w:hAnsi="Arial"/>
                <w:sz w:val="20"/>
                <w:szCs w:val="20"/>
                <w:color w:val="auto"/>
                <w:vertAlign w:val="subscript"/>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460" w:type="dxa"/>
            <w:vAlign w:val="bottom"/>
            <w:gridSpan w:val="4"/>
          </w:tcPr>
          <w:p>
            <w:pPr>
              <w:jc w:val="right"/>
              <w:spacing w:after="0" w:line="173" w:lineRule="exact"/>
              <w:rPr>
                <w:sz w:val="20"/>
                <w:szCs w:val="20"/>
                <w:color w:val="auto"/>
              </w:rPr>
            </w:pPr>
            <w:r>
              <w:rPr>
                <w:rFonts w:ascii="Arial" w:cs="Arial" w:eastAsia="Arial" w:hAnsi="Arial"/>
                <w:sz w:val="11"/>
                <w:szCs w:val="11"/>
                <w:color w:val="auto"/>
              </w:rPr>
              <w:t>​37,696</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 ​​ ​(15,906​​)</w:t>
            </w:r>
          </w:p>
        </w:tc>
        <w:tc>
          <w:tcPr>
            <w:tcW w:w="1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89"/>
              </w:rPr>
              <w:t>​(37,696)</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80" w:type="dxa"/>
            <w:vAlign w:val="bottom"/>
          </w:tcPr>
          <w:p>
            <w:pPr>
              <w:spacing w:after="0" w:line="136" w:lineRule="exact"/>
              <w:rPr>
                <w:sz w:val="20"/>
                <w:szCs w:val="20"/>
                <w:color w:val="auto"/>
              </w:rPr>
            </w:pPr>
            <w:r>
              <w:rPr>
                <w:rFonts w:ascii="Arial" w:cs="Arial" w:eastAsia="Arial" w:hAnsi="Arial"/>
                <w:sz w:val="12"/>
                <w:szCs w:val="12"/>
                <w:color w:val="auto"/>
              </w:rPr>
              <w:t>Interest and other income (expense), net</w:t>
            </w:r>
          </w:p>
        </w:tc>
        <w:tc>
          <w:tcPr>
            <w:tcW w:w="160" w:type="dxa"/>
            <w:vAlign w:val="bottom"/>
            <w:vMerge w:val="restart"/>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ind w:left="80"/>
              <w:spacing w:after="0"/>
              <w:rPr>
                <w:sz w:val="20"/>
                <w:szCs w:val="20"/>
                <w:color w:val="auto"/>
              </w:rPr>
            </w:pPr>
            <w:r>
              <w:rPr>
                <w:rFonts w:ascii="Arial" w:cs="Arial" w:eastAsia="Arial" w:hAnsi="Arial"/>
                <w:sz w:val="1"/>
                <w:szCs w:val="1"/>
                <w:color w:val="auto"/>
                <w:w w:val="4294942296"/>
              </w:rPr>
              <w:t>​</w:t>
            </w: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168</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42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58"/>
        </w:trPr>
        <w:tc>
          <w:tcPr>
            <w:tcW w:w="4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 expense</w:t>
            </w:r>
          </w:p>
        </w:tc>
        <w:tc>
          <w:tcPr>
            <w:tcW w:w="74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 ​​ ​(15,738​​)</w:t>
            </w:r>
          </w:p>
        </w:tc>
        <w:tc>
          <w:tcPr>
            <w:tcW w:w="1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89"/>
              </w:rPr>
              <w:t>​(37,818)</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458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260" w:type="dxa"/>
            <w:vAlign w:val="bottom"/>
            <w:gridSpan w:val="2"/>
          </w:tcPr>
          <w:p>
            <w:pPr>
              <w:ind w:left="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48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138</w:t>
            </w:r>
            <w:r>
              <w:rPr>
                <w:rFonts w:ascii="Arial" w:cs="Arial" w:eastAsia="Arial" w:hAnsi="Arial"/>
                <w:sz w:val="22"/>
                <w:szCs w:val="22"/>
                <w:color w:val="auto"/>
                <w:vertAlign w:val="subscript"/>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231</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4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 ​​ ​(15,876​​)</w:t>
            </w:r>
          </w:p>
        </w:tc>
        <w:tc>
          <w:tcPr>
            <w:tcW w:w="5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rPr>
              <w:t>​​ ​(38,049)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580" w:type="dxa"/>
            <w:vAlign w:val="bottom"/>
          </w:tcPr>
          <w:p>
            <w:pPr>
              <w:ind w:left="120"/>
              <w:spacing w:after="0"/>
              <w:rPr>
                <w:sz w:val="20"/>
                <w:szCs w:val="20"/>
                <w:color w:val="auto"/>
              </w:rPr>
            </w:pPr>
            <w:r>
              <w:rPr>
                <w:rFonts w:ascii="Arial" w:cs="Arial" w:eastAsia="Arial" w:hAnsi="Arial"/>
                <w:sz w:val="12"/>
                <w:szCs w:val="12"/>
                <w:color w:val="auto"/>
              </w:rPr>
              <w:t>Less: Accretion of redeemable convertible preferred shares to their redemption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80" w:type="dxa"/>
            <w:vAlign w:val="bottom"/>
          </w:tcPr>
          <w:p>
            <w:pPr>
              <w:ind w:left="240"/>
              <w:spacing w:after="0"/>
              <w:rPr>
                <w:sz w:val="20"/>
                <w:szCs w:val="20"/>
                <w:color w:val="auto"/>
              </w:rPr>
            </w:pPr>
            <w:r>
              <w:rPr>
                <w:rFonts w:ascii="Arial" w:cs="Arial" w:eastAsia="Arial" w:hAnsi="Arial"/>
                <w:sz w:val="12"/>
                <w:szCs w:val="12"/>
                <w:color w:val="auto"/>
              </w:rPr>
              <w:t>value</w:t>
            </w:r>
          </w:p>
        </w:tc>
        <w:tc>
          <w:tcPr>
            <w:tcW w:w="260" w:type="dxa"/>
            <w:vAlign w:val="bottom"/>
            <w:gridSpan w:val="2"/>
          </w:tcPr>
          <w:p>
            <w:pPr>
              <w:ind w:left="40"/>
              <w:spacing w:after="0"/>
              <w:rPr>
                <w:sz w:val="20"/>
                <w:szCs w:val="20"/>
                <w:color w:val="auto"/>
              </w:rPr>
            </w:pPr>
            <w:r>
              <w:rPr>
                <w:rFonts w:ascii="Arial" w:cs="Arial" w:eastAsia="Arial" w:hAnsi="Arial"/>
                <w:sz w:val="12"/>
                <w:szCs w:val="12"/>
                <w:color w:val="auto"/>
              </w:rPr>
              <w:t>​ ​​ ​</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(163​​) ​​</w:t>
            </w:r>
          </w:p>
        </w:tc>
        <w:tc>
          <w:tcPr>
            <w:tcW w:w="460" w:type="dxa"/>
            <w:vAlign w:val="bottom"/>
            <w:gridSpan w:val="4"/>
          </w:tcPr>
          <w:p>
            <w:pPr>
              <w:jc w:val="right"/>
              <w:spacing w:after="0"/>
              <w:rPr>
                <w:sz w:val="20"/>
                <w:szCs w:val="20"/>
                <w:color w:val="auto"/>
              </w:rPr>
            </w:pPr>
            <w:r>
              <w:rPr>
                <w:rFonts w:ascii="Arial" w:cs="Arial" w:eastAsia="Arial" w:hAnsi="Arial"/>
                <w:sz w:val="12"/>
                <w:szCs w:val="12"/>
                <w:color w:val="auto"/>
              </w:rPr>
              <w:t>​ (3,757​)</w:t>
            </w:r>
          </w:p>
        </w:tc>
        <w:tc>
          <w:tcPr>
            <w:tcW w:w="0" w:type="dxa"/>
            <w:vAlign w:val="bottom"/>
          </w:tcPr>
          <w:p>
            <w:pPr>
              <w:spacing w:after="0"/>
              <w:rPr>
                <w:sz w:val="1"/>
                <w:szCs w:val="1"/>
                <w:color w:val="auto"/>
              </w:rPr>
            </w:pPr>
          </w:p>
        </w:tc>
      </w:tr>
      <w:tr>
        <w:trPr>
          <w:trHeight w:val="158"/>
        </w:trPr>
        <w:tc>
          <w:tcPr>
            <w:tcW w:w="4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Excess of the fair value of the consideration paid over the carrying value of</w:t>
            </w: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redeemable noncontrolling interest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 ​​ ​ (1,959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80" w:type="dxa"/>
            <w:vAlign w:val="bottom"/>
          </w:tcPr>
          <w:p>
            <w:pPr>
              <w:spacing w:after="0" w:line="126" w:lineRule="exact"/>
              <w:rPr>
                <w:sz w:val="20"/>
                <w:szCs w:val="20"/>
                <w:color w:val="auto"/>
              </w:rPr>
            </w:pPr>
            <w:r>
              <w:rPr>
                <w:rFonts w:ascii="Arial" w:cs="Arial" w:eastAsia="Arial" w:hAnsi="Arial"/>
                <w:sz w:val="12"/>
                <w:szCs w:val="12"/>
                <w:color w:val="auto"/>
              </w:rPr>
              <w:t>Net loss attributable to ordinary shareholders</w:t>
            </w:r>
          </w:p>
        </w:tc>
        <w:tc>
          <w:tcPr>
            <w:tcW w:w="160" w:type="dxa"/>
            <w:vAlign w:val="bottom"/>
          </w:tcPr>
          <w:p>
            <w:pPr>
              <w:spacing w:after="0"/>
              <w:rPr>
                <w:sz w:val="10"/>
                <w:szCs w:val="10"/>
                <w:color w:val="auto"/>
              </w:rPr>
            </w:pPr>
          </w:p>
        </w:tc>
        <w:tc>
          <w:tcPr>
            <w:tcW w:w="580" w:type="dxa"/>
            <w:vAlign w:val="bottom"/>
            <w:gridSpan w:val="3"/>
          </w:tcPr>
          <w:p>
            <w:pPr>
              <w:jc w:val="right"/>
              <w:ind w:right="20"/>
              <w:spacing w:after="0" w:line="126" w:lineRule="exact"/>
              <w:rPr>
                <w:sz w:val="20"/>
                <w:szCs w:val="20"/>
                <w:color w:val="auto"/>
              </w:rPr>
            </w:pPr>
            <w:r>
              <w:rPr>
                <w:rFonts w:ascii="Arial" w:cs="Arial" w:eastAsia="Arial" w:hAnsi="Arial"/>
                <w:sz w:val="12"/>
                <w:szCs w:val="12"/>
                <w:color w:val="auto"/>
                <w:w w:val="97"/>
              </w:rPr>
              <w:t>$(16,039)</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60" w:type="dxa"/>
            <w:vAlign w:val="bottom"/>
            <w:gridSpan w:val="4"/>
          </w:tcPr>
          <w:p>
            <w:pPr>
              <w:jc w:val="right"/>
              <w:spacing w:after="0" w:line="126" w:lineRule="exact"/>
              <w:rPr>
                <w:sz w:val="20"/>
                <w:szCs w:val="20"/>
                <w:color w:val="auto"/>
              </w:rPr>
            </w:pPr>
            <w:r>
              <w:rPr>
                <w:rFonts w:ascii="Arial" w:cs="Arial" w:eastAsia="Arial" w:hAnsi="Arial"/>
                <w:sz w:val="12"/>
                <w:szCs w:val="12"/>
                <w:color w:val="auto"/>
                <w:w w:val="98"/>
              </w:rPr>
              <w:t>(43,765)</w:t>
            </w:r>
          </w:p>
        </w:tc>
        <w:tc>
          <w:tcPr>
            <w:tcW w:w="0" w:type="dxa"/>
            <w:vAlign w:val="bottom"/>
          </w:tcPr>
          <w:p>
            <w:pPr>
              <w:spacing w:after="0"/>
              <w:rPr>
                <w:sz w:val="1"/>
                <w:szCs w:val="1"/>
                <w:color w:val="auto"/>
              </w:rPr>
            </w:pPr>
          </w:p>
        </w:tc>
      </w:tr>
      <w:tr>
        <w:trPr>
          <w:trHeight w:val="57"/>
        </w:trPr>
        <w:tc>
          <w:tcPr>
            <w:tcW w:w="45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ind w:left="40"/>
              <w:spacing w:after="0" w:line="49" w:lineRule="exact"/>
              <w:rPr>
                <w:sz w:val="20"/>
                <w:szCs w:val="20"/>
                <w:color w:val="auto"/>
              </w:rPr>
            </w:pPr>
            <w:r>
              <w:rPr>
                <w:rFonts w:ascii="Arial" w:cs="Arial" w:eastAsia="Arial" w:hAnsi="Arial"/>
                <w:sz w:val="5"/>
                <w:szCs w:val="5"/>
                <w:color w:val="auto"/>
              </w:rPr>
              <w:t>​ ​​</w:t>
            </w: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tcBorders>
              <w:bottom w:val="single" w:sz="8" w:color="CCEEFF"/>
            </w:tcBorders>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loss per share attributable to ordinary shareholders, basic and diluted</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(2.56)</w:t>
            </w:r>
          </w:p>
        </w:tc>
        <w:tc>
          <w:tcPr>
            <w:tcW w:w="140" w:type="dxa"/>
            <w:vAlign w:val="bottom"/>
            <w:tcBorders>
              <w:left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(5.38)</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8"/>
        </w:trPr>
        <w:tc>
          <w:tcPr>
            <w:tcW w:w="458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ind w:left="40"/>
              <w:spacing w:after="0" w:line="49" w:lineRule="exact"/>
              <w:rPr>
                <w:sz w:val="20"/>
                <w:szCs w:val="20"/>
                <w:color w:val="auto"/>
              </w:rPr>
            </w:pPr>
            <w:r>
              <w:rPr>
                <w:rFonts w:ascii="Arial" w:cs="Arial" w:eastAsia="Arial" w:hAnsi="Arial"/>
                <w:sz w:val="5"/>
                <w:szCs w:val="5"/>
                <w:color w:val="auto"/>
              </w:rPr>
              <w:t>​ ​​</w:t>
            </w:r>
          </w:p>
        </w:tc>
        <w:tc>
          <w:tcPr>
            <w:tcW w:w="100" w:type="dxa"/>
            <w:vAlign w:val="bottom"/>
            <w:tcBorders>
              <w:left w:val="single" w:sz="8" w:color="CCEEFF"/>
            </w:tcBorders>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tcBorders>
              <w:left w:val="single" w:sz="8" w:color="CCEEFF"/>
              <w:right w:val="single" w:sz="8" w:color="CCEEFF"/>
            </w:tcBorders>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Weighted-average ordinary shares used in computing net loss per share attributable</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580" w:type="dxa"/>
            <w:vAlign w:val="bottom"/>
            <w:vMerge w:val="continue"/>
          </w:tcPr>
          <w:p>
            <w:pPr>
              <w:spacing w:after="0"/>
              <w:rPr>
                <w:sz w:val="11"/>
                <w:szCs w:val="11"/>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660" w:type="dxa"/>
            <w:vAlign w:val="bottom"/>
            <w:gridSpan w:val="4"/>
            <w:vMerge w:val="restart"/>
          </w:tcPr>
          <w:p>
            <w:pPr>
              <w:jc w:val="right"/>
              <w:spacing w:after="0"/>
              <w:rPr>
                <w:sz w:val="20"/>
                <w:szCs w:val="20"/>
                <w:color w:val="auto"/>
              </w:rPr>
            </w:pPr>
            <w:r>
              <w:rPr>
                <w:rFonts w:ascii="Arial" w:cs="Arial" w:eastAsia="Arial" w:hAnsi="Arial"/>
                <w:sz w:val="12"/>
                <w:szCs w:val="12"/>
                <w:color w:val="auto"/>
              </w:rPr>
              <w:t>6,262</w:t>
            </w:r>
            <w:r>
              <w:rPr>
                <w:rFonts w:ascii="Arial" w:cs="Arial" w:eastAsia="Arial" w:hAnsi="Arial"/>
                <w:sz w:val="24"/>
                <w:szCs w:val="24"/>
                <w:color w:val="auto"/>
                <w:vertAlign w:val="subscript"/>
              </w:rPr>
              <w:t>​​ ​​</w:t>
            </w:r>
            <w:r>
              <w:rPr>
                <w:rFonts w:ascii="Arial" w:cs="Arial" w:eastAsia="Arial" w:hAnsi="Arial"/>
                <w:sz w:val="12"/>
                <w:szCs w:val="12"/>
                <w:color w:val="auto"/>
              </w:rPr>
              <w:t xml:space="preserve"> ​</w:t>
            </w:r>
          </w:p>
        </w:tc>
        <w:tc>
          <w:tcPr>
            <w:tcW w:w="420" w:type="dxa"/>
            <w:vAlign w:val="bottom"/>
            <w:gridSpan w:val="3"/>
            <w:vMerge w:val="restart"/>
          </w:tcPr>
          <w:p>
            <w:pPr>
              <w:jc w:val="right"/>
              <w:spacing w:after="0"/>
              <w:rPr>
                <w:sz w:val="20"/>
                <w:szCs w:val="20"/>
                <w:color w:val="auto"/>
              </w:rPr>
            </w:pPr>
            <w:r>
              <w:rPr>
                <w:rFonts w:ascii="Arial" w:cs="Arial" w:eastAsia="Arial" w:hAnsi="Arial"/>
                <w:sz w:val="12"/>
                <w:szCs w:val="12"/>
                <w:color w:val="auto"/>
              </w:rPr>
              <w:t>8,141</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70"/>
        </w:trPr>
        <w:tc>
          <w:tcPr>
            <w:tcW w:w="4580" w:type="dxa"/>
            <w:vAlign w:val="bottom"/>
          </w:tcPr>
          <w:p>
            <w:pPr>
              <w:ind w:left="120"/>
              <w:spacing w:after="0"/>
              <w:rPr>
                <w:sz w:val="20"/>
                <w:szCs w:val="20"/>
                <w:color w:val="auto"/>
              </w:rPr>
            </w:pPr>
            <w:r>
              <w:rPr>
                <w:rFonts w:ascii="Arial" w:cs="Arial" w:eastAsia="Arial" w:hAnsi="Arial"/>
                <w:sz w:val="12"/>
                <w:szCs w:val="12"/>
                <w:color w:val="auto"/>
              </w:rPr>
              <w:t>to ordinary shareholders, basic and diluted</w:t>
            </w:r>
          </w:p>
        </w:tc>
        <w:tc>
          <w:tcPr>
            <w:tcW w:w="260" w:type="dxa"/>
            <w:vAlign w:val="bottom"/>
            <w:gridSpan w:val="2"/>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4580" w:type="dxa"/>
            <w:vAlign w:val="bottom"/>
            <w:vMerge w:val="continue"/>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3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20"/>
              <w:spacing w:after="0" w:line="136" w:lineRule="exact"/>
              <w:rPr>
                <w:sz w:val="20"/>
                <w:szCs w:val="20"/>
                <w:color w:val="auto"/>
              </w:rPr>
            </w:pPr>
            <w:r>
              <w:rPr>
                <w:rFonts w:ascii="Arial" w:cs="Arial" w:eastAsia="Arial" w:hAnsi="Arial"/>
                <w:sz w:val="12"/>
                <w:szCs w:val="12"/>
                <w:color w:val="auto"/>
              </w:rPr>
              <w:t>Unrealized (loss) gain on investments, net</w:t>
            </w:r>
          </w:p>
        </w:tc>
        <w:tc>
          <w:tcPr>
            <w:tcW w:w="160" w:type="dxa"/>
            <w:vAlign w:val="bottom"/>
            <w:vMerge w:val="restart"/>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ind w:left="80"/>
              <w:spacing w:after="0"/>
              <w:rPr>
                <w:sz w:val="20"/>
                <w:szCs w:val="20"/>
                <w:color w:val="auto"/>
              </w:rPr>
            </w:pPr>
            <w:r>
              <w:rPr>
                <w:rFonts w:ascii="Arial" w:cs="Arial" w:eastAsia="Arial" w:hAnsi="Arial"/>
                <w:sz w:val="1"/>
                <w:szCs w:val="1"/>
                <w:color w:val="auto"/>
                <w:w w:val="4294942296"/>
              </w:rPr>
              <w:t>​</w:t>
            </w:r>
          </w:p>
        </w:tc>
        <w:tc>
          <w:tcPr>
            <w:tcW w:w="48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(1)</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rPr>
              <w:t>1</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4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line="136" w:lineRule="exact"/>
              <w:rPr>
                <w:sz w:val="20"/>
                <w:szCs w:val="20"/>
                <w:color w:val="auto"/>
              </w:rPr>
            </w:pPr>
            <w:r>
              <w:rPr>
                <w:rFonts w:ascii="Arial" w:cs="Arial" w:eastAsia="Arial" w:hAnsi="Arial"/>
                <w:sz w:val="12"/>
                <w:szCs w:val="12"/>
                <w:color w:val="auto"/>
              </w:rPr>
              <w:t>Total other comprehensive (loss) gain</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80" w:type="dxa"/>
            <w:vAlign w:val="bottom"/>
            <w:vMerge w:val="continue"/>
            <w:shd w:val="clear" w:color="auto" w:fill="CCEEFF"/>
          </w:tcPr>
          <w:p>
            <w:pPr>
              <w:spacing w:after="0"/>
              <w:rPr>
                <w:sz w:val="10"/>
                <w:szCs w:val="10"/>
                <w:color w:val="auto"/>
              </w:rPr>
            </w:pP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100" w:type="dxa"/>
            <w:vAlign w:val="bottom"/>
            <w:tcBorders>
              <w:left w:val="single" w:sz="8" w:color="CCEEFF"/>
            </w:tcBorders>
            <w:shd w:val="clear" w:color="auto" w:fill="CCEEFF"/>
          </w:tcPr>
          <w:p>
            <w:pPr>
              <w:ind w:left="80"/>
              <w:spacing w:after="0"/>
              <w:rPr>
                <w:sz w:val="20"/>
                <w:szCs w:val="20"/>
                <w:color w:val="auto"/>
              </w:rPr>
            </w:pPr>
            <w:r>
              <w:rPr>
                <w:rFonts w:ascii="Arial" w:cs="Arial" w:eastAsia="Arial" w:hAnsi="Arial"/>
                <w:sz w:val="1"/>
                <w:szCs w:val="1"/>
                <w:color w:val="auto"/>
                <w:w w:val="4294942296"/>
              </w:rPr>
              <w:t>​</w:t>
            </w:r>
          </w:p>
        </w:tc>
        <w:tc>
          <w:tcPr>
            <w:tcW w:w="48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2"/>
                <w:szCs w:val="12"/>
                <w:color w:val="auto"/>
              </w:rPr>
              <w:t>(1)</w:t>
            </w:r>
          </w:p>
        </w:tc>
        <w:tc>
          <w:tcPr>
            <w:tcW w:w="14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1</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4580" w:type="dxa"/>
            <w:vAlign w:val="bottom"/>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80" w:type="dxa"/>
            <w:vAlign w:val="bottom"/>
          </w:tcPr>
          <w:p>
            <w:pPr>
              <w:spacing w:after="0" w:line="125" w:lineRule="exact"/>
              <w:rPr>
                <w:sz w:val="20"/>
                <w:szCs w:val="20"/>
                <w:color w:val="auto"/>
              </w:rPr>
            </w:pPr>
            <w:r>
              <w:rPr>
                <w:rFonts w:ascii="Arial" w:cs="Arial" w:eastAsia="Arial" w:hAnsi="Arial"/>
                <w:sz w:val="12"/>
                <w:szCs w:val="12"/>
                <w:color w:val="auto"/>
              </w:rPr>
              <w:t>Comprehensive loss</w:t>
            </w:r>
          </w:p>
        </w:tc>
        <w:tc>
          <w:tcPr>
            <w:tcW w:w="160" w:type="dxa"/>
            <w:vAlign w:val="bottom"/>
          </w:tcPr>
          <w:p>
            <w:pPr>
              <w:spacing w:after="0"/>
              <w:rPr>
                <w:sz w:val="10"/>
                <w:szCs w:val="10"/>
                <w:color w:val="auto"/>
              </w:rPr>
            </w:pPr>
          </w:p>
        </w:tc>
        <w:tc>
          <w:tcPr>
            <w:tcW w:w="580" w:type="dxa"/>
            <w:vAlign w:val="bottom"/>
            <w:gridSpan w:val="3"/>
          </w:tcPr>
          <w:p>
            <w:pPr>
              <w:jc w:val="right"/>
              <w:ind w:right="20"/>
              <w:spacing w:after="0" w:line="125" w:lineRule="exact"/>
              <w:rPr>
                <w:sz w:val="20"/>
                <w:szCs w:val="20"/>
                <w:color w:val="auto"/>
              </w:rPr>
            </w:pPr>
            <w:r>
              <w:rPr>
                <w:rFonts w:ascii="Arial" w:cs="Arial" w:eastAsia="Arial" w:hAnsi="Arial"/>
                <w:sz w:val="12"/>
                <w:szCs w:val="12"/>
                <w:color w:val="auto"/>
                <w:w w:val="97"/>
              </w:rPr>
              <w:t>$(15,877)</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460" w:type="dxa"/>
            <w:vAlign w:val="bottom"/>
            <w:gridSpan w:val="4"/>
          </w:tcPr>
          <w:p>
            <w:pPr>
              <w:jc w:val="right"/>
              <w:spacing w:after="0" w:line="125" w:lineRule="exact"/>
              <w:rPr>
                <w:sz w:val="20"/>
                <w:szCs w:val="20"/>
                <w:color w:val="auto"/>
              </w:rPr>
            </w:pPr>
            <w:r>
              <w:rPr>
                <w:rFonts w:ascii="Arial" w:cs="Arial" w:eastAsia="Arial" w:hAnsi="Arial"/>
                <w:sz w:val="12"/>
                <w:szCs w:val="12"/>
                <w:color w:val="auto"/>
                <w:w w:val="98"/>
              </w:rPr>
              <w:t>(38,048)</w:t>
            </w:r>
          </w:p>
        </w:tc>
        <w:tc>
          <w:tcPr>
            <w:tcW w:w="0" w:type="dxa"/>
            <w:vAlign w:val="bottom"/>
          </w:tcPr>
          <w:p>
            <w:pPr>
              <w:spacing w:after="0"/>
              <w:rPr>
                <w:sz w:val="1"/>
                <w:szCs w:val="1"/>
                <w:color w:val="auto"/>
              </w:rPr>
            </w:pPr>
          </w:p>
        </w:tc>
      </w:tr>
      <w:tr>
        <w:trPr>
          <w:trHeight w:val="48"/>
        </w:trPr>
        <w:tc>
          <w:tcPr>
            <w:tcW w:w="4580" w:type="dxa"/>
            <w:vAlign w:val="bottom"/>
          </w:tcPr>
          <w:p>
            <w:pPr>
              <w:spacing w:after="0"/>
              <w:rPr>
                <w:sz w:val="4"/>
                <w:szCs w:val="4"/>
                <w:color w:val="auto"/>
              </w:rPr>
            </w:pPr>
          </w:p>
        </w:tc>
        <w:tc>
          <w:tcPr>
            <w:tcW w:w="160" w:type="dxa"/>
            <w:vAlign w:val="bottom"/>
          </w:tcPr>
          <w:p>
            <w:pPr>
              <w:ind w:left="40"/>
              <w:spacing w:after="0" w:line="49" w:lineRule="exact"/>
              <w:rPr>
                <w:sz w:val="20"/>
                <w:szCs w:val="20"/>
                <w:color w:val="auto"/>
              </w:rPr>
            </w:pPr>
            <w:r>
              <w:rPr>
                <w:rFonts w:ascii="Arial" w:cs="Arial" w:eastAsia="Arial" w:hAnsi="Arial"/>
                <w:sz w:val="5"/>
                <w:szCs w:val="5"/>
                <w:color w:val="auto"/>
              </w:rPr>
              <w:t>​ ​​</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-324485</wp:posOffset>
            </wp:positionV>
            <wp:extent cx="342011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011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-1570990</wp:posOffset>
            </wp:positionV>
            <wp:extent cx="342011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011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-1810385</wp:posOffset>
            </wp:positionV>
            <wp:extent cx="342011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011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-2049780</wp:posOffset>
            </wp:positionV>
            <wp:extent cx="342011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011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-2529205</wp:posOffset>
            </wp:positionV>
            <wp:extent cx="341376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137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3" w:name="page254"/>
    <w:bookmarkEnd w:id="253"/>
    <w:p>
      <w:pPr>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CONSOLIDATED STATEMENTS OF REDEEMABLE CONVERTIBLE PREFERRED SHARES, REDEEMABLE NONCONTROLLING</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3"/>
          <w:szCs w:val="13"/>
          <w:b w:val="1"/>
          <w:bCs w:val="1"/>
          <w:color w:val="auto"/>
        </w:rPr>
        <w:t>INTEREST AND SHAREHOLDERS’ DEFICIT</w:t>
      </w:r>
    </w:p>
    <w:p>
      <w:pPr>
        <w:spacing w:after="0" w:line="5"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i w:val="1"/>
          <w:iCs w:val="1"/>
          <w:color w:val="auto"/>
        </w:rPr>
        <w:t>(IN THOUSANDS)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268"/>
        </w:trPr>
        <w:tc>
          <w:tcPr>
            <w:tcW w:w="1620" w:type="dxa"/>
            <w:vAlign w:val="bottom"/>
            <w:tcBorders>
              <w:top w:val="single" w:sz="8" w:color="auto"/>
            </w:tcBorders>
            <w:vMerge w:val="restart"/>
          </w:tcPr>
          <w:p>
            <w:pPr>
              <w:spacing w:after="0"/>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9"/>
                <w:szCs w:val="9"/>
                <w:b w:val="1"/>
                <w:bCs w:val="1"/>
                <w:color w:val="auto"/>
              </w:rPr>
              <w:t>​</w:t>
            </w:r>
          </w:p>
        </w:tc>
        <w:tc>
          <w:tcPr>
            <w:tcW w:w="3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540" w:type="dxa"/>
            <w:vAlign w:val="bottom"/>
            <w:tcBorders>
              <w:top w:val="single" w:sz="8" w:color="auto"/>
            </w:tcBorders>
            <w:gridSpan w:val="19"/>
            <w:vMerge w:val="restart"/>
          </w:tcPr>
          <w:p>
            <w:pPr>
              <w:jc w:val="center"/>
              <w:ind w:right="28"/>
              <w:spacing w:after="0"/>
              <w:rPr>
                <w:sz w:val="20"/>
                <w:szCs w:val="20"/>
                <w:color w:val="auto"/>
              </w:rPr>
            </w:pPr>
            <w:r>
              <w:rPr>
                <w:rFonts w:ascii="Arial" w:cs="Arial" w:eastAsia="Arial" w:hAnsi="Arial"/>
                <w:sz w:val="9"/>
                <w:szCs w:val="9"/>
                <w:b w:val="1"/>
                <w:bCs w:val="1"/>
                <w:color w:val="auto"/>
              </w:rPr>
              <w:t>REDEEMABLE CONVERTIBLE PREFERRED SHARES</w:t>
            </w: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Borders>
              <w:top w:val="single" w:sz="8" w:color="auto"/>
              <w:right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gridSpan w:val="3"/>
            <w:vMerge w:val="restart"/>
          </w:tcPr>
          <w:p>
            <w:pPr>
              <w:jc w:val="right"/>
              <w:ind w:right="50"/>
              <w:spacing w:after="0"/>
              <w:rPr>
                <w:sz w:val="20"/>
                <w:szCs w:val="20"/>
                <w:color w:val="auto"/>
              </w:rPr>
            </w:pPr>
            <w:r>
              <w:rPr>
                <w:rFonts w:ascii="Arial" w:cs="Arial" w:eastAsia="Arial" w:hAnsi="Arial"/>
                <w:sz w:val="9"/>
                <w:szCs w:val="9"/>
                <w:b w:val="1"/>
                <w:bCs w:val="1"/>
                <w:color w:val="auto"/>
              </w:rPr>
              <w:t>ORDINARY</w:t>
            </w: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gridSpan w:val="4"/>
          </w:tcPr>
          <w:p>
            <w:pPr>
              <w:jc w:val="center"/>
              <w:spacing w:after="0"/>
              <w:rPr>
                <w:sz w:val="20"/>
                <w:szCs w:val="20"/>
                <w:color w:val="auto"/>
              </w:rPr>
            </w:pPr>
            <w:r>
              <w:rPr>
                <w:rFonts w:ascii="Arial" w:cs="Arial" w:eastAsia="Arial" w:hAnsi="Arial"/>
                <w:sz w:val="9"/>
                <w:szCs w:val="9"/>
                <w:b w:val="1"/>
                <w:bCs w:val="1"/>
                <w:color w:val="auto"/>
              </w:rPr>
              <w:t>ACCUMULATED</w:t>
            </w:r>
          </w:p>
        </w:tc>
        <w:tc>
          <w:tcPr>
            <w:tcW w:w="1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6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gridSpan w:val="19"/>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80" w:type="dxa"/>
            <w:vAlign w:val="bottom"/>
            <w:gridSpan w:val="5"/>
          </w:tcPr>
          <w:p>
            <w:pPr>
              <w:jc w:val="center"/>
              <w:ind w:right="20"/>
              <w:spacing w:after="0" w:line="70" w:lineRule="exact"/>
              <w:rPr>
                <w:sz w:val="20"/>
                <w:szCs w:val="20"/>
                <w:color w:val="auto"/>
              </w:rPr>
            </w:pPr>
            <w:r>
              <w:rPr>
                <w:rFonts w:ascii="Arial" w:cs="Arial" w:eastAsia="Arial" w:hAnsi="Arial"/>
                <w:sz w:val="8"/>
                <w:szCs w:val="8"/>
                <w:b w:val="1"/>
                <w:bCs w:val="1"/>
                <w:color w:val="auto"/>
              </w:rPr>
              <w:t>REDEEMABLE</w:t>
            </w:r>
          </w:p>
        </w:tc>
        <w:tc>
          <w:tcPr>
            <w:tcW w:w="1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4"/>
          </w:tcPr>
          <w:p>
            <w:pPr>
              <w:spacing w:after="0" w:line="70" w:lineRule="exact"/>
              <w:rPr>
                <w:sz w:val="20"/>
                <w:szCs w:val="20"/>
                <w:color w:val="auto"/>
              </w:rPr>
            </w:pPr>
            <w:r>
              <w:rPr>
                <w:rFonts w:ascii="Arial" w:cs="Arial" w:eastAsia="Arial" w:hAnsi="Arial"/>
                <w:sz w:val="8"/>
                <w:szCs w:val="8"/>
                <w:b w:val="1"/>
                <w:bCs w:val="1"/>
                <w:color w:val="auto"/>
              </w:rPr>
              <w:t>ADDITIONAL</w:t>
            </w:r>
          </w:p>
        </w:tc>
        <w:tc>
          <w:tcPr>
            <w:tcW w:w="80" w:type="dxa"/>
            <w:vAlign w:val="bottom"/>
          </w:tcPr>
          <w:p>
            <w:pPr>
              <w:spacing w:after="0"/>
              <w:rPr>
                <w:sz w:val="6"/>
                <w:szCs w:val="6"/>
                <w:color w:val="auto"/>
              </w:rPr>
            </w:pPr>
          </w:p>
        </w:tc>
        <w:tc>
          <w:tcPr>
            <w:tcW w:w="780" w:type="dxa"/>
            <w:vAlign w:val="bottom"/>
            <w:gridSpan w:val="4"/>
          </w:tcPr>
          <w:p>
            <w:pPr>
              <w:jc w:val="center"/>
              <w:ind w:right="20"/>
              <w:spacing w:after="0" w:line="70" w:lineRule="exact"/>
              <w:rPr>
                <w:sz w:val="20"/>
                <w:szCs w:val="20"/>
                <w:color w:val="auto"/>
              </w:rPr>
            </w:pPr>
            <w:r>
              <w:rPr>
                <w:rFonts w:ascii="Arial" w:cs="Arial" w:eastAsia="Arial" w:hAnsi="Arial"/>
                <w:sz w:val="8"/>
                <w:szCs w:val="8"/>
                <w:b w:val="1"/>
                <w:bCs w:val="1"/>
                <w:color w:val="auto"/>
              </w:rPr>
              <w:t>OTHER</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gridSpan w:val="2"/>
          </w:tcPr>
          <w:p>
            <w:pPr>
              <w:jc w:val="right"/>
              <w:ind w:right="260"/>
              <w:spacing w:after="0" w:line="70" w:lineRule="exact"/>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rPr>
              <w:t>SERIES A</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w:t>
            </w:r>
          </w:p>
        </w:tc>
        <w:tc>
          <w:tcPr>
            <w:tcW w:w="640" w:type="dxa"/>
            <w:vAlign w:val="bottom"/>
            <w:tcBorders>
              <w:bottom w:val="single" w:sz="8" w:color="auto"/>
            </w:tcBorders>
            <w:gridSpan w:val="3"/>
          </w:tcPr>
          <w:p>
            <w:pPr>
              <w:ind w:left="100"/>
              <w:spacing w:after="0"/>
              <w:rPr>
                <w:sz w:val="20"/>
                <w:szCs w:val="20"/>
                <w:color w:val="auto"/>
              </w:rPr>
            </w:pPr>
            <w:r>
              <w:rPr>
                <w:rFonts w:ascii="Arial" w:cs="Arial" w:eastAsia="Arial" w:hAnsi="Arial"/>
                <w:sz w:val="9"/>
                <w:szCs w:val="9"/>
                <w:b w:val="1"/>
                <w:bCs w:val="1"/>
                <w:color w:val="auto"/>
              </w:rPr>
              <w:t>SERIES A+</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gridSpan w:val="2"/>
          </w:tcPr>
          <w:p>
            <w:pPr>
              <w:jc w:val="center"/>
              <w:ind w:right="37"/>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gridSpan w:val="3"/>
          </w:tcPr>
          <w:p>
            <w:pPr>
              <w:ind w:left="120"/>
              <w:spacing w:after="0"/>
              <w:rPr>
                <w:sz w:val="20"/>
                <w:szCs w:val="20"/>
                <w:color w:val="auto"/>
              </w:rPr>
            </w:pPr>
            <w:r>
              <w:rPr>
                <w:rFonts w:ascii="Arial" w:cs="Arial" w:eastAsia="Arial" w:hAnsi="Arial"/>
                <w:sz w:val="9"/>
                <w:szCs w:val="9"/>
                <w:b w:val="1"/>
                <w:bCs w:val="1"/>
                <w:color w:val="auto"/>
              </w:rPr>
              <w:t>SERIES B</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rPr>
              <w:t>SERIES B-1</w:t>
            </w:r>
          </w:p>
        </w:tc>
        <w:tc>
          <w:tcPr>
            <w:tcW w:w="120" w:type="dxa"/>
            <w:vAlign w:val="bottom"/>
            <w:tcBorders>
              <w:bottom w:val="single" w:sz="8" w:color="auto"/>
            </w:tcBorders>
          </w:tcPr>
          <w:p>
            <w:pPr>
              <w:spacing w:after="0"/>
              <w:rPr>
                <w:sz w:val="10"/>
                <w:szCs w:val="10"/>
                <w:color w:val="auto"/>
              </w:rPr>
            </w:pPr>
          </w:p>
        </w:tc>
        <w:tc>
          <w:tcPr>
            <w:tcW w:w="980" w:type="dxa"/>
            <w:vAlign w:val="bottom"/>
            <w:tcBorders>
              <w:right w:val="single" w:sz="8" w:color="auto"/>
            </w:tcBorders>
            <w:gridSpan w:val="7"/>
          </w:tcPr>
          <w:p>
            <w:pPr>
              <w:jc w:val="center"/>
              <w:ind w:right="8"/>
              <w:spacing w:after="0"/>
              <w:rPr>
                <w:sz w:val="20"/>
                <w:szCs w:val="20"/>
                <w:color w:val="auto"/>
              </w:rPr>
            </w:pPr>
            <w:r>
              <w:rPr>
                <w:rFonts w:ascii="Arial" w:cs="Arial" w:eastAsia="Arial" w:hAnsi="Arial"/>
                <w:sz w:val="9"/>
                <w:szCs w:val="9"/>
                <w:b w:val="1"/>
                <w:bCs w:val="1"/>
                <w:color w:val="auto"/>
              </w:rPr>
              <w:t>​NONCONTROLLING</w:t>
            </w:r>
          </w:p>
        </w:tc>
        <w:tc>
          <w:tcPr>
            <w:tcW w:w="4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w:t>
            </w:r>
          </w:p>
        </w:tc>
        <w:tc>
          <w:tcPr>
            <w:tcW w:w="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auto"/>
            </w:tcBorders>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9"/>
                <w:szCs w:val="9"/>
                <w:b w:val="1"/>
                <w:bCs w:val="1"/>
                <w:color w:val="auto"/>
              </w:rPr>
              <w:t>​</w:t>
            </w:r>
          </w:p>
        </w:tc>
        <w:tc>
          <w:tcPr>
            <w:tcW w:w="480" w:type="dxa"/>
            <w:vAlign w:val="bottom"/>
            <w:gridSpan w:val="3"/>
          </w:tcPr>
          <w:p>
            <w:pPr>
              <w:spacing w:after="0"/>
              <w:rPr>
                <w:sz w:val="20"/>
                <w:szCs w:val="20"/>
                <w:color w:val="auto"/>
              </w:rPr>
            </w:pPr>
            <w:r>
              <w:rPr>
                <w:rFonts w:ascii="Arial" w:cs="Arial" w:eastAsia="Arial" w:hAnsi="Arial"/>
                <w:sz w:val="9"/>
                <w:szCs w:val="9"/>
                <w:b w:val="1"/>
                <w:bCs w:val="1"/>
                <w:color w:val="auto"/>
              </w:rPr>
              <w:t>PAID-IN</w:t>
            </w:r>
          </w:p>
        </w:tc>
        <w:tc>
          <w:tcPr>
            <w:tcW w:w="2540" w:type="dxa"/>
            <w:vAlign w:val="bottom"/>
            <w:gridSpan w:val="15"/>
          </w:tcPr>
          <w:p>
            <w:pPr>
              <w:jc w:val="right"/>
              <w:spacing w:after="0"/>
              <w:rPr>
                <w:sz w:val="20"/>
                <w:szCs w:val="20"/>
                <w:color w:val="auto"/>
              </w:rPr>
            </w:pPr>
            <w:r>
              <w:rPr>
                <w:rFonts w:ascii="Arial" w:cs="Arial" w:eastAsia="Arial" w:hAnsi="Arial"/>
                <w:sz w:val="9"/>
                <w:szCs w:val="9"/>
                <w:b w:val="1"/>
                <w:bCs w:val="1"/>
                <w:color w:val="auto"/>
              </w:rPr>
              <w:t>COMPREHENSIVE ACCUMULATED SHAREHOLDERS’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20"/>
                <w:szCs w:val="20"/>
                <w:color w:val="auto"/>
              </w:rPr>
            </w:pPr>
            <w:r>
              <w:rPr>
                <w:rFonts w:ascii="Arial" w:cs="Arial" w:eastAsia="Arial" w:hAnsi="Arial"/>
                <w:sz w:val="9"/>
                <w:szCs w:val="9"/>
                <w:b w:val="1"/>
                <w:bCs w:val="1"/>
                <w:color w:val="auto"/>
              </w:rPr>
              <w:t>​</w:t>
            </w:r>
          </w:p>
        </w:tc>
        <w:tc>
          <w:tcPr>
            <w:tcW w:w="3420" w:type="dxa"/>
            <w:vAlign w:val="bottom"/>
            <w:tcBorders>
              <w:bottom w:val="single" w:sz="8" w:color="auto"/>
            </w:tcBorders>
            <w:gridSpan w:val="26"/>
          </w:tcPr>
          <w:p>
            <w:pPr>
              <w:jc w:val="center"/>
              <w:ind w:right="25"/>
              <w:spacing w:after="0"/>
              <w:rPr>
                <w:sz w:val="20"/>
                <w:szCs w:val="20"/>
                <w:color w:val="auto"/>
              </w:rPr>
            </w:pPr>
            <w:r>
              <w:rPr>
                <w:rFonts w:ascii="Arial" w:cs="Arial" w:eastAsia="Arial" w:hAnsi="Arial"/>
                <w:sz w:val="9"/>
                <w:szCs w:val="9"/>
                <w:b w:val="1"/>
                <w:bCs w:val="1"/>
                <w:color w:val="auto"/>
              </w:rPr>
              <w:t>​SHARES​AMOUNT​SHARES​AMOUNT​SHARES​AMOUNT​SHARES​AMOUNT​</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9"/>
                <w:szCs w:val="9"/>
                <w:b w:val="1"/>
                <w:bCs w:val="1"/>
                <w:color w:val="auto"/>
              </w:rPr>
              <w:t>INTEREST</w:t>
            </w:r>
          </w:p>
        </w:tc>
        <w:tc>
          <w:tcPr>
            <w:tcW w:w="12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gridSpan w:val="10"/>
          </w:tcPr>
          <w:p>
            <w:pPr>
              <w:spacing w:after="0" w:line="135" w:lineRule="exact"/>
              <w:rPr>
                <w:sz w:val="20"/>
                <w:szCs w:val="20"/>
                <w:color w:val="auto"/>
              </w:rPr>
            </w:pPr>
            <w:r>
              <w:rPr>
                <w:rFonts w:ascii="Arial" w:cs="Arial" w:eastAsia="Arial" w:hAnsi="Arial"/>
                <w:sz w:val="8"/>
                <w:szCs w:val="8"/>
                <w:b w:val="1"/>
                <w:bCs w:val="1"/>
                <w:color w:val="auto"/>
              </w:rPr>
              <w:t xml:space="preserve">​​SHARES​AMOUNT​  </w:t>
            </w:r>
            <w:r>
              <w:rPr>
                <w:rFonts w:ascii="Arial" w:cs="Arial" w:eastAsia="Arial" w:hAnsi="Arial"/>
                <w:sz w:val="15"/>
                <w:szCs w:val="15"/>
                <w:b w:val="1"/>
                <w:bCs w:val="1"/>
                <w:color w:val="auto"/>
                <w:vertAlign w:val="superscript"/>
              </w:rPr>
              <w:t>CAPITAL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rPr>
              <w:t>LOSS</w:t>
            </w:r>
          </w:p>
        </w:tc>
        <w:tc>
          <w:tcPr>
            <w:tcW w:w="2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rPr>
              <w:t>​</w:t>
            </w: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9"/>
                <w:szCs w:val="9"/>
                <w:b w:val="1"/>
                <w:bCs w:val="1"/>
                <w:color w:val="auto"/>
              </w:rPr>
              <w:t>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DEFICIT</w:t>
            </w: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06"/>
        </w:trPr>
        <w:tc>
          <w:tcPr>
            <w:tcW w:w="1620" w:type="dxa"/>
            <w:vAlign w:val="bottom"/>
          </w:tcPr>
          <w:p>
            <w:pPr>
              <w:spacing w:after="0" w:line="106" w:lineRule="exact"/>
              <w:rPr>
                <w:sz w:val="20"/>
                <w:szCs w:val="20"/>
                <w:color w:val="auto"/>
              </w:rPr>
            </w:pPr>
            <w:r>
              <w:rPr>
                <w:rFonts w:ascii="Arial" w:cs="Arial" w:eastAsia="Arial" w:hAnsi="Arial"/>
                <w:sz w:val="10"/>
                <w:szCs w:val="10"/>
                <w:b w:val="1"/>
                <w:bCs w:val="1"/>
                <w:color w:val="auto"/>
              </w:rPr>
              <w:t>Balance at December 31, 2019</w:t>
            </w:r>
          </w:p>
        </w:tc>
        <w:tc>
          <w:tcPr>
            <w:tcW w:w="80" w:type="dxa"/>
            <w:vAlign w:val="bottom"/>
            <w:gridSpan w:val="2"/>
          </w:tcPr>
          <w:p>
            <w:pPr>
              <w:ind w:left="20"/>
              <w:spacing w:after="0" w:line="106" w:lineRule="exact"/>
              <w:rPr>
                <w:sz w:val="20"/>
                <w:szCs w:val="20"/>
                <w:color w:val="auto"/>
              </w:rPr>
            </w:pPr>
            <w:r>
              <w:rPr>
                <w:rFonts w:ascii="Arial" w:cs="Arial" w:eastAsia="Arial" w:hAnsi="Arial"/>
                <w:sz w:val="10"/>
                <w:szCs w:val="10"/>
                <w:b w:val="1"/>
                <w:bCs w:val="1"/>
                <w:color w:val="auto"/>
              </w:rPr>
              <w:t>​</w:t>
            </w:r>
          </w:p>
        </w:tc>
        <w:tc>
          <w:tcPr>
            <w:tcW w:w="820" w:type="dxa"/>
            <w:vAlign w:val="bottom"/>
            <w:gridSpan w:val="7"/>
          </w:tcPr>
          <w:p>
            <w:pPr>
              <w:jc w:val="right"/>
              <w:spacing w:after="0" w:line="106" w:lineRule="exact"/>
              <w:rPr>
                <w:sz w:val="20"/>
                <w:szCs w:val="20"/>
                <w:color w:val="auto"/>
              </w:rPr>
            </w:pPr>
            <w:r>
              <w:rPr>
                <w:rFonts w:ascii="Arial" w:cs="Arial" w:eastAsia="Arial" w:hAnsi="Arial"/>
                <w:sz w:val="10"/>
                <w:szCs w:val="10"/>
                <w:color w:val="auto"/>
              </w:rPr>
              <w:t>19,200</w:t>
            </w:r>
            <w:r>
              <w:rPr>
                <w:rFonts w:ascii="Arial" w:cs="Arial" w:eastAsia="Arial" w:hAnsi="Arial"/>
                <w:sz w:val="10"/>
                <w:szCs w:val="10"/>
                <w:b w:val="1"/>
                <w:bCs w:val="1"/>
                <w:color w:val="auto"/>
              </w:rPr>
              <w:t>​</w:t>
            </w:r>
            <w:r>
              <w:rPr>
                <w:rFonts w:ascii="Arial" w:cs="Arial" w:eastAsia="Arial" w:hAnsi="Arial"/>
                <w:sz w:val="10"/>
                <w:szCs w:val="10"/>
                <w:color w:val="auto"/>
              </w:rPr>
              <w:t>$ 32,001</w:t>
            </w:r>
            <w:r>
              <w:rPr>
                <w:rFonts w:ascii="Arial" w:cs="Arial" w:eastAsia="Arial" w:hAnsi="Arial"/>
                <w:sz w:val="10"/>
                <w:szCs w:val="10"/>
                <w:b w:val="1"/>
                <w:bCs w:val="1"/>
                <w:color w:val="auto"/>
              </w:rPr>
              <w:t>​</w:t>
            </w:r>
          </w:p>
        </w:tc>
        <w:tc>
          <w:tcPr>
            <w:tcW w:w="640" w:type="dxa"/>
            <w:vAlign w:val="bottom"/>
            <w:gridSpan w:val="3"/>
          </w:tcPr>
          <w:p>
            <w:pPr>
              <w:ind w:left="240"/>
              <w:spacing w:after="0" w:line="106"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200" w:type="dxa"/>
            <w:vAlign w:val="bottom"/>
            <w:gridSpan w:val="3"/>
          </w:tcPr>
          <w:p>
            <w:pPr>
              <w:jc w:val="right"/>
              <w:ind w:right="17"/>
              <w:spacing w:after="0" w:line="106"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3"/>
          </w:tcPr>
          <w:p>
            <w:pPr>
              <w:ind w:left="240"/>
              <w:spacing w:after="0" w:line="106"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2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 ​​</w:t>
            </w:r>
          </w:p>
        </w:tc>
        <w:tc>
          <w:tcPr>
            <w:tcW w:w="240" w:type="dxa"/>
            <w:vAlign w:val="bottom"/>
          </w:tcPr>
          <w:p>
            <w:pPr>
              <w:ind w:left="40"/>
              <w:spacing w:after="0" w:line="106" w:lineRule="exact"/>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line="106" w:lineRule="exact"/>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 $</w:t>
            </w:r>
          </w:p>
        </w:tc>
        <w:tc>
          <w:tcPr>
            <w:tcW w:w="80" w:type="dxa"/>
            <w:vAlign w:val="bottom"/>
          </w:tcPr>
          <w:p>
            <w:pPr>
              <w:spacing w:after="0"/>
              <w:rPr>
                <w:sz w:val="9"/>
                <w:szCs w:val="9"/>
                <w:color w:val="auto"/>
              </w:rPr>
            </w:pPr>
          </w:p>
        </w:tc>
        <w:tc>
          <w:tcPr>
            <w:tcW w:w="4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line="106" w:lineRule="exact"/>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10,865​</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  1</w:t>
            </w:r>
          </w:p>
        </w:tc>
        <w:tc>
          <w:tcPr>
            <w:tcW w:w="200" w:type="dxa"/>
            <w:vAlign w:val="bottom"/>
            <w:gridSpan w:val="2"/>
          </w:tcPr>
          <w:p>
            <w:pPr>
              <w:ind w:left="6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 ​​</w:t>
            </w:r>
          </w:p>
        </w:tc>
        <w:tc>
          <w:tcPr>
            <w:tcW w:w="360" w:type="dxa"/>
            <w:vAlign w:val="bottom"/>
            <w:gridSpan w:val="2"/>
          </w:tcPr>
          <w:p>
            <w:pPr>
              <w:ind w:left="240"/>
              <w:spacing w:after="0" w:line="106" w:lineRule="exact"/>
              <w:rPr>
                <w:sz w:val="20"/>
                <w:szCs w:val="20"/>
                <w:color w:val="auto"/>
              </w:rPr>
            </w:pPr>
            <w:r>
              <w:rPr>
                <w:rFonts w:ascii="Arial" w:cs="Arial" w:eastAsia="Arial" w:hAnsi="Arial"/>
                <w:sz w:val="10"/>
                <w:szCs w:val="10"/>
                <w:color w:val="auto"/>
              </w:rPr>
              <w:t>​ $</w:t>
            </w:r>
          </w:p>
        </w:tc>
        <w:tc>
          <w:tcPr>
            <w:tcW w:w="42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220" w:type="dxa"/>
            <w:vAlign w:val="bottom"/>
            <w:gridSpan w:val="2"/>
          </w:tcPr>
          <w:p>
            <w:pPr>
              <w:ind w:left="20"/>
              <w:spacing w:after="0" w:line="106" w:lineRule="exact"/>
              <w:rPr>
                <w:sz w:val="20"/>
                <w:szCs w:val="20"/>
                <w:color w:val="auto"/>
              </w:rPr>
            </w:pPr>
            <w:r>
              <w:rPr>
                <w:rFonts w:ascii="Arial" w:cs="Arial" w:eastAsia="Arial" w:hAnsi="Arial"/>
                <w:sz w:val="10"/>
                <w:szCs w:val="10"/>
                <w:color w:val="auto"/>
              </w:rPr>
              <w:t>​ ​ ​$</w:t>
            </w:r>
          </w:p>
        </w:tc>
        <w:tc>
          <w:tcPr>
            <w:tcW w:w="40" w:type="dxa"/>
            <w:vAlign w:val="bottom"/>
          </w:tcPr>
          <w:p>
            <w:pPr>
              <w:spacing w:after="0"/>
              <w:rPr>
                <w:sz w:val="9"/>
                <w:szCs w:val="9"/>
                <w:color w:val="auto"/>
              </w:rPr>
            </w:pPr>
          </w:p>
        </w:tc>
        <w:tc>
          <w:tcPr>
            <w:tcW w:w="6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(7,070) ​​</w:t>
            </w:r>
          </w:p>
        </w:tc>
        <w:tc>
          <w:tcPr>
            <w:tcW w:w="140" w:type="dxa"/>
            <w:vAlign w:val="bottom"/>
          </w:tcPr>
          <w:p>
            <w:pPr>
              <w:ind w:left="40"/>
              <w:spacing w:after="0" w:line="106" w:lineRule="exact"/>
              <w:rPr>
                <w:sz w:val="20"/>
                <w:szCs w:val="20"/>
                <w:color w:val="auto"/>
              </w:rPr>
            </w:pPr>
            <w:r>
              <w:rPr>
                <w:rFonts w:ascii="Arial" w:cs="Arial" w:eastAsia="Arial" w:hAnsi="Arial"/>
                <w:sz w:val="10"/>
                <w:szCs w:val="10"/>
                <w:color w:val="auto"/>
                <w:w w:val="95"/>
              </w:rPr>
              <w:t>​ $</w:t>
            </w:r>
          </w:p>
        </w:tc>
        <w:tc>
          <w:tcPr>
            <w:tcW w:w="20" w:type="dxa"/>
            <w:vAlign w:val="bottom"/>
          </w:tcPr>
          <w:p>
            <w:pPr>
              <w:spacing w:after="0"/>
              <w:rPr>
                <w:sz w:val="9"/>
                <w:szCs w:val="9"/>
                <w:color w:val="auto"/>
              </w:rPr>
            </w:pPr>
          </w:p>
        </w:tc>
        <w:tc>
          <w:tcPr>
            <w:tcW w:w="60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(7,069)</w:t>
            </w:r>
          </w:p>
        </w:tc>
        <w:tc>
          <w:tcPr>
            <w:tcW w:w="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Issuance of Series A+ redeemable</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convertible preferred</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shares, net of issuance costs</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of $163</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840" w:type="dxa"/>
            <w:vAlign w:val="bottom"/>
            <w:gridSpan w:val="6"/>
          </w:tcPr>
          <w:p>
            <w:pPr>
              <w:jc w:val="right"/>
              <w:ind w:right="17"/>
              <w:spacing w:after="0"/>
              <w:rPr>
                <w:sz w:val="20"/>
                <w:szCs w:val="20"/>
                <w:color w:val="auto"/>
              </w:rPr>
            </w:pPr>
            <w:r>
              <w:rPr>
                <w:rFonts w:ascii="Arial" w:cs="Arial" w:eastAsia="Arial" w:hAnsi="Arial"/>
                <w:sz w:val="10"/>
                <w:szCs w:val="10"/>
                <w:color w:val="auto"/>
              </w:rPr>
              <w:t>12,800</w:t>
            </w:r>
            <w:r>
              <w:rPr>
                <w:rFonts w:ascii="Arial" w:cs="Arial" w:eastAsia="Arial" w:hAnsi="Arial"/>
                <w:sz w:val="10"/>
                <w:szCs w:val="10"/>
                <w:b w:val="1"/>
                <w:bCs w:val="1"/>
                <w:color w:val="auto"/>
              </w:rPr>
              <w:t>​</w:t>
            </w:r>
            <w:r>
              <w:rPr>
                <w:rFonts w:ascii="Arial" w:cs="Arial" w:eastAsia="Arial" w:hAnsi="Arial"/>
                <w:sz w:val="10"/>
                <w:szCs w:val="10"/>
                <w:color w:val="auto"/>
              </w:rPr>
              <w:t xml:space="preserve"> ​ 25,837</w:t>
            </w:r>
            <w:r>
              <w:rPr>
                <w:rFonts w:ascii="Arial" w:cs="Arial" w:eastAsia="Arial" w:hAnsi="Arial"/>
                <w:sz w:val="10"/>
                <w:szCs w:val="10"/>
                <w:b w:val="1"/>
                <w:bCs w:val="1"/>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Accretion of redeemable</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convertible preferred shares to</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their redemption value</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840" w:type="dxa"/>
            <w:vAlign w:val="bottom"/>
            <w:gridSpan w:val="6"/>
          </w:tcPr>
          <w:p>
            <w:pPr>
              <w:jc w:val="right"/>
              <w:ind w:right="1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   163</w:t>
            </w:r>
            <w:r>
              <w:rPr>
                <w:rFonts w:ascii="Arial" w:cs="Arial" w:eastAsia="Arial" w:hAnsi="Arial"/>
                <w:sz w:val="10"/>
                <w:szCs w:val="10"/>
                <w:b w:val="1"/>
                <w:bCs w:val="1"/>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(163)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(163)</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Issuance of ordinary share</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warrants</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70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70</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Share-based compensation</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expense</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570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570</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Unrealized loss on investments,</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net</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 (1)</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(15,876) ​​</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(15,876)</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vMerge w:val="restart"/>
          </w:tcPr>
          <w:p>
            <w:pPr>
              <w:jc w:val="center"/>
              <w:spacing w:after="0"/>
              <w:rPr>
                <w:sz w:val="20"/>
                <w:szCs w:val="20"/>
                <w:color w:val="auto"/>
              </w:rPr>
            </w:pPr>
            <w:r>
              <w:rPr>
                <w:rFonts w:ascii="Arial" w:cs="Arial" w:eastAsia="Arial" w:hAnsi="Arial"/>
                <w:sz w:val="10"/>
                <w:szCs w:val="10"/>
                <w:color w:val="auto"/>
              </w:rPr>
              <w:t>​</w:t>
            </w: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20" w:type="dxa"/>
            <w:vAlign w:val="bottom"/>
          </w:tcPr>
          <w:p>
            <w:pPr>
              <w:spacing w:after="0" w:line="106" w:lineRule="exact"/>
              <w:rPr>
                <w:sz w:val="20"/>
                <w:szCs w:val="20"/>
                <w:color w:val="auto"/>
              </w:rPr>
            </w:pPr>
            <w:r>
              <w:rPr>
                <w:rFonts w:ascii="Arial" w:cs="Arial" w:eastAsia="Arial" w:hAnsi="Arial"/>
                <w:sz w:val="10"/>
                <w:szCs w:val="10"/>
                <w:b w:val="1"/>
                <w:bCs w:val="1"/>
                <w:color w:val="auto"/>
              </w:rPr>
              <w:t>Balance at December 31, 2020</w:t>
            </w:r>
          </w:p>
        </w:tc>
        <w:tc>
          <w:tcPr>
            <w:tcW w:w="20" w:type="dxa"/>
            <w:vAlign w:val="bottom"/>
            <w:vMerge w:val="continue"/>
          </w:tcPr>
          <w:p>
            <w:pPr>
              <w:spacing w:after="0"/>
              <w:rPr>
                <w:sz w:val="11"/>
                <w:szCs w:val="11"/>
                <w:color w:val="auto"/>
              </w:rPr>
            </w:pPr>
          </w:p>
        </w:tc>
        <w:tc>
          <w:tcPr>
            <w:tcW w:w="40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vertAlign w:val="subscript"/>
              </w:rPr>
              <w:t>​</w:t>
            </w:r>
            <w:r>
              <w:rPr>
                <w:rFonts w:ascii="Arial" w:cs="Arial" w:eastAsia="Arial" w:hAnsi="Arial"/>
                <w:sz w:val="7"/>
                <w:szCs w:val="7"/>
                <w:color w:val="auto"/>
              </w:rPr>
              <w:t>​ 19,200</w:t>
            </w:r>
          </w:p>
        </w:tc>
        <w:tc>
          <w:tcPr>
            <w:tcW w:w="20" w:type="dxa"/>
            <w:vAlign w:val="bottom"/>
            <w:vMerge w:val="continue"/>
          </w:tcPr>
          <w:p>
            <w:pPr>
              <w:spacing w:after="0"/>
              <w:rPr>
                <w:sz w:val="11"/>
                <w:szCs w:val="11"/>
                <w:color w:val="auto"/>
              </w:rPr>
            </w:pPr>
          </w:p>
        </w:tc>
        <w:tc>
          <w:tcPr>
            <w:tcW w:w="40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vertAlign w:val="subscript"/>
              </w:rPr>
              <w:t>​</w:t>
            </w:r>
            <w:r>
              <w:rPr>
                <w:rFonts w:ascii="Arial" w:cs="Arial" w:eastAsia="Arial" w:hAnsi="Arial"/>
                <w:sz w:val="7"/>
                <w:szCs w:val="7"/>
                <w:color w:val="auto"/>
              </w:rPr>
              <w:t>$ 32,001</w:t>
            </w:r>
          </w:p>
        </w:tc>
        <w:tc>
          <w:tcPr>
            <w:tcW w:w="20" w:type="dxa"/>
            <w:vAlign w:val="bottom"/>
            <w:vMerge w:val="continue"/>
          </w:tcPr>
          <w:p>
            <w:pPr>
              <w:spacing w:after="0"/>
              <w:rPr>
                <w:sz w:val="11"/>
                <w:szCs w:val="11"/>
                <w:color w:val="auto"/>
              </w:rPr>
            </w:pPr>
          </w:p>
        </w:tc>
        <w:tc>
          <w:tcPr>
            <w:tcW w:w="38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vertAlign w:val="subscript"/>
              </w:rPr>
              <w:t>​</w:t>
            </w:r>
            <w:r>
              <w:rPr>
                <w:rFonts w:ascii="Arial" w:cs="Arial" w:eastAsia="Arial" w:hAnsi="Arial"/>
                <w:sz w:val="7"/>
                <w:szCs w:val="7"/>
                <w:color w:val="auto"/>
              </w:rPr>
              <w:t>​ 12,800</w:t>
            </w:r>
          </w:p>
        </w:tc>
        <w:tc>
          <w:tcPr>
            <w:tcW w:w="20" w:type="dxa"/>
            <w:vAlign w:val="bottom"/>
            <w:vMerge w:val="continue"/>
          </w:tcPr>
          <w:p>
            <w:pPr>
              <w:spacing w:after="0"/>
              <w:rPr>
                <w:sz w:val="11"/>
                <w:szCs w:val="11"/>
                <w:color w:val="auto"/>
              </w:rPr>
            </w:pPr>
          </w:p>
        </w:tc>
        <w:tc>
          <w:tcPr>
            <w:tcW w:w="42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vertAlign w:val="subscript"/>
              </w:rPr>
              <w:t>​</w:t>
            </w:r>
            <w:r>
              <w:rPr>
                <w:rFonts w:ascii="Arial" w:cs="Arial" w:eastAsia="Arial" w:hAnsi="Arial"/>
                <w:sz w:val="7"/>
                <w:szCs w:val="7"/>
                <w:color w:val="auto"/>
              </w:rPr>
              <w:t>$ 26,000</w:t>
            </w:r>
          </w:p>
        </w:tc>
        <w:tc>
          <w:tcPr>
            <w:tcW w:w="20" w:type="dxa"/>
            <w:vAlign w:val="bottom"/>
            <w:vMerge w:val="continue"/>
          </w:tcPr>
          <w:p>
            <w:pPr>
              <w:spacing w:after="0"/>
              <w:rPr>
                <w:sz w:val="11"/>
                <w:szCs w:val="11"/>
                <w:color w:val="auto"/>
              </w:rPr>
            </w:pPr>
          </w:p>
        </w:tc>
        <w:tc>
          <w:tcPr>
            <w:tcW w:w="40" w:type="dxa"/>
            <w:vAlign w:val="bottom"/>
          </w:tcPr>
          <w:p>
            <w:pPr>
              <w:jc w:val="right"/>
              <w:ind w:right="17"/>
              <w:spacing w:after="0"/>
              <w:rPr>
                <w:sz w:val="20"/>
                <w:szCs w:val="20"/>
                <w:color w:val="auto"/>
              </w:rPr>
            </w:pPr>
            <w:r>
              <w:rPr>
                <w:rFonts w:ascii="Arial" w:cs="Arial" w:eastAsia="Arial" w:hAnsi="Arial"/>
                <w:sz w:val="1"/>
                <w:szCs w:val="1"/>
                <w:b w:val="1"/>
                <w:bCs w:val="1"/>
                <w:color w:val="auto"/>
                <w:w w:val="4294965024"/>
              </w:rPr>
              <w:t>​</w:t>
            </w:r>
            <w:r>
              <w:rPr>
                <w:rFonts w:ascii="Arial" w:cs="Arial" w:eastAsia="Arial" w:hAnsi="Arial"/>
                <w:sz w:val="1"/>
                <w:szCs w:val="1"/>
                <w:color w:val="auto"/>
                <w:w w:val="4294965024"/>
                <w:vertAlign w:val="superscript"/>
              </w:rPr>
              <w:t>​</w:t>
            </w:r>
          </w:p>
        </w:tc>
        <w:tc>
          <w:tcPr>
            <w:tcW w:w="340" w:type="dxa"/>
            <w:vAlign w:val="bottom"/>
          </w:tcPr>
          <w:p>
            <w:pPr>
              <w:ind w:left="240"/>
              <w:spacing w:after="0" w:line="106" w:lineRule="exact"/>
              <w:rPr>
                <w:sz w:val="20"/>
                <w:szCs w:val="20"/>
                <w:color w:val="auto"/>
              </w:rPr>
            </w:pPr>
            <w:r>
              <w:rPr>
                <w:rFonts w:ascii="Arial" w:cs="Arial" w:eastAsia="Arial" w:hAnsi="Arial"/>
                <w:sz w:val="10"/>
                <w:szCs w:val="10"/>
                <w:color w:val="auto"/>
                <w:w w:val="79"/>
              </w:rPr>
              <w:t>—</w:t>
            </w:r>
          </w:p>
        </w:tc>
        <w:tc>
          <w:tcPr>
            <w:tcW w:w="20" w:type="dxa"/>
            <w:vAlign w:val="bottom"/>
            <w:vMerge w:val="continue"/>
          </w:tcPr>
          <w:p>
            <w:pPr>
              <w:spacing w:after="0"/>
              <w:rPr>
                <w:sz w:val="11"/>
                <w:szCs w:val="11"/>
                <w:color w:val="auto"/>
              </w:rPr>
            </w:pPr>
          </w:p>
        </w:tc>
        <w:tc>
          <w:tcPr>
            <w:tcW w:w="260" w:type="dxa"/>
            <w:vAlign w:val="bottom"/>
          </w:tcPr>
          <w:p>
            <w:pPr>
              <w:spacing w:after="0" w:line="106" w:lineRule="exact"/>
              <w:rPr>
                <w:sz w:val="20"/>
                <w:szCs w:val="20"/>
                <w:color w:val="auto"/>
              </w:rPr>
            </w:pPr>
            <w:r>
              <w:rPr>
                <w:rFonts w:ascii="Arial" w:cs="Arial" w:eastAsia="Arial" w:hAnsi="Arial"/>
                <w:sz w:val="7"/>
                <w:szCs w:val="7"/>
                <w:b w:val="1"/>
                <w:bCs w:val="1"/>
                <w:color w:val="auto"/>
              </w:rPr>
              <w:t>​</w:t>
            </w:r>
            <w:r>
              <w:rPr>
                <w:rFonts w:ascii="Arial" w:cs="Arial" w:eastAsia="Arial" w:hAnsi="Arial"/>
                <w:sz w:val="12"/>
                <w:szCs w:val="12"/>
                <w:color w:val="auto"/>
                <w:vertAlign w:val="superscript"/>
              </w:rPr>
              <w:t>$</w:t>
            </w:r>
          </w:p>
        </w:tc>
        <w:tc>
          <w:tcPr>
            <w:tcW w:w="240" w:type="dxa"/>
            <w:vAlign w:val="bottom"/>
            <w:gridSpan w:val="2"/>
          </w:tcPr>
          <w:p>
            <w:pPr>
              <w:jc w:val="right"/>
              <w:spacing w:after="0" w:line="106" w:lineRule="exact"/>
              <w:rPr>
                <w:sz w:val="20"/>
                <w:szCs w:val="20"/>
                <w:color w:val="auto"/>
              </w:rPr>
            </w:pPr>
            <w:r>
              <w:rPr>
                <w:rFonts w:ascii="Arial" w:cs="Arial" w:eastAsia="Arial" w:hAnsi="Arial"/>
                <w:sz w:val="12"/>
                <w:szCs w:val="12"/>
                <w:color w:val="auto"/>
                <w:vertAlign w:val="superscript"/>
              </w:rPr>
              <w:t>—</w:t>
            </w:r>
            <w:r>
              <w:rPr>
                <w:rFonts w:ascii="Arial" w:cs="Arial" w:eastAsia="Arial" w:hAnsi="Arial"/>
                <w:sz w:val="7"/>
                <w:szCs w:val="7"/>
                <w:color w:val="auto"/>
              </w:rPr>
              <w:t>​​</w:t>
            </w:r>
            <w:r>
              <w:rPr>
                <w:rFonts w:ascii="Arial" w:cs="Arial" w:eastAsia="Arial" w:hAnsi="Arial"/>
                <w:sz w:val="12"/>
                <w:szCs w:val="12"/>
                <w:color w:val="auto"/>
                <w:vertAlign w:val="superscript"/>
              </w:rPr>
              <w:t>​</w:t>
            </w:r>
          </w:p>
        </w:tc>
        <w:tc>
          <w:tcPr>
            <w:tcW w:w="280" w:type="dxa"/>
            <w:vAlign w:val="bottom"/>
          </w:tcPr>
          <w:p>
            <w:pPr>
              <w:ind w:left="180"/>
              <w:spacing w:after="0" w:line="106" w:lineRule="exact"/>
              <w:rPr>
                <w:sz w:val="20"/>
                <w:szCs w:val="20"/>
                <w:color w:val="auto"/>
              </w:rPr>
            </w:pPr>
            <w:r>
              <w:rPr>
                <w:rFonts w:ascii="Arial" w:cs="Arial" w:eastAsia="Arial" w:hAnsi="Arial"/>
                <w:sz w:val="10"/>
                <w:szCs w:val="10"/>
                <w:color w:val="auto"/>
                <w:w w:val="79"/>
              </w:rPr>
              <w:t>—</w:t>
            </w:r>
          </w:p>
        </w:tc>
        <w:tc>
          <w:tcPr>
            <w:tcW w:w="40" w:type="dxa"/>
            <w:vAlign w:val="bottom"/>
            <w:vMerge w:val="continue"/>
          </w:tcPr>
          <w:p>
            <w:pPr>
              <w:spacing w:after="0"/>
              <w:rPr>
                <w:sz w:val="11"/>
                <w:szCs w:val="11"/>
                <w:color w:val="auto"/>
              </w:rPr>
            </w:pPr>
          </w:p>
        </w:tc>
        <w:tc>
          <w:tcPr>
            <w:tcW w:w="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ind w:left="40"/>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ind w:left="20"/>
              <w:spacing w:after="0" w:line="106" w:lineRule="exact"/>
              <w:rPr>
                <w:sz w:val="20"/>
                <w:szCs w:val="20"/>
                <w:color w:val="auto"/>
              </w:rPr>
            </w:pPr>
            <w:r>
              <w:rPr>
                <w:rFonts w:ascii="Arial" w:cs="Arial" w:eastAsia="Arial" w:hAnsi="Arial"/>
                <w:sz w:val="10"/>
                <w:szCs w:val="10"/>
                <w:color w:val="auto"/>
                <w:w w:val="79"/>
              </w:rPr>
              <w:t>—</w:t>
            </w:r>
          </w:p>
        </w:tc>
        <w:tc>
          <w:tcPr>
            <w:tcW w:w="80" w:type="dxa"/>
            <w:vAlign w:val="bottom"/>
          </w:tcPr>
          <w:p>
            <w:pPr>
              <w:jc w:val="right"/>
              <w:ind w:right="45"/>
              <w:spacing w:after="0"/>
              <w:rPr>
                <w:sz w:val="20"/>
                <w:szCs w:val="20"/>
                <w:color w:val="auto"/>
              </w:rPr>
            </w:pPr>
            <w:r>
              <w:rPr>
                <w:rFonts w:ascii="Arial" w:cs="Arial" w:eastAsia="Arial" w:hAnsi="Arial"/>
                <w:sz w:val="1"/>
                <w:szCs w:val="1"/>
                <w:color w:val="auto"/>
                <w:w w:val="4294942296"/>
              </w:rPr>
              <w:t>​</w:t>
            </w:r>
          </w:p>
        </w:tc>
        <w:tc>
          <w:tcPr>
            <w:tcW w:w="140" w:type="dxa"/>
            <w:vAlign w:val="bottom"/>
          </w:tcPr>
          <w:p>
            <w:pPr>
              <w:ind w:left="1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20" w:type="dxa"/>
            <w:vAlign w:val="bottom"/>
            <w:tcBorders>
              <w:right w:val="single" w:sz="8" w:color="auto"/>
            </w:tcBorders>
          </w:tcPr>
          <w:p>
            <w:pPr>
              <w:ind w:left="40"/>
              <w:spacing w:after="0" w:line="106" w:lineRule="exact"/>
              <w:rPr>
                <w:sz w:val="20"/>
                <w:szCs w:val="20"/>
                <w:color w:val="auto"/>
              </w:rPr>
            </w:pPr>
            <w:r>
              <w:rPr>
                <w:rFonts w:ascii="Arial" w:cs="Arial" w:eastAsia="Arial" w:hAnsi="Arial"/>
                <w:sz w:val="10"/>
                <w:szCs w:val="10"/>
                <w:color w:val="auto"/>
              </w:rPr>
              <w:t>​</w:t>
            </w:r>
          </w:p>
        </w:tc>
        <w:tc>
          <w:tcPr>
            <w:tcW w:w="20" w:type="dxa"/>
            <w:vAlign w:val="bottom"/>
            <w:vMerge w:val="continue"/>
          </w:tcPr>
          <w:p>
            <w:pPr>
              <w:spacing w:after="0"/>
              <w:rPr>
                <w:sz w:val="11"/>
                <w:szCs w:val="11"/>
                <w:color w:val="auto"/>
              </w:rPr>
            </w:pPr>
          </w:p>
        </w:tc>
        <w:tc>
          <w:tcPr>
            <w:tcW w:w="36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vertAlign w:val="subscript"/>
              </w:rPr>
              <w:t>​</w:t>
            </w:r>
            <w:r>
              <w:rPr>
                <w:rFonts w:ascii="Arial" w:cs="Arial" w:eastAsia="Arial" w:hAnsi="Arial"/>
                <w:sz w:val="7"/>
                <w:szCs w:val="7"/>
                <w:color w:val="auto"/>
              </w:rPr>
              <w:t>​ 10,865</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7"/>
                <w:szCs w:val="7"/>
                <w:color w:val="auto"/>
              </w:rPr>
              <w:t>$  1</w:t>
            </w:r>
          </w:p>
        </w:tc>
        <w:tc>
          <w:tcPr>
            <w:tcW w:w="200" w:type="dxa"/>
            <w:vAlign w:val="bottom"/>
            <w:gridSpan w:val="2"/>
          </w:tcPr>
          <w:p>
            <w:pPr>
              <w:ind w:left="60"/>
              <w:spacing w:after="0" w:line="106" w:lineRule="exact"/>
              <w:rPr>
                <w:sz w:val="20"/>
                <w:szCs w:val="20"/>
                <w:color w:val="auto"/>
              </w:rPr>
            </w:pPr>
            <w:r>
              <w:rPr>
                <w:rFonts w:ascii="Arial" w:cs="Arial" w:eastAsia="Arial" w:hAnsi="Arial"/>
                <w:sz w:val="7"/>
                <w:szCs w:val="7"/>
                <w:color w:val="auto"/>
              </w:rPr>
              <w:t>​​​</w:t>
            </w:r>
            <w:r>
              <w:rPr>
                <w:rFonts w:ascii="Arial" w:cs="Arial" w:eastAsia="Arial" w:hAnsi="Arial"/>
                <w:sz w:val="12"/>
                <w:szCs w:val="12"/>
                <w:color w:val="auto"/>
                <w:vertAlign w:val="superscript"/>
              </w:rPr>
              <w:t>$</w:t>
            </w:r>
          </w:p>
        </w:tc>
        <w:tc>
          <w:tcPr>
            <w:tcW w:w="100" w:type="dxa"/>
            <w:vAlign w:val="bottom"/>
          </w:tcPr>
          <w:p>
            <w:pPr>
              <w:spacing w:after="0"/>
              <w:rPr>
                <w:sz w:val="11"/>
                <w:szCs w:val="11"/>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477</w:t>
            </w:r>
          </w:p>
        </w:tc>
        <w:tc>
          <w:tcPr>
            <w:tcW w:w="1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ind w:left="2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40"/>
              <w:spacing w:after="0" w:line="106" w:lineRule="exact"/>
              <w:rPr>
                <w:sz w:val="20"/>
                <w:szCs w:val="20"/>
                <w:color w:val="auto"/>
              </w:rPr>
            </w:pPr>
            <w:r>
              <w:rPr>
                <w:rFonts w:ascii="Arial" w:cs="Arial" w:eastAsia="Arial" w:hAnsi="Arial"/>
                <w:sz w:val="10"/>
                <w:szCs w:val="10"/>
                <w:color w:val="auto"/>
              </w:rPr>
              <w:t>(1)</w:t>
            </w:r>
          </w:p>
        </w:tc>
        <w:tc>
          <w:tcPr>
            <w:tcW w:w="220" w:type="dxa"/>
            <w:vAlign w:val="bottom"/>
            <w:gridSpan w:val="2"/>
          </w:tcPr>
          <w:p>
            <w:pPr>
              <w:ind w:left="20"/>
              <w:spacing w:after="0" w:line="106" w:lineRule="exact"/>
              <w:rPr>
                <w:sz w:val="20"/>
                <w:szCs w:val="20"/>
                <w:color w:val="auto"/>
              </w:rPr>
            </w:pPr>
            <w:r>
              <w:rPr>
                <w:rFonts w:ascii="Arial" w:cs="Arial" w:eastAsia="Arial" w:hAnsi="Arial"/>
                <w:sz w:val="7"/>
                <w:szCs w:val="7"/>
                <w:color w:val="auto"/>
              </w:rPr>
              <w:t>​ ​ ​</w:t>
            </w:r>
            <w:r>
              <w:rPr>
                <w:rFonts w:ascii="Arial" w:cs="Arial" w:eastAsia="Arial" w:hAnsi="Arial"/>
                <w:sz w:val="12"/>
                <w:szCs w:val="12"/>
                <w:color w:val="auto"/>
                <w:vertAlign w:val="superscript"/>
              </w:rPr>
              <w:t>$</w:t>
            </w:r>
          </w:p>
        </w:tc>
        <w:tc>
          <w:tcPr>
            <w:tcW w:w="40" w:type="dxa"/>
            <w:vAlign w:val="bottom"/>
          </w:tcPr>
          <w:p>
            <w:pPr>
              <w:spacing w:after="0"/>
              <w:rPr>
                <w:sz w:val="11"/>
                <w:szCs w:val="11"/>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(22,946)</w:t>
            </w:r>
          </w:p>
        </w:tc>
        <w:tc>
          <w:tcPr>
            <w:tcW w:w="1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ind w:left="40"/>
              <w:spacing w:after="0" w:line="106" w:lineRule="exact"/>
              <w:rPr>
                <w:sz w:val="20"/>
                <w:szCs w:val="20"/>
                <w:color w:val="auto"/>
              </w:rPr>
            </w:pPr>
            <w:r>
              <w:rPr>
                <w:rFonts w:ascii="Arial" w:cs="Arial" w:eastAsia="Arial" w:hAnsi="Arial"/>
                <w:sz w:val="7"/>
                <w:szCs w:val="7"/>
                <w:color w:val="auto"/>
              </w:rPr>
              <w:t xml:space="preserve">​ </w:t>
            </w:r>
            <w:r>
              <w:rPr>
                <w:rFonts w:ascii="Arial" w:cs="Arial" w:eastAsia="Arial" w:hAnsi="Arial"/>
                <w:sz w:val="12"/>
                <w:szCs w:val="12"/>
                <w:color w:val="auto"/>
                <w:vertAlign w:val="superscript"/>
              </w:rPr>
              <w:t>$</w:t>
            </w:r>
          </w:p>
        </w:tc>
        <w:tc>
          <w:tcPr>
            <w:tcW w:w="20" w:type="dxa"/>
            <w:vAlign w:val="bottom"/>
          </w:tcPr>
          <w:p>
            <w:pPr>
              <w:spacing w:after="0"/>
              <w:rPr>
                <w:sz w:val="11"/>
                <w:szCs w:val="11"/>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(22,469)</w:t>
            </w:r>
          </w:p>
        </w:tc>
        <w:tc>
          <w:tcPr>
            <w:tcW w:w="100" w:type="dxa"/>
            <w:vAlign w:val="bottom"/>
          </w:tcPr>
          <w:p>
            <w:pPr>
              <w:spacing w:after="0"/>
              <w:rPr>
                <w:sz w:val="11"/>
                <w:szCs w:val="11"/>
                <w:color w:val="auto"/>
              </w:rPr>
            </w:pPr>
          </w:p>
        </w:tc>
        <w:tc>
          <w:tcPr>
            <w:tcW w:w="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1640" w:type="dxa"/>
            <w:vAlign w:val="bottom"/>
            <w:gridSpan w:val="2"/>
          </w:tcPr>
          <w:p>
            <w:pPr>
              <w:spacing w:after="0"/>
              <w:rPr>
                <w:sz w:val="20"/>
                <w:szCs w:val="20"/>
                <w:color w:val="auto"/>
              </w:rPr>
            </w:pPr>
            <w:r>
              <w:rPr>
                <w:rFonts w:ascii="Arial" w:cs="Arial" w:eastAsia="Arial" w:hAnsi="Arial"/>
                <w:sz w:val="10"/>
                <w:szCs w:val="10"/>
                <w:color w:val="auto"/>
              </w:rPr>
              <w:t>Issuance of Series B redeemable</w:t>
            </w:r>
          </w:p>
        </w:tc>
        <w:tc>
          <w:tcPr>
            <w:tcW w:w="40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gridSpan w:val="3"/>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gridSpan w:val="3"/>
          </w:tcPr>
          <w:p>
            <w:pPr>
              <w:spacing w:after="0"/>
              <w:rPr>
                <w:sz w:val="11"/>
                <w:szCs w:val="11"/>
                <w:color w:val="auto"/>
              </w:rPr>
            </w:pPr>
          </w:p>
        </w:tc>
        <w:tc>
          <w:tcPr>
            <w:tcW w:w="220" w:type="dxa"/>
            <w:vAlign w:val="bottom"/>
            <w:gridSpan w:val="2"/>
          </w:tcPr>
          <w:p>
            <w:pPr>
              <w:spacing w:after="0"/>
              <w:rPr>
                <w:sz w:val="11"/>
                <w:szCs w:val="11"/>
                <w:color w:val="auto"/>
              </w:rPr>
            </w:pPr>
          </w:p>
        </w:tc>
        <w:tc>
          <w:tcPr>
            <w:tcW w:w="500" w:type="dxa"/>
            <w:vAlign w:val="bottom"/>
            <w:tcBorders>
              <w:top w:val="single" w:sz="8" w:color="auto"/>
            </w:tcBorders>
            <w:gridSpan w:val="3"/>
          </w:tcPr>
          <w:p>
            <w:pPr>
              <w:spacing w:after="0"/>
              <w:rPr>
                <w:sz w:val="11"/>
                <w:szCs w:val="11"/>
                <w:color w:val="auto"/>
              </w:rPr>
            </w:pPr>
          </w:p>
        </w:tc>
        <w:tc>
          <w:tcPr>
            <w:tcW w:w="260" w:type="dxa"/>
            <w:vAlign w:val="bottom"/>
            <w:tcBorders>
              <w:right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gridSpan w:val="3"/>
          </w:tcPr>
          <w:p>
            <w:pPr>
              <w:spacing w:after="0"/>
              <w:rPr>
                <w:sz w:val="11"/>
                <w:szCs w:val="11"/>
                <w:color w:val="auto"/>
              </w:rPr>
            </w:pPr>
          </w:p>
        </w:tc>
        <w:tc>
          <w:tcPr>
            <w:tcW w:w="400" w:type="dxa"/>
            <w:vAlign w:val="bottom"/>
            <w:gridSpan w:val="3"/>
          </w:tcPr>
          <w:p>
            <w:pPr>
              <w:spacing w:after="0"/>
              <w:rPr>
                <w:sz w:val="11"/>
                <w:szCs w:val="11"/>
                <w:color w:val="auto"/>
              </w:rPr>
            </w:pPr>
          </w:p>
        </w:tc>
        <w:tc>
          <w:tcPr>
            <w:tcW w:w="220" w:type="dxa"/>
            <w:vAlign w:val="bottom"/>
            <w:tcBorders>
              <w:top w:val="single" w:sz="8" w:color="auto"/>
            </w:tcBorders>
            <w:gridSpan w:val="2"/>
          </w:tcPr>
          <w:p>
            <w:pPr>
              <w:spacing w:after="0"/>
              <w:rPr>
                <w:sz w:val="11"/>
                <w:szCs w:val="11"/>
                <w:color w:val="auto"/>
              </w:rPr>
            </w:pPr>
          </w:p>
        </w:tc>
        <w:tc>
          <w:tcPr>
            <w:tcW w:w="420" w:type="dxa"/>
            <w:vAlign w:val="bottom"/>
            <w:gridSpan w:val="2"/>
          </w:tcPr>
          <w:p>
            <w:pPr>
              <w:spacing w:after="0"/>
              <w:rPr>
                <w:sz w:val="11"/>
                <w:szCs w:val="11"/>
                <w:color w:val="auto"/>
              </w:rPr>
            </w:pPr>
          </w:p>
        </w:tc>
        <w:tc>
          <w:tcPr>
            <w:tcW w:w="600" w:type="dxa"/>
            <w:vAlign w:val="bottom"/>
            <w:tcBorders>
              <w:top w:val="single" w:sz="8" w:color="auto"/>
            </w:tcBorders>
            <w:gridSpan w:val="3"/>
          </w:tcPr>
          <w:p>
            <w:pPr>
              <w:spacing w:after="0"/>
              <w:rPr>
                <w:sz w:val="11"/>
                <w:szCs w:val="11"/>
                <w:color w:val="auto"/>
              </w:rPr>
            </w:pPr>
          </w:p>
        </w:tc>
        <w:tc>
          <w:tcPr>
            <w:tcW w:w="180" w:type="dxa"/>
            <w:vAlign w:val="bottom"/>
            <w:gridSpan w:val="2"/>
          </w:tcPr>
          <w:p>
            <w:pPr>
              <w:spacing w:after="0"/>
              <w:rPr>
                <w:sz w:val="11"/>
                <w:szCs w:val="11"/>
                <w:color w:val="auto"/>
              </w:rPr>
            </w:pPr>
          </w:p>
        </w:tc>
        <w:tc>
          <w:tcPr>
            <w:tcW w:w="660" w:type="dxa"/>
            <w:vAlign w:val="bottom"/>
            <w:tcBorders>
              <w:top w:val="single" w:sz="8" w:color="auto"/>
            </w:tcBorders>
            <w:gridSpan w:val="3"/>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convertible preferred shares,</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net of issuance costs</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of  $3,551</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gridSpan w:val="4"/>
          </w:tcPr>
          <w:p>
            <w:pPr>
              <w:jc w:val="right"/>
              <w:ind w:right="1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860" w:type="dxa"/>
            <w:vAlign w:val="bottom"/>
            <w:gridSpan w:val="5"/>
          </w:tcPr>
          <w:p>
            <w:pPr>
              <w:jc w:val="right"/>
              <w:spacing w:after="0"/>
              <w:rPr>
                <w:sz w:val="20"/>
                <w:szCs w:val="20"/>
                <w:color w:val="auto"/>
              </w:rPr>
            </w:pPr>
            <w:r>
              <w:rPr>
                <w:rFonts w:ascii="Arial" w:cs="Arial" w:eastAsia="Arial" w:hAnsi="Arial"/>
                <w:sz w:val="10"/>
                <w:szCs w:val="10"/>
                <w:color w:val="auto"/>
              </w:rPr>
              <w:t>24,702</w:t>
            </w:r>
            <w:r>
              <w:rPr>
                <w:rFonts w:ascii="Arial" w:cs="Arial" w:eastAsia="Arial" w:hAnsi="Arial"/>
                <w:sz w:val="10"/>
                <w:szCs w:val="10"/>
                <w:b w:val="1"/>
                <w:bCs w:val="1"/>
                <w:color w:val="auto"/>
              </w:rPr>
              <w:t>​</w:t>
            </w:r>
            <w:r>
              <w:rPr>
                <w:rFonts w:ascii="Arial" w:cs="Arial" w:eastAsia="Arial" w:hAnsi="Arial"/>
                <w:sz w:val="10"/>
                <w:szCs w:val="10"/>
                <w:color w:val="auto"/>
              </w:rPr>
              <w:t xml:space="preserve"> ​ 96,449​​​</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Accretion of Series B redeemable</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convertible preferred shares to</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their redemption value</w:t>
            </w: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38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rPr>
              <w:t>​</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860" w:type="dxa"/>
            <w:vAlign w:val="bottom"/>
            <w:gridSpan w:val="5"/>
          </w:tcPr>
          <w:p>
            <w:pPr>
              <w:jc w:val="right"/>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  3,551​​​</w:t>
            </w:r>
          </w:p>
        </w:tc>
        <w:tc>
          <w:tcPr>
            <w:tcW w:w="380" w:type="dxa"/>
            <w:vAlign w:val="bottom"/>
            <w:gridSpan w:val="3"/>
          </w:tcPr>
          <w:p>
            <w:pPr>
              <w:jc w:val="right"/>
              <w:spacing w:after="0"/>
              <w:rPr>
                <w:sz w:val="20"/>
                <w:szCs w:val="20"/>
                <w:color w:val="auto"/>
              </w:rPr>
            </w:pPr>
            <w:r>
              <w:rPr>
                <w:rFonts w:ascii="Arial" w:cs="Arial" w:eastAsia="Arial" w:hAnsi="Arial"/>
                <w:sz w:val="10"/>
                <w:szCs w:val="10"/>
                <w:color w:val="auto"/>
              </w:rPr>
              <w:t>— ​​</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jc w:val="right"/>
              <w:ind w:right="45"/>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 ​—</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(1,038) ​​</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(2,513) ​​</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(3,551)</w:t>
            </w: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5940" w:type="dxa"/>
            <w:vAlign w:val="bottom"/>
            <w:tcBorders>
              <w:right w:val="single" w:sz="8" w:color="auto"/>
            </w:tcBorders>
            <w:gridSpan w:val="33"/>
          </w:tcPr>
          <w:p>
            <w:pPr>
              <w:spacing w:after="0"/>
              <w:rPr>
                <w:sz w:val="20"/>
                <w:szCs w:val="20"/>
                <w:color w:val="auto"/>
              </w:rPr>
            </w:pPr>
            <w:r>
              <w:rPr>
                <w:rFonts w:ascii="Arial" w:cs="Arial" w:eastAsia="Arial" w:hAnsi="Arial"/>
                <w:sz w:val="10"/>
                <w:szCs w:val="10"/>
                <w:color w:val="auto"/>
              </w:rPr>
              <w:t>Issuance of Series Seed</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redeemable convertible preferred</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shares of Basecamp to</w:t>
            </w:r>
          </w:p>
        </w:tc>
        <w:tc>
          <w:tcPr>
            <w:tcW w:w="4020" w:type="dxa"/>
            <w:vAlign w:val="bottom"/>
            <w:gridSpan w:val="26"/>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noncontrolling interest holders,</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940" w:type="dxa"/>
            <w:vAlign w:val="bottom"/>
            <w:tcBorders>
              <w:right w:val="single" w:sz="8" w:color="auto"/>
            </w:tcBorders>
            <w:gridSpan w:val="33"/>
          </w:tcPr>
          <w:p>
            <w:pPr>
              <w:ind w:left="120"/>
              <w:spacing w:after="0"/>
              <w:rPr>
                <w:sz w:val="20"/>
                <w:szCs w:val="20"/>
                <w:color w:val="auto"/>
              </w:rPr>
            </w:pPr>
            <w:r>
              <w:rPr>
                <w:rFonts w:ascii="Arial" w:cs="Arial" w:eastAsia="Arial" w:hAnsi="Arial"/>
                <w:sz w:val="10"/>
                <w:szCs w:val="10"/>
                <w:color w:val="auto"/>
              </w:rPr>
              <w:t>net of</w:t>
            </w:r>
          </w:p>
        </w:tc>
        <w:tc>
          <w:tcPr>
            <w:tcW w:w="402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120"/>
              <w:spacing w:after="0"/>
              <w:rPr>
                <w:sz w:val="20"/>
                <w:szCs w:val="20"/>
                <w:color w:val="auto"/>
              </w:rPr>
            </w:pPr>
            <w:r>
              <w:rPr>
                <w:rFonts w:ascii="Arial" w:cs="Arial" w:eastAsia="Arial" w:hAnsi="Arial"/>
                <w:sz w:val="10"/>
                <w:szCs w:val="10"/>
                <w:color w:val="auto"/>
              </w:rPr>
              <w:t>issuance costs of  $91</w:t>
            </w:r>
          </w:p>
        </w:tc>
        <w:tc>
          <w:tcPr>
            <w:tcW w:w="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rPr>
              <w:t>​</w:t>
            </w:r>
          </w:p>
        </w:tc>
        <w:tc>
          <w:tcPr>
            <w:tcW w:w="380" w:type="dxa"/>
            <w:vAlign w:val="bottom"/>
            <w:gridSpan w:val="3"/>
          </w:tcPr>
          <w:p>
            <w:pPr>
              <w:ind w:left="24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rPr>
              <w:t>​</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3"/>
          </w:tcPr>
          <w:p>
            <w:pPr>
              <w:ind w:left="240"/>
              <w:spacing w:after="0"/>
              <w:rPr>
                <w:sz w:val="20"/>
                <w:szCs w:val="20"/>
                <w:color w:val="auto"/>
              </w:rPr>
            </w:pPr>
            <w:r>
              <w:rPr>
                <w:rFonts w:ascii="Arial" w:cs="Arial" w:eastAsia="Arial" w:hAnsi="Arial"/>
                <w:sz w:val="10"/>
                <w:szCs w:val="10"/>
                <w:color w:val="auto"/>
              </w:rPr>
              <w:t>— ​</w:t>
            </w:r>
          </w:p>
        </w:tc>
        <w:tc>
          <w:tcPr>
            <w:tcW w:w="200" w:type="dxa"/>
            <w:vAlign w:val="bottom"/>
            <w:gridSpan w:val="3"/>
          </w:tcPr>
          <w:p>
            <w:pPr>
              <w:jc w:val="right"/>
              <w:ind w:right="17"/>
              <w:spacing w:after="0"/>
              <w:rPr>
                <w:sz w:val="20"/>
                <w:szCs w:val="20"/>
                <w:color w:val="auto"/>
              </w:rPr>
            </w:pPr>
            <w:r>
              <w:rPr>
                <w:rFonts w:ascii="Arial" w:cs="Arial" w:eastAsia="Arial" w:hAnsi="Arial"/>
                <w:sz w:val="10"/>
                <w:szCs w:val="10"/>
                <w:color w:val="auto"/>
              </w:rPr>
              <w:t>—​</w:t>
            </w:r>
          </w:p>
        </w:tc>
        <w:tc>
          <w:tcPr>
            <w:tcW w:w="620" w:type="dxa"/>
            <w:vAlign w:val="bottom"/>
            <w:gridSpan w:val="3"/>
          </w:tcPr>
          <w:p>
            <w:pPr>
              <w:ind w:left="240"/>
              <w:spacing w:after="0"/>
              <w:rPr>
                <w:sz w:val="20"/>
                <w:szCs w:val="20"/>
                <w:color w:val="auto"/>
              </w:rPr>
            </w:pPr>
            <w:r>
              <w:rPr>
                <w:rFonts w:ascii="Arial" w:cs="Arial" w:eastAsia="Arial" w:hAnsi="Arial"/>
                <w:sz w:val="10"/>
                <w:szCs w:val="10"/>
                <w:color w:val="auto"/>
              </w:rPr>
              <w:t>— ​</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38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40" w:type="dxa"/>
            <w:vAlign w:val="bottom"/>
          </w:tcPr>
          <w:p>
            <w:pPr>
              <w:ind w:left="80"/>
              <w:spacing w:after="0"/>
              <w:rPr>
                <w:sz w:val="20"/>
                <w:szCs w:val="20"/>
                <w:color w:val="auto"/>
              </w:rPr>
            </w:pPr>
            <w:r>
              <w:rPr>
                <w:rFonts w:ascii="Arial" w:cs="Arial" w:eastAsia="Arial" w:hAnsi="Arial"/>
                <w:sz w:val="10"/>
                <w:szCs w:val="10"/>
                <w:color w:val="auto"/>
              </w:rPr>
              <w:t>​</w:t>
            </w:r>
          </w:p>
        </w:tc>
        <w:tc>
          <w:tcPr>
            <w:tcW w:w="20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6,909</w:t>
            </w: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0"/>
                <w:szCs w:val="10"/>
                <w:color w:val="auto"/>
                <w:w w:val="93"/>
              </w:rPr>
              <w:t>​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tcPr>
          <w:p>
            <w:pPr>
              <w:spacing w:after="0"/>
              <w:rPr>
                <w:sz w:val="11"/>
                <w:szCs w:val="11"/>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11"/>
                <w:szCs w:val="11"/>
                <w:color w:val="auto"/>
              </w:rPr>
            </w:pPr>
          </w:p>
        </w:tc>
        <w:tc>
          <w:tcPr>
            <w:tcW w:w="4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11"/>
                <w:szCs w:val="11"/>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0" w:type="dxa"/>
            <w:vAlign w:val="bottom"/>
            <w:gridSpan w:val="2"/>
          </w:tcPr>
          <w:p>
            <w:pPr>
              <w:jc w:val="right"/>
              <w:ind w:right="37"/>
              <w:spacing w:after="0"/>
              <w:rPr>
                <w:sz w:val="20"/>
                <w:szCs w:val="20"/>
                <w:color w:val="auto"/>
              </w:rPr>
            </w:pPr>
            <w:r>
              <w:rPr>
                <w:rFonts w:ascii="Arial" w:cs="Arial" w:eastAsia="Arial" w:hAnsi="Arial"/>
                <w:sz w:val="1"/>
                <w:szCs w:val="1"/>
                <w:b w:val="1"/>
                <w:bCs w:val="1"/>
                <w:color w:val="auto"/>
                <w:w w:val="4294942296"/>
              </w:rPr>
              <w:t>​</w:t>
            </w:r>
          </w:p>
        </w:tc>
        <w:tc>
          <w:tcPr>
            <w:tcW w:w="340" w:type="dxa"/>
            <w:vAlign w:val="bottom"/>
          </w:tcPr>
          <w:p>
            <w:pPr>
              <w:spacing w:after="0"/>
              <w:rPr>
                <w:sz w:val="11"/>
                <w:szCs w:val="11"/>
                <w:color w:val="auto"/>
              </w:rPr>
            </w:pPr>
          </w:p>
        </w:tc>
        <w:tc>
          <w:tcPr>
            <w:tcW w:w="28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ind w:right="45"/>
              <w:spacing w:after="0"/>
              <w:rPr>
                <w:sz w:val="20"/>
                <w:szCs w:val="20"/>
                <w:color w:val="auto"/>
              </w:rPr>
            </w:pPr>
            <w:r>
              <w:rPr>
                <w:rFonts w:ascii="Arial" w:cs="Arial" w:eastAsia="Arial" w:hAnsi="Arial"/>
                <w:sz w:val="1"/>
                <w:szCs w:val="1"/>
                <w:color w:val="auto"/>
                <w:w w:val="4294942296"/>
              </w:rPr>
              <w:t>​</w:t>
            </w:r>
          </w:p>
        </w:tc>
        <w:tc>
          <w:tcPr>
            <w:tcW w:w="2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40" w:type="dxa"/>
            <w:vAlign w:val="bottom"/>
            <w:gridSpan w:val="2"/>
          </w:tcPr>
          <w:p>
            <w:pPr>
              <w:jc w:val="right"/>
              <w:spacing w:after="0"/>
              <w:rPr>
                <w:sz w:val="20"/>
                <w:szCs w:val="20"/>
                <w:color w:val="auto"/>
              </w:rPr>
            </w:pPr>
            <w:r>
              <w:rPr>
                <w:rFonts w:ascii="Arial" w:cs="Arial" w:eastAsia="Arial" w:hAnsi="Arial"/>
                <w:sz w:val="1"/>
                <w:szCs w:val="1"/>
                <w:b w:val="1"/>
                <w:bCs w:val="1"/>
                <w:color w:val="auto"/>
                <w:w w:val="4294942296"/>
              </w:rPr>
              <w:t>​</w:t>
            </w:r>
          </w:p>
        </w:tc>
        <w:tc>
          <w:tcPr>
            <w:tcW w:w="3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rPr>
              <w:t>​</w:t>
            </w:r>
          </w:p>
        </w:tc>
        <w:tc>
          <w:tcPr>
            <w:tcW w:w="20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 ​ ​</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220" w:type="dxa"/>
            <w:vAlign w:val="bottom"/>
            <w:tcBorders>
              <w:right w:val="single" w:sz="8" w:color="auto"/>
            </w:tcBorders>
            <w:gridSpan w:val="21"/>
            <w:shd w:val="clear" w:color="auto" w:fill="000000"/>
          </w:tcPr>
          <w:p>
            <w:pPr>
              <w:spacing w:after="0" w:line="20" w:lineRule="exact"/>
              <w:rPr>
                <w:sz w:val="1"/>
                <w:szCs w:val="1"/>
                <w:color w:val="auto"/>
              </w:rPr>
            </w:pPr>
          </w:p>
        </w:tc>
        <w:tc>
          <w:tcPr>
            <w:tcW w:w="1720" w:type="dxa"/>
            <w:vAlign w:val="bottom"/>
            <w:tcBorders>
              <w:right w:val="single" w:sz="8" w:color="auto"/>
            </w:tcBorders>
            <w:gridSpan w:val="1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gridSpan w:val="15"/>
            <w:shd w:val="clear" w:color="auto" w:fill="000000"/>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-2092960</wp:posOffset>
            </wp:positionV>
            <wp:extent cx="6305550" cy="2457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305550" cy="24574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-1681480</wp:posOffset>
            </wp:positionV>
            <wp:extent cx="6305550" cy="165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305550" cy="16573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-1350010</wp:posOffset>
            </wp:positionV>
            <wp:extent cx="6305550" cy="13442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305550" cy="134429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-2504440</wp:posOffset>
            </wp:positionV>
            <wp:extent cx="6305550" cy="800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305550" cy="8001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637413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374130" cy="37465"/>
                    </a:xfrm>
                    <a:prstGeom prst="rect">
                      <a:avLst/>
                    </a:prstGeom>
                    <a:noFill/>
                  </pic:spPr>
                </pic:pic>
              </a:graphicData>
            </a:graphic>
          </wp:anchor>
        </w:drawing>
      </w:r>
    </w:p>
    <w:p>
      <w:pPr>
        <w:sectPr>
          <w:pgSz w:w="11900" w:h="16838" w:orient="portrait"/>
          <w:cols w:equalWidth="0" w:num="1">
            <w:col w:w="10560"/>
          </w:cols>
          <w:pgMar w:left="940" w:top="109" w:right="399" w:bottom="1440" w:gutter="0" w:footer="0" w:header="0"/>
        </w:sectPr>
      </w:pPr>
    </w:p>
    <w:bookmarkStart w:id="254" w:name="page255"/>
    <w:bookmarkEnd w:id="254"/>
    <w:p>
      <w:pPr>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CONSOLIDATED STATEMENTS OF REDEEMABLE CONVERTIBLE PREFERRED SHARES, REDEEMABLE NONCONTROLLING</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auto"/>
        </w:rPr>
        <w:t>INTEREST AND SHAREHOLDERS’ DEFICIT</w:t>
      </w:r>
    </w:p>
    <w:p>
      <w:pPr>
        <w:spacing w:after="0" w:line="5" w:lineRule="exact"/>
        <w:rPr>
          <w:sz w:val="20"/>
          <w:szCs w:val="20"/>
          <w:color w:val="auto"/>
        </w:rPr>
      </w:pPr>
    </w:p>
    <w:p>
      <w:pPr>
        <w:jc w:val="center"/>
        <w:ind w:right="740"/>
        <w:spacing w:after="0"/>
        <w:rPr>
          <w:sz w:val="20"/>
          <w:szCs w:val="20"/>
          <w:color w:val="auto"/>
        </w:rPr>
      </w:pPr>
      <w:r>
        <w:rPr>
          <w:rFonts w:ascii="Arial" w:cs="Arial" w:eastAsia="Arial" w:hAnsi="Arial"/>
          <w:sz w:val="13"/>
          <w:szCs w:val="13"/>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107950</wp:posOffset>
            </wp:positionV>
            <wp:extent cx="6423025" cy="28428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423025" cy="2842895"/>
                    </a:xfrm>
                    <a:prstGeom prst="rect">
                      <a:avLst/>
                    </a:prstGeom>
                    <a:noFill/>
                  </pic:spPr>
                </pic:pic>
              </a:graphicData>
            </a:graphic>
          </wp:anchor>
        </w:drawing>
      </w:r>
    </w:p>
    <w:p>
      <w:pPr>
        <w:spacing w:after="0" w:line="150" w:lineRule="exact"/>
        <w:rPr>
          <w:sz w:val="20"/>
          <w:szCs w:val="20"/>
          <w:color w:val="auto"/>
        </w:rPr>
      </w:pPr>
    </w:p>
    <w:tbl>
      <w:tblPr>
        <w:tblLayout w:type="fixed"/>
        <w:tblInd w:w="600" w:type="dxa"/>
        <w:tblCellMar>
          <w:top w:w="0" w:type="dxa"/>
          <w:left w:w="0" w:type="dxa"/>
          <w:bottom w:w="0" w:type="dxa"/>
          <w:right w:w="0" w:type="dxa"/>
        </w:tblCellMar>
      </w:tblPr>
      <w:tr>
        <w:trPr>
          <w:trHeight w:val="274"/>
        </w:trPr>
        <w:tc>
          <w:tcPr>
            <w:tcW w:w="1620" w:type="dxa"/>
            <w:vAlign w:val="bottom"/>
            <w:vMerge w:val="restart"/>
          </w:tcPr>
          <w:p>
            <w:pPr>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80" w:type="dxa"/>
            <w:vAlign w:val="bottom"/>
            <w:gridSpan w:val="20"/>
            <w:vMerge w:val="restart"/>
          </w:tcPr>
          <w:p>
            <w:pPr>
              <w:jc w:val="center"/>
              <w:ind w:right="135"/>
              <w:spacing w:after="0"/>
              <w:rPr>
                <w:sz w:val="20"/>
                <w:szCs w:val="20"/>
                <w:color w:val="auto"/>
              </w:rPr>
            </w:pPr>
            <w:r>
              <w:rPr>
                <w:rFonts w:ascii="Arial" w:cs="Arial" w:eastAsia="Arial" w:hAnsi="Arial"/>
                <w:sz w:val="9"/>
                <w:szCs w:val="9"/>
                <w:b w:val="1"/>
                <w:bCs w:val="1"/>
                <w:color w:val="auto"/>
              </w:rPr>
              <w:t>REDEEMABLE CONVERTIBLE PREFERRED SHARES</w:t>
            </w:r>
          </w:p>
        </w:tc>
        <w:tc>
          <w:tcPr>
            <w:tcW w:w="280" w:type="dxa"/>
            <w:vAlign w:val="bottom"/>
          </w:tcPr>
          <w:p>
            <w:pPr>
              <w:spacing w:after="0"/>
              <w:rPr>
                <w:sz w:val="23"/>
                <w:szCs w:val="23"/>
                <w:color w:val="auto"/>
              </w:rPr>
            </w:pPr>
          </w:p>
        </w:tc>
        <w:tc>
          <w:tcPr>
            <w:tcW w:w="120" w:type="dxa"/>
            <w:vAlign w:val="bottom"/>
            <w:vMerge w:val="restart"/>
          </w:tcPr>
          <w:p>
            <w:pPr>
              <w:ind w:left="20"/>
              <w:spacing w:after="0"/>
              <w:rPr>
                <w:sz w:val="20"/>
                <w:szCs w:val="20"/>
                <w:color w:val="auto"/>
              </w:rPr>
            </w:pPr>
            <w:r>
              <w:rPr>
                <w:rFonts w:ascii="Arial" w:cs="Arial" w:eastAsia="Arial" w:hAnsi="Arial"/>
                <w:sz w:val="9"/>
                <w:szCs w:val="9"/>
                <w:b w:val="1"/>
                <w:bCs w:val="1"/>
                <w:color w:val="auto"/>
              </w:rPr>
              <w:t>​</w:t>
            </w:r>
          </w:p>
        </w:tc>
        <w:tc>
          <w:tcPr>
            <w:tcW w:w="780" w:type="dxa"/>
            <w:vAlign w:val="bottom"/>
            <w:gridSpan w:val="4"/>
            <w:vMerge w:val="restart"/>
          </w:tcPr>
          <w:p>
            <w:pPr>
              <w:ind w:left="60"/>
              <w:spacing w:after="0"/>
              <w:rPr>
                <w:sz w:val="20"/>
                <w:szCs w:val="20"/>
                <w:color w:val="auto"/>
              </w:rPr>
            </w:pPr>
            <w:r>
              <w:rPr>
                <w:rFonts w:ascii="Arial" w:cs="Arial" w:eastAsia="Arial" w:hAnsi="Arial"/>
                <w:sz w:val="9"/>
                <w:szCs w:val="9"/>
                <w:b w:val="1"/>
                <w:bCs w:val="1"/>
                <w:color w:val="auto"/>
              </w:rPr>
              <w:t>REDEEMABLE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5"/>
            <w:vMerge w:val="restart"/>
          </w:tcPr>
          <w:p>
            <w:pPr>
              <w:jc w:val="right"/>
              <w:ind w:right="148"/>
              <w:spacing w:after="0"/>
              <w:rPr>
                <w:sz w:val="20"/>
                <w:szCs w:val="20"/>
                <w:color w:val="auto"/>
              </w:rPr>
            </w:pPr>
            <w:r>
              <w:rPr>
                <w:rFonts w:ascii="Arial" w:cs="Arial" w:eastAsia="Arial" w:hAnsi="Arial"/>
                <w:sz w:val="9"/>
                <w:szCs w:val="9"/>
                <w:b w:val="1"/>
                <w:bCs w:val="1"/>
                <w:color w:val="auto"/>
              </w:rPr>
              <w:t>ORDINARY</w:t>
            </w:r>
          </w:p>
        </w:tc>
        <w:tc>
          <w:tcPr>
            <w:tcW w:w="680" w:type="dxa"/>
            <w:vAlign w:val="bottom"/>
            <w:gridSpan w:val="4"/>
            <w:vMerge w:val="restart"/>
          </w:tcPr>
          <w:p>
            <w:pPr>
              <w:jc w:val="center"/>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23"/>
                <w:szCs w:val="23"/>
                <w:color w:val="auto"/>
              </w:rPr>
            </w:pPr>
          </w:p>
        </w:tc>
        <w:tc>
          <w:tcPr>
            <w:tcW w:w="780" w:type="dxa"/>
            <w:vAlign w:val="bottom"/>
            <w:gridSpan w:val="4"/>
          </w:tcPr>
          <w:p>
            <w:pPr>
              <w:jc w:val="center"/>
              <w:spacing w:after="0"/>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TOT</w:t>
            </w:r>
          </w:p>
        </w:tc>
        <w:tc>
          <w:tcPr>
            <w:tcW w:w="0" w:type="dxa"/>
            <w:vAlign w:val="bottom"/>
          </w:tcPr>
          <w:p>
            <w:pPr>
              <w:spacing w:after="0"/>
              <w:rPr>
                <w:sz w:val="1"/>
                <w:szCs w:val="1"/>
                <w:color w:val="auto"/>
              </w:rPr>
            </w:pPr>
          </w:p>
        </w:tc>
      </w:tr>
      <w:tr>
        <w:trPr>
          <w:trHeight w:val="45"/>
        </w:trPr>
        <w:tc>
          <w:tcPr>
            <w:tcW w:w="162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80" w:type="dxa"/>
            <w:vAlign w:val="bottom"/>
            <w:gridSpan w:val="20"/>
            <w:vMerge w:val="continue"/>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4"/>
            <w:vMerge w:val="restart"/>
          </w:tcPr>
          <w:p>
            <w:pPr>
              <w:jc w:val="center"/>
              <w:spacing w:after="0" w:line="94" w:lineRule="exact"/>
              <w:rPr>
                <w:sz w:val="20"/>
                <w:szCs w:val="20"/>
                <w:color w:val="auto"/>
              </w:rPr>
            </w:pPr>
            <w:r>
              <w:rPr>
                <w:rFonts w:ascii="Arial" w:cs="Arial" w:eastAsia="Arial" w:hAnsi="Arial"/>
                <w:sz w:val="9"/>
                <w:szCs w:val="9"/>
                <w:b w:val="1"/>
                <w:bCs w:val="1"/>
                <w:color w:val="auto"/>
              </w:rPr>
              <w:t>OTHER</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6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Pr>
          <w:p>
            <w:pPr>
              <w:spacing w:after="0" w:line="96" w:lineRule="exact"/>
              <w:rPr>
                <w:sz w:val="20"/>
                <w:szCs w:val="20"/>
                <w:color w:val="auto"/>
              </w:rPr>
            </w:pPr>
            <w:r>
              <w:rPr>
                <w:rFonts w:ascii="Arial" w:cs="Arial" w:eastAsia="Arial" w:hAnsi="Arial"/>
                <w:sz w:val="9"/>
                <w:szCs w:val="9"/>
                <w:b w:val="1"/>
                <w:bCs w:val="1"/>
                <w:color w:val="auto"/>
              </w:rPr>
              <w:t>​</w:t>
            </w:r>
          </w:p>
        </w:tc>
        <w:tc>
          <w:tcPr>
            <w:tcW w:w="120" w:type="dxa"/>
            <w:vAlign w:val="bottom"/>
            <w:gridSpan w:val="2"/>
          </w:tcPr>
          <w:p>
            <w:pPr>
              <w:ind w:left="20"/>
              <w:spacing w:after="0" w:line="96" w:lineRule="exact"/>
              <w:rPr>
                <w:sz w:val="20"/>
                <w:szCs w:val="20"/>
                <w:color w:val="auto"/>
              </w:rPr>
            </w:pPr>
            <w:r>
              <w:rPr>
                <w:rFonts w:ascii="Arial" w:cs="Arial" w:eastAsia="Arial" w:hAnsi="Arial"/>
                <w:sz w:val="9"/>
                <w:szCs w:val="9"/>
                <w:b w:val="1"/>
                <w:bCs w:val="1"/>
                <w:color w:val="auto"/>
              </w:rPr>
              <w:t>​​</w:t>
            </w:r>
          </w:p>
        </w:tc>
        <w:tc>
          <w:tcPr>
            <w:tcW w:w="640" w:type="dxa"/>
            <w:vAlign w:val="bottom"/>
            <w:gridSpan w:val="3"/>
          </w:tcPr>
          <w:p>
            <w:pPr>
              <w:jc w:val="center"/>
              <w:ind w:left="31"/>
              <w:spacing w:after="0" w:line="96" w:lineRule="exact"/>
              <w:rPr>
                <w:sz w:val="20"/>
                <w:szCs w:val="20"/>
                <w:color w:val="auto"/>
              </w:rPr>
            </w:pPr>
            <w:r>
              <w:rPr>
                <w:rFonts w:ascii="Arial" w:cs="Arial" w:eastAsia="Arial" w:hAnsi="Arial"/>
                <w:sz w:val="9"/>
                <w:szCs w:val="9"/>
                <w:b w:val="1"/>
                <w:bCs w:val="1"/>
                <w:color w:val="auto"/>
              </w:rPr>
              <w:t>SERIES A</w:t>
            </w:r>
          </w:p>
        </w:tc>
        <w:tc>
          <w:tcPr>
            <w:tcW w:w="160" w:type="dxa"/>
            <w:vAlign w:val="bottom"/>
          </w:tcPr>
          <w:p>
            <w:pPr>
              <w:spacing w:after="0"/>
              <w:rPr>
                <w:sz w:val="10"/>
                <w:szCs w:val="10"/>
                <w:color w:val="auto"/>
              </w:rPr>
            </w:pPr>
          </w:p>
        </w:tc>
        <w:tc>
          <w:tcPr>
            <w:tcW w:w="140" w:type="dxa"/>
            <w:vAlign w:val="bottom"/>
            <w:gridSpan w:val="2"/>
          </w:tcPr>
          <w:p>
            <w:pPr>
              <w:jc w:val="right"/>
              <w:ind w:right="80"/>
              <w:spacing w:after="0" w:line="96" w:lineRule="exact"/>
              <w:rPr>
                <w:sz w:val="20"/>
                <w:szCs w:val="20"/>
                <w:color w:val="auto"/>
              </w:rPr>
            </w:pPr>
            <w:r>
              <w:rPr>
                <w:rFonts w:ascii="Arial" w:cs="Arial" w:eastAsia="Arial" w:hAnsi="Arial"/>
                <w:sz w:val="9"/>
                <w:szCs w:val="9"/>
                <w:b w:val="1"/>
                <w:bCs w:val="1"/>
                <w:color w:val="auto"/>
              </w:rPr>
              <w:t>​​</w:t>
            </w:r>
          </w:p>
        </w:tc>
        <w:tc>
          <w:tcPr>
            <w:tcW w:w="620" w:type="dxa"/>
            <w:vAlign w:val="bottom"/>
            <w:gridSpan w:val="4"/>
          </w:tcPr>
          <w:p>
            <w:pPr>
              <w:jc w:val="center"/>
              <w:spacing w:after="0" w:line="96" w:lineRule="exact"/>
              <w:rPr>
                <w:sz w:val="20"/>
                <w:szCs w:val="20"/>
                <w:color w:val="auto"/>
              </w:rPr>
            </w:pPr>
            <w:r>
              <w:rPr>
                <w:rFonts w:ascii="Arial" w:cs="Arial" w:eastAsia="Arial" w:hAnsi="Arial"/>
                <w:sz w:val="9"/>
                <w:szCs w:val="9"/>
                <w:b w:val="1"/>
                <w:bCs w:val="1"/>
                <w:color w:val="auto"/>
              </w:rPr>
              <w:t>SERIES A+</w:t>
            </w:r>
          </w:p>
        </w:tc>
        <w:tc>
          <w:tcPr>
            <w:tcW w:w="140" w:type="dxa"/>
            <w:vAlign w:val="bottom"/>
          </w:tcPr>
          <w:p>
            <w:pPr>
              <w:spacing w:after="0"/>
              <w:rPr>
                <w:sz w:val="10"/>
                <w:szCs w:val="10"/>
                <w:color w:val="auto"/>
              </w:rPr>
            </w:pPr>
          </w:p>
        </w:tc>
        <w:tc>
          <w:tcPr>
            <w:tcW w:w="120" w:type="dxa"/>
            <w:vAlign w:val="bottom"/>
            <w:gridSpan w:val="2"/>
          </w:tcPr>
          <w:p>
            <w:pPr>
              <w:jc w:val="center"/>
              <w:ind w:right="40"/>
              <w:spacing w:after="0" w:line="96" w:lineRule="exact"/>
              <w:rPr>
                <w:sz w:val="20"/>
                <w:szCs w:val="20"/>
                <w:color w:val="auto"/>
              </w:rPr>
            </w:pPr>
            <w:r>
              <w:rPr>
                <w:rFonts w:ascii="Arial" w:cs="Arial" w:eastAsia="Arial" w:hAnsi="Arial"/>
                <w:sz w:val="9"/>
                <w:szCs w:val="9"/>
                <w:b w:val="1"/>
                <w:bCs w:val="1"/>
                <w:color w:val="auto"/>
              </w:rPr>
              <w:t>​​</w:t>
            </w:r>
          </w:p>
        </w:tc>
        <w:tc>
          <w:tcPr>
            <w:tcW w:w="660" w:type="dxa"/>
            <w:vAlign w:val="bottom"/>
            <w:gridSpan w:val="3"/>
          </w:tcPr>
          <w:p>
            <w:pPr>
              <w:jc w:val="center"/>
              <w:ind w:left="31"/>
              <w:spacing w:after="0" w:line="96" w:lineRule="exact"/>
              <w:rPr>
                <w:sz w:val="20"/>
                <w:szCs w:val="20"/>
                <w:color w:val="auto"/>
              </w:rPr>
            </w:pPr>
            <w:r>
              <w:rPr>
                <w:rFonts w:ascii="Arial" w:cs="Arial" w:eastAsia="Arial" w:hAnsi="Arial"/>
                <w:sz w:val="9"/>
                <w:szCs w:val="9"/>
                <w:b w:val="1"/>
                <w:bCs w:val="1"/>
                <w:color w:val="auto"/>
              </w:rPr>
              <w:t>SERIES B</w:t>
            </w:r>
          </w:p>
        </w:tc>
        <w:tc>
          <w:tcPr>
            <w:tcW w:w="160" w:type="dxa"/>
            <w:vAlign w:val="bottom"/>
          </w:tcPr>
          <w:p>
            <w:pPr>
              <w:spacing w:after="0"/>
              <w:rPr>
                <w:sz w:val="10"/>
                <w:szCs w:val="10"/>
                <w:color w:val="auto"/>
              </w:rPr>
            </w:pPr>
          </w:p>
        </w:tc>
        <w:tc>
          <w:tcPr>
            <w:tcW w:w="120" w:type="dxa"/>
            <w:vAlign w:val="bottom"/>
            <w:gridSpan w:val="3"/>
          </w:tcPr>
          <w:p>
            <w:pPr>
              <w:jc w:val="right"/>
              <w:ind w:right="60"/>
              <w:spacing w:after="0" w:line="96" w:lineRule="exact"/>
              <w:rPr>
                <w:sz w:val="20"/>
                <w:szCs w:val="20"/>
                <w:color w:val="auto"/>
              </w:rPr>
            </w:pPr>
            <w:r>
              <w:rPr>
                <w:rFonts w:ascii="Arial" w:cs="Arial" w:eastAsia="Arial" w:hAnsi="Arial"/>
                <w:sz w:val="9"/>
                <w:szCs w:val="9"/>
                <w:b w:val="1"/>
                <w:bCs w:val="1"/>
                <w:color w:val="auto"/>
              </w:rPr>
              <w:t>​​</w:t>
            </w:r>
          </w:p>
        </w:tc>
        <w:tc>
          <w:tcPr>
            <w:tcW w:w="1800" w:type="dxa"/>
            <w:vAlign w:val="bottom"/>
            <w:gridSpan w:val="9"/>
          </w:tcPr>
          <w:p>
            <w:pPr>
              <w:ind w:left="80"/>
              <w:spacing w:after="0" w:line="96" w:lineRule="exact"/>
              <w:rPr>
                <w:sz w:val="20"/>
                <w:szCs w:val="20"/>
                <w:color w:val="auto"/>
              </w:rPr>
            </w:pPr>
            <w:r>
              <w:rPr>
                <w:rFonts w:ascii="Arial" w:cs="Arial" w:eastAsia="Arial" w:hAnsi="Arial"/>
                <w:sz w:val="7"/>
                <w:szCs w:val="7"/>
                <w:b w:val="1"/>
                <w:bCs w:val="1"/>
                <w:color w:val="auto"/>
              </w:rPr>
              <w:t>SERIES B-1    ​</w:t>
            </w:r>
            <w:r>
              <w:rPr>
                <w:rFonts w:ascii="Arial" w:cs="Arial" w:eastAsia="Arial" w:hAnsi="Arial"/>
                <w:sz w:val="11"/>
                <w:szCs w:val="11"/>
                <w:b w:val="1"/>
                <w:bCs w:val="1"/>
                <w:color w:val="auto"/>
                <w:vertAlign w:val="subscript"/>
              </w:rPr>
              <w:t>NONCONTROLLING</w:t>
            </w:r>
          </w:p>
        </w:tc>
        <w:tc>
          <w:tcPr>
            <w:tcW w:w="100" w:type="dxa"/>
            <w:vAlign w:val="bottom"/>
            <w:gridSpan w:val="3"/>
          </w:tcPr>
          <w:p>
            <w:pPr>
              <w:jc w:val="right"/>
              <w:ind w:right="57"/>
              <w:spacing w:after="0" w:line="96" w:lineRule="exact"/>
              <w:rPr>
                <w:sz w:val="20"/>
                <w:szCs w:val="20"/>
                <w:color w:val="auto"/>
              </w:rPr>
            </w:pPr>
            <w:r>
              <w:rPr>
                <w:rFonts w:ascii="Arial" w:cs="Arial" w:eastAsia="Arial" w:hAnsi="Arial"/>
                <w:sz w:val="9"/>
                <w:szCs w:val="9"/>
                <w:b w:val="1"/>
                <w:bCs w:val="1"/>
                <w:color w:val="auto"/>
              </w:rPr>
              <w:t>​</w:t>
            </w:r>
          </w:p>
        </w:tc>
        <w:tc>
          <w:tcPr>
            <w:tcW w:w="800" w:type="dxa"/>
            <w:vAlign w:val="bottom"/>
            <w:gridSpan w:val="5"/>
          </w:tcPr>
          <w:p>
            <w:pPr>
              <w:jc w:val="center"/>
              <w:ind w:right="28"/>
              <w:spacing w:after="0" w:line="96" w:lineRule="exact"/>
              <w:rPr>
                <w:sz w:val="20"/>
                <w:szCs w:val="20"/>
                <w:color w:val="auto"/>
              </w:rPr>
            </w:pPr>
            <w:r>
              <w:rPr>
                <w:rFonts w:ascii="Arial" w:cs="Arial" w:eastAsia="Arial" w:hAnsi="Arial"/>
                <w:sz w:val="9"/>
                <w:szCs w:val="9"/>
                <w:b w:val="1"/>
                <w:bCs w:val="1"/>
                <w:color w:val="auto"/>
              </w:rPr>
              <w:t>SHARES</w:t>
            </w:r>
          </w:p>
        </w:tc>
        <w:tc>
          <w:tcPr>
            <w:tcW w:w="140" w:type="dxa"/>
            <w:vAlign w:val="bottom"/>
            <w:gridSpan w:val="2"/>
          </w:tcPr>
          <w:p>
            <w:pPr>
              <w:ind w:left="20"/>
              <w:spacing w:after="0" w:line="96" w:lineRule="exact"/>
              <w:rPr>
                <w:sz w:val="20"/>
                <w:szCs w:val="20"/>
                <w:color w:val="auto"/>
              </w:rPr>
            </w:pPr>
            <w:r>
              <w:rPr>
                <w:rFonts w:ascii="Arial" w:cs="Arial" w:eastAsia="Arial" w:hAnsi="Arial"/>
                <w:sz w:val="9"/>
                <w:szCs w:val="9"/>
                <w:b w:val="1"/>
                <w:bCs w:val="1"/>
                <w:color w:val="auto"/>
              </w:rPr>
              <w:t>​</w:t>
            </w:r>
          </w:p>
        </w:tc>
        <w:tc>
          <w:tcPr>
            <w:tcW w:w="540" w:type="dxa"/>
            <w:vAlign w:val="bottom"/>
            <w:gridSpan w:val="2"/>
          </w:tcPr>
          <w:p>
            <w:pPr>
              <w:jc w:val="center"/>
              <w:ind w:right="88"/>
              <w:spacing w:after="0" w:line="96" w:lineRule="exact"/>
              <w:rPr>
                <w:sz w:val="20"/>
                <w:szCs w:val="20"/>
                <w:color w:val="auto"/>
              </w:rPr>
            </w:pPr>
            <w:r>
              <w:rPr>
                <w:rFonts w:ascii="Arial" w:cs="Arial" w:eastAsia="Arial" w:hAnsi="Arial"/>
                <w:sz w:val="9"/>
                <w:szCs w:val="9"/>
                <w:b w:val="1"/>
                <w:bCs w:val="1"/>
                <w:color w:val="auto"/>
              </w:rPr>
              <w:t>PAID-IN</w:t>
            </w:r>
          </w:p>
        </w:tc>
        <w:tc>
          <w:tcPr>
            <w:tcW w:w="1720" w:type="dxa"/>
            <w:vAlign w:val="bottom"/>
            <w:gridSpan w:val="12"/>
          </w:tcPr>
          <w:p>
            <w:pPr>
              <w:jc w:val="right"/>
              <w:spacing w:after="0" w:line="96" w:lineRule="exact"/>
              <w:rPr>
                <w:sz w:val="20"/>
                <w:szCs w:val="20"/>
                <w:color w:val="auto"/>
              </w:rPr>
            </w:pPr>
            <w:r>
              <w:rPr>
                <w:rFonts w:ascii="Arial" w:cs="Arial" w:eastAsia="Arial" w:hAnsi="Arial"/>
                <w:sz w:val="9"/>
                <w:szCs w:val="9"/>
                <w:b w:val="1"/>
                <w:bCs w:val="1"/>
                <w:color w:val="auto"/>
              </w:rPr>
              <w:t>COMPREHENSIVE  ACCUMULATED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right"/>
              <w:spacing w:after="0" w:line="96" w:lineRule="exact"/>
              <w:rPr>
                <w:sz w:val="20"/>
                <w:szCs w:val="20"/>
                <w:color w:val="auto"/>
              </w:rPr>
            </w:pPr>
            <w:r>
              <w:rPr>
                <w:rFonts w:ascii="Arial" w:cs="Arial" w:eastAsia="Arial" w:hAnsi="Arial"/>
                <w:sz w:val="9"/>
                <w:szCs w:val="9"/>
                <w:b w:val="1"/>
                <w:bCs w:val="1"/>
                <w:color w:val="auto"/>
                <w:w w:val="97"/>
              </w:rPr>
              <w:t>SHAREHO</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INTEREST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auto"/>
            </w:tcBorders>
            <w:gridSpan w:val="7"/>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vMerge w:val="restart"/>
          </w:tcPr>
          <w:p>
            <w:pPr>
              <w:jc w:val="center"/>
              <w:ind w:right="48"/>
              <w:spacing w:after="0"/>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vMerge w:val="restart"/>
          </w:tcPr>
          <w:p>
            <w:pPr>
              <w:jc w:val="center"/>
              <w:ind w:right="240"/>
              <w:spacing w:after="0"/>
              <w:rPr>
                <w:sz w:val="20"/>
                <w:szCs w:val="20"/>
                <w:color w:val="auto"/>
              </w:rPr>
            </w:pPr>
            <w:r>
              <w:rPr>
                <w:rFonts w:ascii="Arial" w:cs="Arial" w:eastAsia="Arial" w:hAnsi="Arial"/>
                <w:sz w:val="9"/>
                <w:szCs w:val="9"/>
                <w:b w:val="1"/>
                <w:bCs w:val="1"/>
                <w:color w:val="auto"/>
                <w:w w:val="97"/>
              </w:rPr>
              <w:t>LOSS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DEFI</w:t>
            </w:r>
          </w:p>
        </w:tc>
        <w:tc>
          <w:tcPr>
            <w:tcW w:w="0" w:type="dxa"/>
            <w:vAlign w:val="bottom"/>
          </w:tcPr>
          <w:p>
            <w:pPr>
              <w:spacing w:after="0" w:line="20" w:lineRule="exact"/>
              <w:rPr>
                <w:sz w:val="1"/>
                <w:szCs w:val="1"/>
                <w:color w:val="auto"/>
              </w:rPr>
            </w:pPr>
          </w:p>
        </w:tc>
      </w:tr>
      <w:tr>
        <w:trPr>
          <w:trHeight w:val="135"/>
        </w:trPr>
        <w:tc>
          <w:tcPr>
            <w:tcW w:w="1620" w:type="dxa"/>
            <w:vAlign w:val="bottom"/>
          </w:tcPr>
          <w:p>
            <w:pPr>
              <w:spacing w:after="0"/>
              <w:rPr>
                <w:sz w:val="20"/>
                <w:szCs w:val="20"/>
                <w:color w:val="auto"/>
              </w:rPr>
            </w:pPr>
            <w:r>
              <w:rPr>
                <w:rFonts w:ascii="Arial" w:cs="Arial" w:eastAsia="Arial" w:hAnsi="Arial"/>
                <w:sz w:val="9"/>
                <w:szCs w:val="9"/>
                <w:b w:val="1"/>
                <w:bCs w:val="1"/>
                <w:color w:val="auto"/>
              </w:rPr>
              <w:t>​</w:t>
            </w:r>
          </w:p>
        </w:tc>
        <w:tc>
          <w:tcPr>
            <w:tcW w:w="3780" w:type="dxa"/>
            <w:vAlign w:val="bottom"/>
            <w:gridSpan w:val="26"/>
          </w:tcPr>
          <w:p>
            <w:pPr>
              <w:jc w:val="center"/>
              <w:spacing w:after="0"/>
              <w:rPr>
                <w:sz w:val="20"/>
                <w:szCs w:val="20"/>
                <w:color w:val="auto"/>
              </w:rPr>
            </w:pPr>
            <w:r>
              <w:rPr>
                <w:rFonts w:ascii="Arial" w:cs="Arial" w:eastAsia="Arial" w:hAnsi="Arial"/>
                <w:sz w:val="9"/>
                <w:szCs w:val="9"/>
                <w:b w:val="1"/>
                <w:bCs w:val="1"/>
                <w:color w:val="auto"/>
              </w:rPr>
              <w:t>​​SHARES ​​AMOUNT ​​SHARES ​​AMOUNT ​​SHARES ​​AMOUNT ​​SHARES ​​AMOUNT ​​</w:t>
            </w:r>
          </w:p>
        </w:tc>
        <w:tc>
          <w:tcPr>
            <w:tcW w:w="14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10"/>
          </w:tcPr>
          <w:p>
            <w:pPr>
              <w:jc w:val="center"/>
              <w:ind w:right="80"/>
              <w:spacing w:after="0"/>
              <w:rPr>
                <w:sz w:val="20"/>
                <w:szCs w:val="20"/>
                <w:color w:val="auto"/>
              </w:rPr>
            </w:pPr>
            <w:r>
              <w:rPr>
                <w:rFonts w:ascii="Arial" w:cs="Arial" w:eastAsia="Arial" w:hAnsi="Arial"/>
                <w:sz w:val="9"/>
                <w:szCs w:val="9"/>
                <w:b w:val="1"/>
                <w:bCs w:val="1"/>
                <w:color w:val="auto"/>
              </w:rPr>
              <w:t>​​SHARES ​​AMOUNT ​​</w:t>
            </w:r>
          </w:p>
        </w:tc>
        <w:tc>
          <w:tcPr>
            <w:tcW w:w="54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2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ind w:right="128"/>
              <w:spacing w:after="0"/>
              <w:rPr>
                <w:sz w:val="20"/>
                <w:szCs w:val="20"/>
                <w:color w:val="auto"/>
              </w:rPr>
            </w:pPr>
            <w:r>
              <w:rPr>
                <w:rFonts w:ascii="Arial" w:cs="Arial" w:eastAsia="Arial" w:hAnsi="Arial"/>
                <w:sz w:val="9"/>
                <w:szCs w:val="9"/>
                <w:b w:val="1"/>
                <w:bCs w:val="1"/>
                <w:color w:val="auto"/>
              </w:rPr>
              <w:t>DEFICIT</w:t>
            </w:r>
          </w:p>
        </w:tc>
        <w:tc>
          <w:tcPr>
            <w:tcW w:w="20" w:type="dxa"/>
            <w:vAlign w:val="bottom"/>
          </w:tcPr>
          <w:p>
            <w:pPr>
              <w:spacing w:after="0"/>
              <w:rPr>
                <w:sz w:val="11"/>
                <w:szCs w:val="11"/>
                <w:color w:val="auto"/>
              </w:rPr>
            </w:pPr>
          </w:p>
        </w:tc>
        <w:tc>
          <w:tcPr>
            <w:tcW w:w="160" w:type="dxa"/>
            <w:vAlign w:val="bottom"/>
            <w:gridSpan w:val="2"/>
          </w:tcPr>
          <w:p>
            <w:pPr>
              <w:jc w:val="right"/>
              <w:ind w:right="55"/>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Accretion of Series Seed</w:t>
            </w: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gridSpan w:val="3"/>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gridSpan w:val="2"/>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440" w:type="dxa"/>
            <w:vAlign w:val="bottom"/>
            <w:tcBorders>
              <w:top w:val="single" w:sz="8" w:color="auto"/>
              <w:right w:val="single" w:sz="8" w:color="CCEEFF"/>
            </w:tcBorders>
            <w:gridSpan w:val="2"/>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spacing w:after="0"/>
              <w:rPr>
                <w:sz w:val="11"/>
                <w:szCs w:val="11"/>
                <w:color w:val="auto"/>
              </w:rPr>
            </w:pPr>
          </w:p>
        </w:tc>
        <w:tc>
          <w:tcPr>
            <w:tcW w:w="1020" w:type="dxa"/>
            <w:vAlign w:val="bottom"/>
            <w:tcBorders>
              <w:top w:val="single" w:sz="8" w:color="auto"/>
              <w:left w:val="single" w:sz="8" w:color="CCEEFF"/>
              <w:right w:val="single" w:sz="8" w:color="CCEEFF"/>
            </w:tcBorders>
            <w:gridSpan w:val="6"/>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gridSpan w:val="3"/>
            <w:shd w:val="clear" w:color="auto" w:fill="CCEEFF"/>
          </w:tcPr>
          <w:p>
            <w:pPr>
              <w:spacing w:after="0"/>
              <w:rPr>
                <w:sz w:val="11"/>
                <w:szCs w:val="11"/>
                <w:color w:val="auto"/>
              </w:rPr>
            </w:pPr>
          </w:p>
        </w:tc>
        <w:tc>
          <w:tcPr>
            <w:tcW w:w="460" w:type="dxa"/>
            <w:vAlign w:val="bottom"/>
            <w:tcBorders>
              <w:top w:val="single" w:sz="8" w:color="auto"/>
              <w:left w:val="single" w:sz="8" w:color="CCEEFF"/>
              <w:right w:val="single" w:sz="8" w:color="CCEEFF"/>
            </w:tcBorders>
            <w:gridSpan w:val="4"/>
            <w:shd w:val="clear" w:color="auto" w:fill="CCEEFF"/>
          </w:tcPr>
          <w:p>
            <w:pPr>
              <w:spacing w:after="0"/>
              <w:rPr>
                <w:sz w:val="11"/>
                <w:szCs w:val="11"/>
                <w:color w:val="auto"/>
              </w:rPr>
            </w:pPr>
          </w:p>
        </w:tc>
        <w:tc>
          <w:tcPr>
            <w:tcW w:w="680" w:type="dxa"/>
            <w:vAlign w:val="bottom"/>
            <w:tcBorders>
              <w:top w:val="single" w:sz="8" w:color="auto"/>
              <w:left w:val="single" w:sz="8" w:color="CCEEFF"/>
              <w:right w:val="single" w:sz="8" w:color="CCEEFF"/>
            </w:tcBorders>
            <w:gridSpan w:val="4"/>
            <w:shd w:val="clear" w:color="auto" w:fill="CCEEFF"/>
          </w:tcPr>
          <w:p>
            <w:pPr>
              <w:spacing w:after="0"/>
              <w:rPr>
                <w:sz w:val="11"/>
                <w:szCs w:val="11"/>
                <w:color w:val="auto"/>
              </w:rPr>
            </w:pPr>
          </w:p>
        </w:tc>
        <w:tc>
          <w:tcPr>
            <w:tcW w:w="920" w:type="dxa"/>
            <w:vAlign w:val="bottom"/>
            <w:tcBorders>
              <w:top w:val="single" w:sz="8" w:color="auto"/>
              <w:left w:val="single" w:sz="8" w:color="CCEEFF"/>
            </w:tcBorders>
            <w:gridSpan w:val="6"/>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5"/>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0"/>
                <w:szCs w:val="10"/>
                <w:color w:val="auto"/>
              </w:rPr>
              <w:t>redeemable convertible preferred</w:t>
            </w:r>
          </w:p>
        </w:tc>
        <w:tc>
          <w:tcPr>
            <w:tcW w:w="1820" w:type="dxa"/>
            <w:vAlign w:val="bottom"/>
            <w:tcBorders>
              <w:right w:val="single" w:sz="8" w:color="CCEEFF"/>
            </w:tcBorders>
            <w:gridSpan w:val="13"/>
            <w:shd w:val="clear" w:color="auto" w:fill="CCEEFF"/>
          </w:tcPr>
          <w:p>
            <w:pPr>
              <w:spacing w:after="0"/>
              <w:rPr>
                <w:sz w:val="10"/>
                <w:szCs w:val="10"/>
                <w:color w:val="auto"/>
              </w:rPr>
            </w:pPr>
          </w:p>
        </w:tc>
        <w:tc>
          <w:tcPr>
            <w:tcW w:w="1300" w:type="dxa"/>
            <w:vAlign w:val="bottom"/>
            <w:tcBorders>
              <w:right w:val="single" w:sz="8" w:color="CCEEFF"/>
            </w:tcBorders>
            <w:gridSpan w:val="8"/>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102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440" w:type="dxa"/>
            <w:vAlign w:val="bottom"/>
            <w:gridSpan w:val="4"/>
            <w:shd w:val="clear" w:color="auto" w:fill="CCEEFF"/>
          </w:tcPr>
          <w:p>
            <w:pPr>
              <w:spacing w:after="0"/>
              <w:rPr>
                <w:sz w:val="10"/>
                <w:szCs w:val="10"/>
                <w:color w:val="auto"/>
              </w:rPr>
            </w:pPr>
          </w:p>
        </w:tc>
        <w:tc>
          <w:tcPr>
            <w:tcW w:w="46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68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1040" w:type="dxa"/>
            <w:vAlign w:val="bottom"/>
            <w:tcBorders>
              <w:left w:val="single" w:sz="8" w:color="CCEEFF"/>
              <w:right w:val="single" w:sz="8" w:color="CCEEFF"/>
            </w:tcBorders>
            <w:gridSpan w:val="8"/>
            <w:shd w:val="clear" w:color="auto" w:fill="CCEEFF"/>
          </w:tcPr>
          <w:p>
            <w:pPr>
              <w:spacing w:after="0"/>
              <w:rPr>
                <w:sz w:val="10"/>
                <w:szCs w:val="10"/>
                <w:color w:val="auto"/>
              </w:rPr>
            </w:pPr>
          </w:p>
        </w:tc>
        <w:tc>
          <w:tcPr>
            <w:tcW w:w="860" w:type="dxa"/>
            <w:vAlign w:val="bottom"/>
            <w:tcBorders>
              <w:right w:val="single" w:sz="8" w:color="CCEEFF"/>
            </w:tcBorders>
            <w:gridSpan w:val="7"/>
            <w:shd w:val="clear" w:color="auto" w:fill="CCEEFF"/>
          </w:tcPr>
          <w:p>
            <w:pPr>
              <w:spacing w:after="0"/>
              <w:rPr>
                <w:sz w:val="10"/>
                <w:szCs w:val="10"/>
                <w:color w:val="auto"/>
              </w:rPr>
            </w:pPr>
          </w:p>
        </w:tc>
        <w:tc>
          <w:tcPr>
            <w:tcW w:w="34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shares to their redemption value</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shd w:val="clear" w:color="auto" w:fill="CCEEFF"/>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0"/>
                <w:szCs w:val="10"/>
                <w:color w:val="auto"/>
              </w:rPr>
              <w:t>—​​​ ​</w:t>
            </w:r>
          </w:p>
        </w:tc>
        <w:tc>
          <w:tcPr>
            <w:tcW w:w="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 ​</w:t>
            </w: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91</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shd w:val="clear" w:color="auto" w:fill="CCEEFF"/>
          </w:tcPr>
          <w:p>
            <w:pPr>
              <w:jc w:val="right"/>
              <w:ind w:right="3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 —</w:t>
            </w:r>
          </w:p>
        </w:tc>
        <w:tc>
          <w:tcPr>
            <w:tcW w:w="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tcBorders>
              <w:right w:val="single" w:sz="8" w:color="CCEEFF"/>
            </w:tcBorders>
            <w:gridSpan w:val="5"/>
            <w:shd w:val="clear" w:color="auto" w:fill="CCEEFF"/>
          </w:tcPr>
          <w:p>
            <w:pPr>
              <w:jc w:val="right"/>
              <w:ind w:right="55"/>
              <w:spacing w:after="0"/>
              <w:rPr>
                <w:sz w:val="20"/>
                <w:szCs w:val="20"/>
                <w:color w:val="auto"/>
              </w:rPr>
            </w:pPr>
            <w:r>
              <w:rPr>
                <w:rFonts w:ascii="Arial" w:cs="Arial" w:eastAsia="Arial" w:hAnsi="Arial"/>
                <w:sz w:val="10"/>
                <w:szCs w:val="10"/>
                <w:color w:val="auto"/>
              </w:rPr>
              <w:t>(91) ​​​</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10120" w:type="dxa"/>
            <w:vAlign w:val="bottom"/>
            <w:gridSpan w:val="61"/>
          </w:tcPr>
          <w:p>
            <w:pPr>
              <w:spacing w:after="0"/>
              <w:rPr>
                <w:sz w:val="20"/>
                <w:szCs w:val="20"/>
                <w:color w:val="auto"/>
              </w:rPr>
            </w:pPr>
            <w:r>
              <w:rPr>
                <w:rFonts w:ascii="Arial" w:cs="Arial" w:eastAsia="Arial" w:hAnsi="Arial"/>
                <w:sz w:val="10"/>
                <w:szCs w:val="10"/>
                <w:color w:val="auto"/>
              </w:rPr>
              <w:t>Issuance of Series B-1</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redeemable convertible</w:t>
            </w:r>
          </w:p>
        </w:tc>
        <w:tc>
          <w:tcPr>
            <w:tcW w:w="0" w:type="dxa"/>
            <w:vAlign w:val="bottom"/>
          </w:tcPr>
          <w:p>
            <w:pPr>
              <w:spacing w:after="0"/>
              <w:rPr>
                <w:sz w:val="1"/>
                <w:szCs w:val="1"/>
                <w:color w:val="auto"/>
              </w:rPr>
            </w:pPr>
          </w:p>
        </w:tc>
      </w:tr>
      <w:tr>
        <w:trPr>
          <w:trHeight w:val="135"/>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preferred shares in exchange of</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redeemable noncontrolling</w:t>
            </w:r>
          </w:p>
        </w:tc>
        <w:tc>
          <w:tcPr>
            <w:tcW w:w="0" w:type="dxa"/>
            <w:vAlign w:val="bottom"/>
          </w:tcPr>
          <w:p>
            <w:pPr>
              <w:spacing w:after="0"/>
              <w:rPr>
                <w:sz w:val="1"/>
                <w:szCs w:val="1"/>
                <w:color w:val="auto"/>
              </w:rPr>
            </w:pPr>
          </w:p>
        </w:tc>
      </w:tr>
      <w:tr>
        <w:trPr>
          <w:trHeight w:val="135"/>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interest, net of issuance costs</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of  $115 (including $1,959</w:t>
            </w:r>
          </w:p>
        </w:tc>
        <w:tc>
          <w:tcPr>
            <w:tcW w:w="0" w:type="dxa"/>
            <w:vAlign w:val="bottom"/>
          </w:tcPr>
          <w:p>
            <w:pPr>
              <w:spacing w:after="0"/>
              <w:rPr>
                <w:sz w:val="1"/>
                <w:szCs w:val="1"/>
                <w:color w:val="auto"/>
              </w:rPr>
            </w:pPr>
          </w:p>
        </w:tc>
      </w:tr>
      <w:tr>
        <w:trPr>
          <w:trHeight w:val="135"/>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representing the excess of the</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fair value of Series B-1</w:t>
            </w:r>
          </w:p>
        </w:tc>
        <w:tc>
          <w:tcPr>
            <w:tcW w:w="0" w:type="dxa"/>
            <w:vAlign w:val="bottom"/>
          </w:tcPr>
          <w:p>
            <w:pPr>
              <w:spacing w:after="0"/>
              <w:rPr>
                <w:sz w:val="1"/>
                <w:szCs w:val="1"/>
                <w:color w:val="auto"/>
              </w:rPr>
            </w:pPr>
          </w:p>
        </w:tc>
      </w:tr>
      <w:tr>
        <w:trPr>
          <w:trHeight w:val="135"/>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redeemable convertible</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preferred shares over the</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carrying amount of redeemable</w:t>
            </w: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noncontrolling interest)</w:t>
            </w:r>
          </w:p>
        </w:tc>
        <w:tc>
          <w:tcPr>
            <w:tcW w:w="120" w:type="dxa"/>
            <w:vAlign w:val="bottom"/>
            <w:gridSpan w:val="2"/>
          </w:tcPr>
          <w:p>
            <w:pPr>
              <w:ind w:left="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tcPr>
          <w:p>
            <w:pPr>
              <w:jc w:val="right"/>
              <w:ind w:right="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4"/>
          </w:tcPr>
          <w:p>
            <w:pPr>
              <w:jc w:val="center"/>
              <w:spacing w:after="0"/>
              <w:rPr>
                <w:sz w:val="20"/>
                <w:szCs w:val="20"/>
                <w:color w:val="auto"/>
              </w:rPr>
            </w:pPr>
            <w:r>
              <w:rPr>
                <w:rFonts w:ascii="Arial" w:cs="Arial" w:eastAsia="Arial" w:hAnsi="Arial"/>
                <w:sz w:val="10"/>
                <w:szCs w:val="10"/>
                <w:color w:val="auto"/>
              </w:rPr>
              <w:t>—​​​ ​</w:t>
            </w:r>
          </w:p>
        </w:tc>
        <w:tc>
          <w:tcPr>
            <w:tcW w:w="260" w:type="dxa"/>
            <w:vAlign w:val="bottom"/>
            <w:gridSpan w:val="3"/>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60" w:type="dxa"/>
            <w:vAlign w:val="bottom"/>
            <w:gridSpan w:val="3"/>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2,161​​​​ ​</w:t>
            </w:r>
          </w:p>
        </w:tc>
        <w:tc>
          <w:tcPr>
            <w:tcW w:w="400" w:type="dxa"/>
            <w:vAlign w:val="bottom"/>
            <w:gridSpan w:val="2"/>
          </w:tcPr>
          <w:p>
            <w:pPr>
              <w:jc w:val="right"/>
              <w:ind w:right="13"/>
              <w:spacing w:after="0"/>
              <w:rPr>
                <w:sz w:val="20"/>
                <w:szCs w:val="20"/>
                <w:color w:val="auto"/>
              </w:rPr>
            </w:pPr>
            <w:r>
              <w:rPr>
                <w:rFonts w:ascii="Arial" w:cs="Arial" w:eastAsia="Arial" w:hAnsi="Arial"/>
                <w:sz w:val="10"/>
                <w:szCs w:val="10"/>
                <w:color w:val="auto"/>
              </w:rPr>
              <w:t>8,844​​</w:t>
            </w:r>
          </w:p>
        </w:tc>
        <w:tc>
          <w:tcPr>
            <w:tcW w:w="140" w:type="dxa"/>
            <w:vAlign w:val="bottom"/>
          </w:tcPr>
          <w:p>
            <w:pPr>
              <w:ind w:left="100"/>
              <w:spacing w:after="0"/>
              <w:rPr>
                <w:sz w:val="20"/>
                <w:szCs w:val="20"/>
                <w:color w:val="auto"/>
              </w:rPr>
            </w:pPr>
            <w:r>
              <w:rPr>
                <w:rFonts w:ascii="Arial" w:cs="Arial" w:eastAsia="Arial" w:hAnsi="Arial"/>
                <w:sz w:val="10"/>
                <w:szCs w:val="10"/>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(7,000)</w:t>
            </w:r>
          </w:p>
        </w:tc>
        <w:tc>
          <w:tcPr>
            <w:tcW w:w="120" w:type="dxa"/>
            <w:vAlign w:val="bottom"/>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tcPr>
          <w:p>
            <w:pPr>
              <w:jc w:val="right"/>
              <w:ind w:right="3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gridSpan w:val="2"/>
          </w:tcPr>
          <w:p>
            <w:pPr>
              <w:spacing w:after="0"/>
              <w:rPr>
                <w:sz w:val="20"/>
                <w:szCs w:val="20"/>
                <w:color w:val="auto"/>
              </w:rPr>
            </w:pPr>
            <w:r>
              <w:rPr>
                <w:rFonts w:ascii="Arial" w:cs="Arial" w:eastAsia="Arial" w:hAnsi="Arial"/>
                <w:sz w:val="10"/>
                <w:szCs w:val="10"/>
                <w:color w:val="auto"/>
              </w:rPr>
              <w:t>​​​ ​</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(937) ​​​</w:t>
            </w:r>
          </w:p>
        </w:tc>
        <w:tc>
          <w:tcPr>
            <w:tcW w:w="260" w:type="dxa"/>
            <w:vAlign w:val="bottom"/>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1"/>
                <w:szCs w:val="11"/>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0"/>
                <w:szCs w:val="10"/>
                <w:color w:val="auto"/>
              </w:rPr>
              <w:t>​ —</w:t>
            </w:r>
          </w:p>
        </w:tc>
        <w:tc>
          <w:tcPr>
            <w:tcW w:w="180" w:type="dxa"/>
            <w:vAlign w:val="bottom"/>
            <w:gridSpan w:val="3"/>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gridSpan w:val="5"/>
          </w:tcPr>
          <w:p>
            <w:pPr>
              <w:jc w:val="right"/>
              <w:ind w:right="55"/>
              <w:spacing w:after="0"/>
              <w:rPr>
                <w:sz w:val="20"/>
                <w:szCs w:val="20"/>
                <w:color w:val="auto"/>
              </w:rPr>
            </w:pPr>
            <w:r>
              <w:rPr>
                <w:rFonts w:ascii="Arial" w:cs="Arial" w:eastAsia="Arial" w:hAnsi="Arial"/>
                <w:sz w:val="10"/>
                <w:szCs w:val="10"/>
                <w:color w:val="auto"/>
              </w:rPr>
              <w:t>(1,022) ​​​</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0"/>
                <w:szCs w:val="10"/>
                <w:color w:val="auto"/>
              </w:rPr>
              <w:t>Accretion of Series B-1</w:t>
            </w:r>
          </w:p>
        </w:tc>
        <w:tc>
          <w:tcPr>
            <w:tcW w:w="1820" w:type="dxa"/>
            <w:vAlign w:val="bottom"/>
            <w:tcBorders>
              <w:right w:val="single" w:sz="8" w:color="CCEEFF"/>
            </w:tcBorders>
            <w:gridSpan w:val="13"/>
            <w:shd w:val="clear" w:color="auto" w:fill="CCEEFF"/>
          </w:tcPr>
          <w:p>
            <w:pPr>
              <w:spacing w:after="0"/>
              <w:rPr>
                <w:sz w:val="11"/>
                <w:szCs w:val="11"/>
                <w:color w:val="auto"/>
              </w:rPr>
            </w:pPr>
          </w:p>
        </w:tc>
        <w:tc>
          <w:tcPr>
            <w:tcW w:w="1300" w:type="dxa"/>
            <w:vAlign w:val="bottom"/>
            <w:tcBorders>
              <w:right w:val="single" w:sz="8" w:color="CCEEFF"/>
            </w:tcBorders>
            <w:gridSpan w:val="8"/>
            <w:shd w:val="clear" w:color="auto" w:fill="CCEEFF"/>
          </w:tcPr>
          <w:p>
            <w:pPr>
              <w:spacing w:after="0"/>
              <w:rPr>
                <w:sz w:val="11"/>
                <w:szCs w:val="11"/>
                <w:color w:val="auto"/>
              </w:rPr>
            </w:pPr>
          </w:p>
        </w:tc>
        <w:tc>
          <w:tcPr>
            <w:tcW w:w="420" w:type="dxa"/>
            <w:vAlign w:val="bottom"/>
            <w:gridSpan w:val="2"/>
            <w:shd w:val="clear" w:color="auto" w:fill="CCEEFF"/>
          </w:tcPr>
          <w:p>
            <w:pPr>
              <w:spacing w:after="0"/>
              <w:rPr>
                <w:sz w:val="11"/>
                <w:szCs w:val="11"/>
                <w:color w:val="auto"/>
              </w:rPr>
            </w:pPr>
          </w:p>
        </w:tc>
        <w:tc>
          <w:tcPr>
            <w:tcW w:w="1020" w:type="dxa"/>
            <w:vAlign w:val="bottom"/>
            <w:tcBorders>
              <w:left w:val="single" w:sz="8" w:color="CCEEFF"/>
              <w:right w:val="single" w:sz="8" w:color="CCEEFF"/>
            </w:tcBorders>
            <w:gridSpan w:val="6"/>
            <w:shd w:val="clear" w:color="auto" w:fill="CCEEFF"/>
          </w:tcPr>
          <w:p>
            <w:pPr>
              <w:spacing w:after="0"/>
              <w:rPr>
                <w:sz w:val="11"/>
                <w:szCs w:val="11"/>
                <w:color w:val="auto"/>
              </w:rPr>
            </w:pPr>
          </w:p>
        </w:tc>
        <w:tc>
          <w:tcPr>
            <w:tcW w:w="440" w:type="dxa"/>
            <w:vAlign w:val="bottom"/>
            <w:gridSpan w:val="4"/>
            <w:shd w:val="clear" w:color="auto" w:fill="CCEEFF"/>
          </w:tcPr>
          <w:p>
            <w:pPr>
              <w:spacing w:after="0"/>
              <w:rPr>
                <w:sz w:val="11"/>
                <w:szCs w:val="11"/>
                <w:color w:val="auto"/>
              </w:rPr>
            </w:pPr>
          </w:p>
        </w:tc>
        <w:tc>
          <w:tcPr>
            <w:tcW w:w="46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68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1040" w:type="dxa"/>
            <w:vAlign w:val="bottom"/>
            <w:tcBorders>
              <w:left w:val="single" w:sz="8" w:color="CCEEFF"/>
              <w:right w:val="single" w:sz="8" w:color="CCEEFF"/>
            </w:tcBorders>
            <w:gridSpan w:val="8"/>
            <w:shd w:val="clear" w:color="auto" w:fill="CCEEFF"/>
          </w:tcPr>
          <w:p>
            <w:pPr>
              <w:spacing w:after="0"/>
              <w:rPr>
                <w:sz w:val="11"/>
                <w:szCs w:val="11"/>
                <w:color w:val="auto"/>
              </w:rPr>
            </w:pPr>
          </w:p>
        </w:tc>
        <w:tc>
          <w:tcPr>
            <w:tcW w:w="860" w:type="dxa"/>
            <w:vAlign w:val="bottom"/>
            <w:tcBorders>
              <w:right w:val="single" w:sz="8" w:color="CCEEFF"/>
            </w:tcBorders>
            <w:gridSpan w:val="7"/>
            <w:shd w:val="clear" w:color="auto" w:fill="CCEEFF"/>
          </w:tcPr>
          <w:p>
            <w:pPr>
              <w:spacing w:after="0"/>
              <w:rPr>
                <w:sz w:val="11"/>
                <w:szCs w:val="11"/>
                <w:color w:val="auto"/>
              </w:rPr>
            </w:pPr>
          </w:p>
        </w:tc>
        <w:tc>
          <w:tcPr>
            <w:tcW w:w="34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0"/>
                <w:szCs w:val="10"/>
                <w:color w:val="auto"/>
              </w:rPr>
              <w:t>redeemable convertible preferred</w:t>
            </w:r>
          </w:p>
        </w:tc>
        <w:tc>
          <w:tcPr>
            <w:tcW w:w="1820" w:type="dxa"/>
            <w:vAlign w:val="bottom"/>
            <w:tcBorders>
              <w:right w:val="single" w:sz="8" w:color="CCEEFF"/>
            </w:tcBorders>
            <w:gridSpan w:val="13"/>
            <w:shd w:val="clear" w:color="auto" w:fill="CCEEFF"/>
          </w:tcPr>
          <w:p>
            <w:pPr>
              <w:spacing w:after="0"/>
              <w:rPr>
                <w:sz w:val="10"/>
                <w:szCs w:val="10"/>
                <w:color w:val="auto"/>
              </w:rPr>
            </w:pPr>
          </w:p>
        </w:tc>
        <w:tc>
          <w:tcPr>
            <w:tcW w:w="1300" w:type="dxa"/>
            <w:vAlign w:val="bottom"/>
            <w:tcBorders>
              <w:right w:val="single" w:sz="8" w:color="CCEEFF"/>
            </w:tcBorders>
            <w:gridSpan w:val="8"/>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102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440" w:type="dxa"/>
            <w:vAlign w:val="bottom"/>
            <w:gridSpan w:val="4"/>
            <w:shd w:val="clear" w:color="auto" w:fill="CCEEFF"/>
          </w:tcPr>
          <w:p>
            <w:pPr>
              <w:spacing w:after="0"/>
              <w:rPr>
                <w:sz w:val="10"/>
                <w:szCs w:val="10"/>
                <w:color w:val="auto"/>
              </w:rPr>
            </w:pPr>
          </w:p>
        </w:tc>
        <w:tc>
          <w:tcPr>
            <w:tcW w:w="46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68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1040" w:type="dxa"/>
            <w:vAlign w:val="bottom"/>
            <w:tcBorders>
              <w:left w:val="single" w:sz="8" w:color="CCEEFF"/>
              <w:right w:val="single" w:sz="8" w:color="CCEEFF"/>
            </w:tcBorders>
            <w:gridSpan w:val="8"/>
            <w:shd w:val="clear" w:color="auto" w:fill="CCEEFF"/>
          </w:tcPr>
          <w:p>
            <w:pPr>
              <w:spacing w:after="0"/>
              <w:rPr>
                <w:sz w:val="10"/>
                <w:szCs w:val="10"/>
                <w:color w:val="auto"/>
              </w:rPr>
            </w:pPr>
          </w:p>
        </w:tc>
        <w:tc>
          <w:tcPr>
            <w:tcW w:w="860" w:type="dxa"/>
            <w:vAlign w:val="bottom"/>
            <w:tcBorders>
              <w:right w:val="single" w:sz="8" w:color="CCEEFF"/>
            </w:tcBorders>
            <w:gridSpan w:val="7"/>
            <w:shd w:val="clear" w:color="auto" w:fill="CCEEFF"/>
          </w:tcPr>
          <w:p>
            <w:pPr>
              <w:spacing w:after="0"/>
              <w:rPr>
                <w:sz w:val="10"/>
                <w:szCs w:val="10"/>
                <w:color w:val="auto"/>
              </w:rPr>
            </w:pPr>
          </w:p>
        </w:tc>
        <w:tc>
          <w:tcPr>
            <w:tcW w:w="34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0"/>
                <w:szCs w:val="10"/>
                <w:color w:val="auto"/>
              </w:rPr>
              <w:t>shares</w:t>
            </w:r>
          </w:p>
        </w:tc>
        <w:tc>
          <w:tcPr>
            <w:tcW w:w="1820" w:type="dxa"/>
            <w:vAlign w:val="bottom"/>
            <w:tcBorders>
              <w:right w:val="single" w:sz="8" w:color="CCEEFF"/>
            </w:tcBorders>
            <w:gridSpan w:val="13"/>
            <w:shd w:val="clear" w:color="auto" w:fill="CCEEFF"/>
          </w:tcPr>
          <w:p>
            <w:pPr>
              <w:spacing w:after="0"/>
              <w:rPr>
                <w:sz w:val="11"/>
                <w:szCs w:val="11"/>
                <w:color w:val="auto"/>
              </w:rPr>
            </w:pPr>
          </w:p>
        </w:tc>
        <w:tc>
          <w:tcPr>
            <w:tcW w:w="1300" w:type="dxa"/>
            <w:vAlign w:val="bottom"/>
            <w:tcBorders>
              <w:right w:val="single" w:sz="8" w:color="CCEEFF"/>
            </w:tcBorders>
            <w:gridSpan w:val="8"/>
            <w:shd w:val="clear" w:color="auto" w:fill="CCEEFF"/>
          </w:tcPr>
          <w:p>
            <w:pPr>
              <w:spacing w:after="0"/>
              <w:rPr>
                <w:sz w:val="11"/>
                <w:szCs w:val="11"/>
                <w:color w:val="auto"/>
              </w:rPr>
            </w:pPr>
          </w:p>
        </w:tc>
        <w:tc>
          <w:tcPr>
            <w:tcW w:w="420" w:type="dxa"/>
            <w:vAlign w:val="bottom"/>
            <w:gridSpan w:val="2"/>
            <w:shd w:val="clear" w:color="auto" w:fill="CCEEFF"/>
          </w:tcPr>
          <w:p>
            <w:pPr>
              <w:spacing w:after="0"/>
              <w:rPr>
                <w:sz w:val="11"/>
                <w:szCs w:val="11"/>
                <w:color w:val="auto"/>
              </w:rPr>
            </w:pPr>
          </w:p>
        </w:tc>
        <w:tc>
          <w:tcPr>
            <w:tcW w:w="1020" w:type="dxa"/>
            <w:vAlign w:val="bottom"/>
            <w:tcBorders>
              <w:left w:val="single" w:sz="8" w:color="CCEEFF"/>
              <w:right w:val="single" w:sz="8" w:color="CCEEFF"/>
            </w:tcBorders>
            <w:gridSpan w:val="6"/>
            <w:shd w:val="clear" w:color="auto" w:fill="CCEEFF"/>
          </w:tcPr>
          <w:p>
            <w:pPr>
              <w:spacing w:after="0"/>
              <w:rPr>
                <w:sz w:val="11"/>
                <w:szCs w:val="11"/>
                <w:color w:val="auto"/>
              </w:rPr>
            </w:pPr>
          </w:p>
        </w:tc>
        <w:tc>
          <w:tcPr>
            <w:tcW w:w="440" w:type="dxa"/>
            <w:vAlign w:val="bottom"/>
            <w:gridSpan w:val="4"/>
            <w:shd w:val="clear" w:color="auto" w:fill="CCEEFF"/>
          </w:tcPr>
          <w:p>
            <w:pPr>
              <w:spacing w:after="0"/>
              <w:rPr>
                <w:sz w:val="11"/>
                <w:szCs w:val="11"/>
                <w:color w:val="auto"/>
              </w:rPr>
            </w:pPr>
          </w:p>
        </w:tc>
        <w:tc>
          <w:tcPr>
            <w:tcW w:w="46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68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1040" w:type="dxa"/>
            <w:vAlign w:val="bottom"/>
            <w:tcBorders>
              <w:left w:val="single" w:sz="8" w:color="CCEEFF"/>
              <w:right w:val="single" w:sz="8" w:color="CCEEFF"/>
            </w:tcBorders>
            <w:gridSpan w:val="8"/>
            <w:shd w:val="clear" w:color="auto" w:fill="CCEEFF"/>
          </w:tcPr>
          <w:p>
            <w:pPr>
              <w:spacing w:after="0"/>
              <w:rPr>
                <w:sz w:val="11"/>
                <w:szCs w:val="11"/>
                <w:color w:val="auto"/>
              </w:rPr>
            </w:pPr>
          </w:p>
        </w:tc>
        <w:tc>
          <w:tcPr>
            <w:tcW w:w="860" w:type="dxa"/>
            <w:vAlign w:val="bottom"/>
            <w:tcBorders>
              <w:right w:val="single" w:sz="8" w:color="CCEEFF"/>
            </w:tcBorders>
            <w:gridSpan w:val="7"/>
            <w:shd w:val="clear" w:color="auto" w:fill="CCEEFF"/>
          </w:tcPr>
          <w:p>
            <w:pPr>
              <w:spacing w:after="0"/>
              <w:rPr>
                <w:sz w:val="11"/>
                <w:szCs w:val="11"/>
                <w:color w:val="auto"/>
              </w:rPr>
            </w:pPr>
          </w:p>
        </w:tc>
        <w:tc>
          <w:tcPr>
            <w:tcW w:w="34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 their redemption value</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shd w:val="clear" w:color="auto" w:fill="CCEEFF"/>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0"/>
                <w:szCs w:val="10"/>
                <w:color w:val="auto"/>
              </w:rPr>
              <w:t>—​​​ ​</w:t>
            </w:r>
          </w:p>
        </w:tc>
        <w:tc>
          <w:tcPr>
            <w:tcW w:w="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 ​</w:t>
            </w: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0"/>
                <w:szCs w:val="10"/>
                <w:color w:val="auto"/>
              </w:rPr>
              <w:t>115​​</w:t>
            </w:r>
          </w:p>
        </w:tc>
        <w:tc>
          <w:tcPr>
            <w:tcW w:w="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shd w:val="clear" w:color="auto" w:fill="CCEEFF"/>
          </w:tcPr>
          <w:p>
            <w:pPr>
              <w:jc w:val="right"/>
              <w:ind w:right="3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 —</w:t>
            </w:r>
          </w:p>
        </w:tc>
        <w:tc>
          <w:tcPr>
            <w:tcW w:w="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tcBorders>
              <w:right w:val="single" w:sz="8" w:color="CCEEFF"/>
            </w:tcBorders>
            <w:gridSpan w:val="5"/>
            <w:shd w:val="clear" w:color="auto" w:fill="CCEEFF"/>
          </w:tcPr>
          <w:p>
            <w:pPr>
              <w:jc w:val="right"/>
              <w:ind w:right="55"/>
              <w:spacing w:after="0"/>
              <w:rPr>
                <w:sz w:val="20"/>
                <w:szCs w:val="20"/>
                <w:color w:val="auto"/>
              </w:rPr>
            </w:pPr>
            <w:r>
              <w:rPr>
                <w:rFonts w:ascii="Arial" w:cs="Arial" w:eastAsia="Arial" w:hAnsi="Arial"/>
                <w:sz w:val="10"/>
                <w:szCs w:val="10"/>
                <w:color w:val="auto"/>
              </w:rPr>
              <w:t>(115) ​​​</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10120" w:type="dxa"/>
            <w:vAlign w:val="bottom"/>
            <w:gridSpan w:val="61"/>
          </w:tcPr>
          <w:p>
            <w:pPr>
              <w:spacing w:after="0"/>
              <w:rPr>
                <w:sz w:val="20"/>
                <w:szCs w:val="20"/>
                <w:color w:val="auto"/>
              </w:rPr>
            </w:pPr>
            <w:r>
              <w:rPr>
                <w:rFonts w:ascii="Arial" w:cs="Arial" w:eastAsia="Arial" w:hAnsi="Arial"/>
                <w:sz w:val="10"/>
                <w:szCs w:val="10"/>
                <w:color w:val="auto"/>
              </w:rPr>
              <w:t>Issuance of ordinary share upon</w:t>
            </w:r>
          </w:p>
        </w:tc>
        <w:tc>
          <w:tcPr>
            <w:tcW w:w="0" w:type="dxa"/>
            <w:vAlign w:val="bottom"/>
          </w:tcPr>
          <w:p>
            <w:pPr>
              <w:spacing w:after="0"/>
              <w:rPr>
                <w:sz w:val="1"/>
                <w:szCs w:val="1"/>
                <w:color w:val="auto"/>
              </w:rPr>
            </w:pPr>
          </w:p>
        </w:tc>
      </w:tr>
      <w:tr>
        <w:trPr>
          <w:trHeight w:val="126"/>
        </w:trPr>
        <w:tc>
          <w:tcPr>
            <w:tcW w:w="10120" w:type="dxa"/>
            <w:vAlign w:val="bottom"/>
            <w:gridSpan w:val="61"/>
          </w:tcPr>
          <w:p>
            <w:pPr>
              <w:ind w:left="120"/>
              <w:spacing w:after="0"/>
              <w:rPr>
                <w:sz w:val="20"/>
                <w:szCs w:val="20"/>
                <w:color w:val="auto"/>
              </w:rPr>
            </w:pPr>
            <w:r>
              <w:rPr>
                <w:rFonts w:ascii="Arial" w:cs="Arial" w:eastAsia="Arial" w:hAnsi="Arial"/>
                <w:sz w:val="10"/>
                <w:szCs w:val="10"/>
                <w:color w:val="auto"/>
              </w:rPr>
              <w:t>exercise of vested share</w:t>
            </w: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options</w:t>
            </w:r>
          </w:p>
        </w:tc>
        <w:tc>
          <w:tcPr>
            <w:tcW w:w="120" w:type="dxa"/>
            <w:vAlign w:val="bottom"/>
            <w:gridSpan w:val="2"/>
          </w:tcPr>
          <w:p>
            <w:pPr>
              <w:ind w:left="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tcPr>
          <w:p>
            <w:pPr>
              <w:jc w:val="right"/>
              <w:ind w:right="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4"/>
          </w:tcPr>
          <w:p>
            <w:pPr>
              <w:jc w:val="center"/>
              <w:spacing w:after="0"/>
              <w:rPr>
                <w:sz w:val="20"/>
                <w:szCs w:val="20"/>
                <w:color w:val="auto"/>
              </w:rPr>
            </w:pPr>
            <w:r>
              <w:rPr>
                <w:rFonts w:ascii="Arial" w:cs="Arial" w:eastAsia="Arial" w:hAnsi="Arial"/>
                <w:sz w:val="10"/>
                <w:szCs w:val="10"/>
                <w:color w:val="auto"/>
              </w:rPr>
              <w:t>—​​​ ​</w:t>
            </w:r>
          </w:p>
        </w:tc>
        <w:tc>
          <w:tcPr>
            <w:tcW w:w="260" w:type="dxa"/>
            <w:vAlign w:val="bottom"/>
            <w:gridSpan w:val="3"/>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60" w:type="dxa"/>
            <w:vAlign w:val="bottom"/>
            <w:gridSpan w:val="3"/>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 ​​​​ ​</w:t>
            </w:r>
          </w:p>
        </w:tc>
        <w:tc>
          <w:tcPr>
            <w:tcW w:w="400" w:type="dxa"/>
            <w:vAlign w:val="bottom"/>
            <w:gridSpan w:val="2"/>
          </w:tcPr>
          <w:p>
            <w:pPr>
              <w:jc w:val="right"/>
              <w:ind w:right="13"/>
              <w:spacing w:after="0"/>
              <w:rPr>
                <w:sz w:val="20"/>
                <w:szCs w:val="20"/>
                <w:color w:val="auto"/>
              </w:rPr>
            </w:pPr>
            <w:r>
              <w:rPr>
                <w:rFonts w:ascii="Arial" w:cs="Arial" w:eastAsia="Arial" w:hAnsi="Arial"/>
                <w:sz w:val="10"/>
                <w:szCs w:val="10"/>
                <w:color w:val="auto"/>
              </w:rPr>
              <w:t>—​​</w:t>
            </w:r>
          </w:p>
        </w:tc>
        <w:tc>
          <w:tcPr>
            <w:tcW w:w="140" w:type="dxa"/>
            <w:vAlign w:val="bottom"/>
          </w:tcPr>
          <w:p>
            <w:pPr>
              <w:ind w:left="100"/>
              <w:spacing w:after="0"/>
              <w:rPr>
                <w:sz w:val="20"/>
                <w:szCs w:val="20"/>
                <w:color w:val="auto"/>
              </w:rPr>
            </w:pPr>
            <w:r>
              <w:rPr>
                <w:rFonts w:ascii="Arial" w:cs="Arial" w:eastAsia="Arial" w:hAnsi="Arial"/>
                <w:sz w:val="10"/>
                <w:szCs w:val="10"/>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tcPr>
          <w:p>
            <w:pPr>
              <w:jc w:val="right"/>
              <w:ind w:right="3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29​​</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gridSpan w:val="2"/>
          </w:tcPr>
          <w:p>
            <w:pPr>
              <w:spacing w:after="0"/>
              <w:rPr>
                <w:sz w:val="20"/>
                <w:szCs w:val="20"/>
                <w:color w:val="auto"/>
              </w:rPr>
            </w:pPr>
            <w:r>
              <w:rPr>
                <w:rFonts w:ascii="Arial" w:cs="Arial" w:eastAsia="Arial" w:hAnsi="Arial"/>
                <w:sz w:val="10"/>
                <w:szCs w:val="10"/>
                <w:color w:val="auto"/>
              </w:rPr>
              <w:t>​​​ ​</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1"/>
                <w:szCs w:val="11"/>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0"/>
                <w:szCs w:val="10"/>
                <w:color w:val="auto"/>
              </w:rPr>
              <w:t>​ —</w:t>
            </w:r>
          </w:p>
        </w:tc>
        <w:tc>
          <w:tcPr>
            <w:tcW w:w="180" w:type="dxa"/>
            <w:vAlign w:val="bottom"/>
            <w:gridSpan w:val="3"/>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gridSpan w:val="3"/>
          </w:tcPr>
          <w:p>
            <w:pPr>
              <w:jc w:val="right"/>
              <w:ind w:right="55"/>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0"/>
                <w:szCs w:val="10"/>
                <w:color w:val="auto"/>
              </w:rPr>
              <w:t>Share-based compensation</w:t>
            </w:r>
          </w:p>
        </w:tc>
        <w:tc>
          <w:tcPr>
            <w:tcW w:w="1820" w:type="dxa"/>
            <w:vAlign w:val="bottom"/>
            <w:tcBorders>
              <w:right w:val="single" w:sz="8" w:color="CCEEFF"/>
            </w:tcBorders>
            <w:gridSpan w:val="13"/>
            <w:shd w:val="clear" w:color="auto" w:fill="CCEEFF"/>
          </w:tcPr>
          <w:p>
            <w:pPr>
              <w:spacing w:after="0"/>
              <w:rPr>
                <w:sz w:val="11"/>
                <w:szCs w:val="11"/>
                <w:color w:val="auto"/>
              </w:rPr>
            </w:pPr>
          </w:p>
        </w:tc>
        <w:tc>
          <w:tcPr>
            <w:tcW w:w="1300" w:type="dxa"/>
            <w:vAlign w:val="bottom"/>
            <w:tcBorders>
              <w:right w:val="single" w:sz="8" w:color="CCEEFF"/>
            </w:tcBorders>
            <w:gridSpan w:val="8"/>
            <w:shd w:val="clear" w:color="auto" w:fill="CCEEFF"/>
          </w:tcPr>
          <w:p>
            <w:pPr>
              <w:spacing w:after="0"/>
              <w:rPr>
                <w:sz w:val="11"/>
                <w:szCs w:val="11"/>
                <w:color w:val="auto"/>
              </w:rPr>
            </w:pPr>
          </w:p>
        </w:tc>
        <w:tc>
          <w:tcPr>
            <w:tcW w:w="420" w:type="dxa"/>
            <w:vAlign w:val="bottom"/>
            <w:gridSpan w:val="2"/>
            <w:shd w:val="clear" w:color="auto" w:fill="CCEEFF"/>
          </w:tcPr>
          <w:p>
            <w:pPr>
              <w:spacing w:after="0"/>
              <w:rPr>
                <w:sz w:val="11"/>
                <w:szCs w:val="11"/>
                <w:color w:val="auto"/>
              </w:rPr>
            </w:pPr>
          </w:p>
        </w:tc>
        <w:tc>
          <w:tcPr>
            <w:tcW w:w="1020" w:type="dxa"/>
            <w:vAlign w:val="bottom"/>
            <w:tcBorders>
              <w:left w:val="single" w:sz="8" w:color="CCEEFF"/>
              <w:right w:val="single" w:sz="8" w:color="CCEEFF"/>
            </w:tcBorders>
            <w:gridSpan w:val="6"/>
            <w:shd w:val="clear" w:color="auto" w:fill="CCEEFF"/>
          </w:tcPr>
          <w:p>
            <w:pPr>
              <w:spacing w:after="0"/>
              <w:rPr>
                <w:sz w:val="11"/>
                <w:szCs w:val="11"/>
                <w:color w:val="auto"/>
              </w:rPr>
            </w:pPr>
          </w:p>
        </w:tc>
        <w:tc>
          <w:tcPr>
            <w:tcW w:w="440" w:type="dxa"/>
            <w:vAlign w:val="bottom"/>
            <w:gridSpan w:val="4"/>
            <w:shd w:val="clear" w:color="auto" w:fill="CCEEFF"/>
          </w:tcPr>
          <w:p>
            <w:pPr>
              <w:spacing w:after="0"/>
              <w:rPr>
                <w:sz w:val="11"/>
                <w:szCs w:val="11"/>
                <w:color w:val="auto"/>
              </w:rPr>
            </w:pPr>
          </w:p>
        </w:tc>
        <w:tc>
          <w:tcPr>
            <w:tcW w:w="46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68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1040" w:type="dxa"/>
            <w:vAlign w:val="bottom"/>
            <w:tcBorders>
              <w:left w:val="single" w:sz="8" w:color="CCEEFF"/>
              <w:right w:val="single" w:sz="8" w:color="CCEEFF"/>
            </w:tcBorders>
            <w:gridSpan w:val="8"/>
            <w:shd w:val="clear" w:color="auto" w:fill="CCEEFF"/>
          </w:tcPr>
          <w:p>
            <w:pPr>
              <w:spacing w:after="0"/>
              <w:rPr>
                <w:sz w:val="11"/>
                <w:szCs w:val="11"/>
                <w:color w:val="auto"/>
              </w:rPr>
            </w:pPr>
          </w:p>
        </w:tc>
        <w:tc>
          <w:tcPr>
            <w:tcW w:w="860" w:type="dxa"/>
            <w:vAlign w:val="bottom"/>
            <w:tcBorders>
              <w:right w:val="single" w:sz="8" w:color="CCEEFF"/>
            </w:tcBorders>
            <w:gridSpan w:val="7"/>
            <w:shd w:val="clear" w:color="auto" w:fill="CCEEFF"/>
          </w:tcPr>
          <w:p>
            <w:pPr>
              <w:spacing w:after="0"/>
              <w:rPr>
                <w:sz w:val="11"/>
                <w:szCs w:val="11"/>
                <w:color w:val="auto"/>
              </w:rPr>
            </w:pPr>
          </w:p>
        </w:tc>
        <w:tc>
          <w:tcPr>
            <w:tcW w:w="34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expense</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shd w:val="clear" w:color="auto" w:fill="CCEEFF"/>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0"/>
                <w:szCs w:val="10"/>
                <w:color w:val="auto"/>
              </w:rPr>
              <w:t>—​​​ ​</w:t>
            </w:r>
          </w:p>
        </w:tc>
        <w:tc>
          <w:tcPr>
            <w:tcW w:w="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 ​</w:t>
            </w: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shd w:val="clear" w:color="auto" w:fill="CCEEFF"/>
          </w:tcPr>
          <w:p>
            <w:pPr>
              <w:jc w:val="right"/>
              <w:ind w:right="3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1,487</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 —</w:t>
            </w:r>
          </w:p>
        </w:tc>
        <w:tc>
          <w:tcPr>
            <w:tcW w:w="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tcBorders>
              <w:right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10120" w:type="dxa"/>
            <w:vAlign w:val="bottom"/>
            <w:gridSpan w:val="61"/>
          </w:tcPr>
          <w:p>
            <w:pPr>
              <w:spacing w:after="0"/>
              <w:rPr>
                <w:sz w:val="20"/>
                <w:szCs w:val="20"/>
                <w:color w:val="auto"/>
              </w:rPr>
            </w:pPr>
            <w:r>
              <w:rPr>
                <w:rFonts w:ascii="Arial" w:cs="Arial" w:eastAsia="Arial" w:hAnsi="Arial"/>
                <w:sz w:val="10"/>
                <w:szCs w:val="10"/>
                <w:color w:val="auto"/>
              </w:rPr>
              <w:t>Unrealized gain on investments,</w:t>
            </w:r>
          </w:p>
        </w:tc>
        <w:tc>
          <w:tcPr>
            <w:tcW w:w="0" w:type="dxa"/>
            <w:vAlign w:val="bottom"/>
          </w:tcPr>
          <w:p>
            <w:pPr>
              <w:spacing w:after="0"/>
              <w:rPr>
                <w:sz w:val="1"/>
                <w:szCs w:val="1"/>
                <w:color w:val="auto"/>
              </w:rPr>
            </w:pPr>
          </w:p>
        </w:tc>
      </w:tr>
      <w:tr>
        <w:trPr>
          <w:trHeight w:val="132"/>
        </w:trPr>
        <w:tc>
          <w:tcPr>
            <w:tcW w:w="1620" w:type="dxa"/>
            <w:vAlign w:val="bottom"/>
          </w:tcPr>
          <w:p>
            <w:pPr>
              <w:ind w:left="120"/>
              <w:spacing w:after="0"/>
              <w:rPr>
                <w:sz w:val="20"/>
                <w:szCs w:val="20"/>
                <w:color w:val="auto"/>
              </w:rPr>
            </w:pPr>
            <w:r>
              <w:rPr>
                <w:rFonts w:ascii="Arial" w:cs="Arial" w:eastAsia="Arial" w:hAnsi="Arial"/>
                <w:sz w:val="10"/>
                <w:szCs w:val="10"/>
                <w:color w:val="auto"/>
              </w:rPr>
              <w:t>net</w:t>
            </w:r>
          </w:p>
        </w:tc>
        <w:tc>
          <w:tcPr>
            <w:tcW w:w="120" w:type="dxa"/>
            <w:vAlign w:val="bottom"/>
            <w:gridSpan w:val="2"/>
          </w:tcPr>
          <w:p>
            <w:pPr>
              <w:ind w:left="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40" w:type="dxa"/>
            <w:vAlign w:val="bottom"/>
            <w:gridSpan w:val="3"/>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tcPr>
          <w:p>
            <w:pPr>
              <w:jc w:val="right"/>
              <w:ind w:right="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20" w:type="dxa"/>
            <w:vAlign w:val="bottom"/>
            <w:gridSpan w:val="4"/>
          </w:tcPr>
          <w:p>
            <w:pPr>
              <w:jc w:val="center"/>
              <w:spacing w:after="0"/>
              <w:rPr>
                <w:sz w:val="20"/>
                <w:szCs w:val="20"/>
                <w:color w:val="auto"/>
              </w:rPr>
            </w:pPr>
            <w:r>
              <w:rPr>
                <w:rFonts w:ascii="Arial" w:cs="Arial" w:eastAsia="Arial" w:hAnsi="Arial"/>
                <w:sz w:val="10"/>
                <w:szCs w:val="10"/>
                <w:color w:val="auto"/>
              </w:rPr>
              <w:t>—​​​ ​</w:t>
            </w:r>
          </w:p>
        </w:tc>
        <w:tc>
          <w:tcPr>
            <w:tcW w:w="260" w:type="dxa"/>
            <w:vAlign w:val="bottom"/>
            <w:gridSpan w:val="3"/>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660" w:type="dxa"/>
            <w:vAlign w:val="bottom"/>
            <w:gridSpan w:val="3"/>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 ​​​​ ​</w:t>
            </w:r>
          </w:p>
        </w:tc>
        <w:tc>
          <w:tcPr>
            <w:tcW w:w="400" w:type="dxa"/>
            <w:vAlign w:val="bottom"/>
            <w:gridSpan w:val="2"/>
          </w:tcPr>
          <w:p>
            <w:pPr>
              <w:jc w:val="right"/>
              <w:ind w:right="13"/>
              <w:spacing w:after="0"/>
              <w:rPr>
                <w:sz w:val="20"/>
                <w:szCs w:val="20"/>
                <w:color w:val="auto"/>
              </w:rPr>
            </w:pPr>
            <w:r>
              <w:rPr>
                <w:rFonts w:ascii="Arial" w:cs="Arial" w:eastAsia="Arial" w:hAnsi="Arial"/>
                <w:sz w:val="10"/>
                <w:szCs w:val="10"/>
                <w:color w:val="auto"/>
              </w:rPr>
              <w:t>—​​</w:t>
            </w:r>
          </w:p>
        </w:tc>
        <w:tc>
          <w:tcPr>
            <w:tcW w:w="140" w:type="dxa"/>
            <w:vAlign w:val="bottom"/>
          </w:tcPr>
          <w:p>
            <w:pPr>
              <w:ind w:left="100"/>
              <w:spacing w:after="0"/>
              <w:rPr>
                <w:sz w:val="20"/>
                <w:szCs w:val="20"/>
                <w:color w:val="auto"/>
              </w:rPr>
            </w:pPr>
            <w:r>
              <w:rPr>
                <w:rFonts w:ascii="Arial" w:cs="Arial" w:eastAsia="Arial" w:hAnsi="Arial"/>
                <w:sz w:val="10"/>
                <w:szCs w:val="10"/>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tcPr>
          <w:p>
            <w:pPr>
              <w:jc w:val="right"/>
              <w:ind w:right="37"/>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gridSpan w:val="2"/>
          </w:tcPr>
          <w:p>
            <w:pPr>
              <w:spacing w:after="0"/>
              <w:rPr>
                <w:sz w:val="20"/>
                <w:szCs w:val="20"/>
                <w:color w:val="auto"/>
              </w:rPr>
            </w:pPr>
            <w:r>
              <w:rPr>
                <w:rFonts w:ascii="Arial" w:cs="Arial" w:eastAsia="Arial" w:hAnsi="Arial"/>
                <w:sz w:val="10"/>
                <w:szCs w:val="10"/>
                <w:color w:val="auto"/>
              </w:rPr>
              <w:t>​​​ ​</w:t>
            </w: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1"/>
                <w:szCs w:val="11"/>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0"/>
                <w:szCs w:val="10"/>
                <w:color w:val="auto"/>
              </w:rPr>
              <w:t>​ 1</w:t>
            </w:r>
          </w:p>
        </w:tc>
        <w:tc>
          <w:tcPr>
            <w:tcW w:w="180" w:type="dxa"/>
            <w:vAlign w:val="bottom"/>
            <w:gridSpan w:val="3"/>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180" w:type="dxa"/>
            <w:vAlign w:val="bottom"/>
            <w:gridSpan w:val="3"/>
          </w:tcPr>
          <w:p>
            <w:pPr>
              <w:jc w:val="right"/>
              <w:ind w:right="55"/>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rPr>
                <w:sz w:val="20"/>
                <w:szCs w:val="20"/>
                <w:color w:val="auto"/>
              </w:rPr>
            </w:pPr>
            <w:r>
              <w:rPr>
                <w:rFonts w:ascii="Arial" w:cs="Arial" w:eastAsia="Arial" w:hAnsi="Arial"/>
                <w:sz w:val="10"/>
                <w:szCs w:val="10"/>
                <w:color w:val="auto"/>
              </w:rPr>
              <w:t>Net loss</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gridSpan w:val="3"/>
            <w:shd w:val="clear" w:color="auto" w:fill="CCEEFF"/>
          </w:tcPr>
          <w:p>
            <w:pPr>
              <w:jc w:val="center"/>
              <w:ind w:left="31"/>
              <w:spacing w:after="0"/>
              <w:rPr>
                <w:sz w:val="20"/>
                <w:szCs w:val="20"/>
                <w:color w:val="auto"/>
              </w:rPr>
            </w:pPr>
            <w:r>
              <w:rPr>
                <w:rFonts w:ascii="Arial" w:cs="Arial" w:eastAsia="Arial" w:hAnsi="Arial"/>
                <w:sz w:val="10"/>
                <w:szCs w:val="10"/>
                <w:color w:val="auto"/>
              </w:rPr>
              <w:t>—​​​ ​</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0"/>
                <w:szCs w:val="10"/>
                <w:color w:val="auto"/>
              </w:rPr>
              <w:t>—​​​ ​</w:t>
            </w:r>
          </w:p>
        </w:tc>
        <w:tc>
          <w:tcPr>
            <w:tcW w:w="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0"/>
                <w:szCs w:val="10"/>
                <w:color w:val="auto"/>
              </w:rPr>
              <w:t>—​​​ ​</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 ​</w:t>
            </w: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t>
            </w:r>
          </w:p>
        </w:tc>
        <w:tc>
          <w:tcPr>
            <w:tcW w:w="100" w:type="dxa"/>
            <w:vAlign w:val="bottom"/>
            <w:gridSpan w:val="3"/>
            <w:shd w:val="clear" w:color="auto" w:fill="CCEEFF"/>
          </w:tcPr>
          <w:p>
            <w:pPr>
              <w:jc w:val="right"/>
              <w:ind w:right="37"/>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ind w:left="240"/>
              <w:spacing w:after="0"/>
              <w:rPr>
                <w:sz w:val="20"/>
                <w:szCs w:val="20"/>
                <w:color w:val="auto"/>
              </w:rPr>
            </w:pPr>
            <w:r>
              <w:rPr>
                <w:rFonts w:ascii="Arial" w:cs="Arial" w:eastAsia="Arial" w:hAnsi="Arial"/>
                <w:sz w:val="1"/>
                <w:szCs w:val="1"/>
                <w:color w:val="auto"/>
                <w:w w:val="4294942296"/>
              </w:rPr>
              <w:t>​</w:t>
            </w:r>
          </w:p>
        </w:tc>
        <w:tc>
          <w:tcPr>
            <w:tcW w:w="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 —</w:t>
            </w:r>
          </w:p>
        </w:tc>
        <w:tc>
          <w:tcPr>
            <w:tcW w:w="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tcBorders>
              <w:right w:val="single" w:sz="8" w:color="CCEEFF"/>
            </w:tcBorders>
            <w:gridSpan w:val="5"/>
            <w:shd w:val="clear" w:color="auto" w:fill="CCEEFF"/>
          </w:tcPr>
          <w:p>
            <w:pPr>
              <w:jc w:val="right"/>
              <w:ind w:right="55"/>
              <w:spacing w:after="0"/>
              <w:rPr>
                <w:sz w:val="20"/>
                <w:szCs w:val="20"/>
                <w:color w:val="auto"/>
              </w:rPr>
            </w:pPr>
            <w:r>
              <w:rPr>
                <w:rFonts w:ascii="Arial" w:cs="Arial" w:eastAsia="Arial" w:hAnsi="Arial"/>
                <w:sz w:val="10"/>
                <w:szCs w:val="10"/>
                <w:color w:val="auto"/>
              </w:rPr>
              <w:t>(38,049) ​​​</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0"/>
                <w:szCs w:val="10"/>
                <w:color w:val="auto"/>
              </w:rPr>
              <w:t>​   (3</w:t>
            </w: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gridSpan w:val="2"/>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tcPr>
          <w:p>
            <w:pPr>
              <w:spacing w:after="0" w:line="106" w:lineRule="exact"/>
              <w:rPr>
                <w:sz w:val="20"/>
                <w:szCs w:val="20"/>
                <w:color w:val="auto"/>
              </w:rPr>
            </w:pPr>
            <w:r>
              <w:rPr>
                <w:rFonts w:ascii="Arial" w:cs="Arial" w:eastAsia="Arial" w:hAnsi="Arial"/>
                <w:sz w:val="10"/>
                <w:szCs w:val="10"/>
                <w:b w:val="1"/>
                <w:bCs w:val="1"/>
                <w:color w:val="auto"/>
              </w:rPr>
              <w:t>Balance at December 31, 2021</w:t>
            </w:r>
          </w:p>
        </w:tc>
        <w:tc>
          <w:tcPr>
            <w:tcW w:w="120" w:type="dxa"/>
            <w:vAlign w:val="bottom"/>
            <w:gridSpan w:val="2"/>
          </w:tcPr>
          <w:p>
            <w:pPr>
              <w:ind w:left="20"/>
              <w:spacing w:after="0" w:line="106" w:lineRule="exact"/>
              <w:rPr>
                <w:sz w:val="20"/>
                <w:szCs w:val="20"/>
                <w:color w:val="auto"/>
              </w:rPr>
            </w:pPr>
            <w:r>
              <w:rPr>
                <w:rFonts w:ascii="Arial" w:cs="Arial" w:eastAsia="Arial" w:hAnsi="Arial"/>
                <w:sz w:val="7"/>
                <w:szCs w:val="7"/>
                <w:color w:val="auto"/>
              </w:rPr>
              <w:t>​</w:t>
            </w:r>
            <w:r>
              <w:rPr>
                <w:rFonts w:ascii="Arial" w:cs="Arial" w:eastAsia="Arial" w:hAnsi="Arial"/>
                <w:sz w:val="7"/>
                <w:szCs w:val="7"/>
                <w:u w:val="single" w:color="auto"/>
                <w:color w:val="auto"/>
              </w:rPr>
              <w:t>​​</w:t>
            </w:r>
            <w:r>
              <w:rPr>
                <w:rFonts w:ascii="Arial" w:cs="Arial" w:eastAsia="Arial" w:hAnsi="Arial"/>
                <w:sz w:val="12"/>
                <w:szCs w:val="12"/>
                <w:color w:val="auto"/>
                <w:vertAlign w:val="superscript"/>
              </w:rPr>
              <w:t>​</w:t>
            </w:r>
          </w:p>
        </w:tc>
        <w:tc>
          <w:tcPr>
            <w:tcW w:w="1820" w:type="dxa"/>
            <w:vAlign w:val="bottom"/>
            <w:gridSpan w:val="13"/>
          </w:tcPr>
          <w:p>
            <w:pPr>
              <w:jc w:val="right"/>
              <w:ind w:right="40"/>
              <w:spacing w:after="0" w:line="106" w:lineRule="exact"/>
              <w:rPr>
                <w:sz w:val="20"/>
                <w:szCs w:val="20"/>
                <w:color w:val="auto"/>
              </w:rPr>
            </w:pPr>
            <w:r>
              <w:rPr>
                <w:rFonts w:ascii="Arial" w:cs="Arial" w:eastAsia="Arial" w:hAnsi="Arial"/>
                <w:sz w:val="7"/>
                <w:szCs w:val="7"/>
                <w:color w:val="auto"/>
              </w:rPr>
              <w:t>19,200</w:t>
            </w:r>
            <w:r>
              <w:rPr>
                <w:rFonts w:ascii="Arial" w:cs="Arial" w:eastAsia="Arial" w:hAnsi="Arial"/>
                <w:sz w:val="12"/>
                <w:szCs w:val="12"/>
                <w:color w:val="auto"/>
                <w:vertAlign w:val="subscript"/>
              </w:rPr>
              <w:t>​</w:t>
            </w:r>
            <w:r>
              <w:rPr>
                <w:rFonts w:ascii="Arial" w:cs="Arial" w:eastAsia="Arial" w:hAnsi="Arial"/>
                <w:sz w:val="12"/>
                <w:szCs w:val="12"/>
                <w:u w:val="single" w:color="auto"/>
                <w:color w:val="auto"/>
                <w:vertAlign w:val="subscript"/>
              </w:rPr>
              <w:t>​​</w:t>
            </w:r>
            <w:r>
              <w:rPr>
                <w:rFonts w:ascii="Arial" w:cs="Arial" w:eastAsia="Arial" w:hAnsi="Arial"/>
                <w:sz w:val="7"/>
                <w:szCs w:val="7"/>
                <w:color w:val="auto"/>
              </w:rPr>
              <w:t>$ 32,001</w:t>
            </w:r>
            <w:r>
              <w:rPr>
                <w:rFonts w:ascii="Arial" w:cs="Arial" w:eastAsia="Arial" w:hAnsi="Arial"/>
                <w:sz w:val="12"/>
                <w:szCs w:val="12"/>
                <w:color w:val="auto"/>
                <w:vertAlign w:val="subscript"/>
              </w:rPr>
              <w:t>​</w:t>
            </w:r>
            <w:r>
              <w:rPr>
                <w:rFonts w:ascii="Arial" w:cs="Arial" w:eastAsia="Arial" w:hAnsi="Arial"/>
                <w:sz w:val="12"/>
                <w:szCs w:val="12"/>
                <w:u w:val="single" w:color="auto"/>
                <w:color w:val="auto"/>
                <w:vertAlign w:val="subscript"/>
              </w:rPr>
              <w:t>​​</w:t>
            </w:r>
            <w:r>
              <w:rPr>
                <w:rFonts w:ascii="Arial" w:cs="Arial" w:eastAsia="Arial" w:hAnsi="Arial"/>
                <w:sz w:val="7"/>
                <w:szCs w:val="7"/>
                <w:color w:val="auto"/>
              </w:rPr>
              <w:t>​ 12,800</w:t>
            </w:r>
            <w:r>
              <w:rPr>
                <w:rFonts w:ascii="Arial" w:cs="Arial" w:eastAsia="Arial" w:hAnsi="Arial"/>
                <w:sz w:val="12"/>
                <w:szCs w:val="12"/>
                <w:color w:val="auto"/>
                <w:vertAlign w:val="subscript"/>
              </w:rPr>
              <w:t>​</w:t>
            </w:r>
            <w:r>
              <w:rPr>
                <w:rFonts w:ascii="Arial" w:cs="Arial" w:eastAsia="Arial" w:hAnsi="Arial"/>
                <w:sz w:val="12"/>
                <w:szCs w:val="12"/>
                <w:u w:val="single" w:color="auto"/>
                <w:color w:val="auto"/>
                <w:vertAlign w:val="subscript"/>
              </w:rPr>
              <w:t>​​</w:t>
            </w:r>
            <w:r>
              <w:rPr>
                <w:rFonts w:ascii="Arial" w:cs="Arial" w:eastAsia="Arial" w:hAnsi="Arial"/>
                <w:sz w:val="7"/>
                <w:szCs w:val="7"/>
                <w:color w:val="auto"/>
              </w:rPr>
              <w:t>$ 26,000</w:t>
            </w:r>
            <w:r>
              <w:rPr>
                <w:rFonts w:ascii="Arial" w:cs="Arial" w:eastAsia="Arial" w:hAnsi="Arial"/>
                <w:sz w:val="12"/>
                <w:szCs w:val="12"/>
                <w:color w:val="auto"/>
                <w:vertAlign w:val="subscript"/>
              </w:rPr>
              <w:t>​</w:t>
            </w:r>
            <w:r>
              <w:rPr>
                <w:rFonts w:ascii="Arial" w:cs="Arial" w:eastAsia="Arial" w:hAnsi="Arial"/>
                <w:sz w:val="12"/>
                <w:szCs w:val="12"/>
                <w:u w:val="single" w:color="auto"/>
                <w:color w:val="auto"/>
                <w:vertAlign w:val="subscript"/>
              </w:rPr>
              <w:t>​​</w:t>
            </w:r>
            <w:r>
              <w:rPr>
                <w:rFonts w:ascii="Arial" w:cs="Arial" w:eastAsia="Arial" w:hAnsi="Arial"/>
                <w:sz w:val="7"/>
                <w:szCs w:val="7"/>
                <w:color w:val="auto"/>
              </w:rPr>
              <w:t>​</w:t>
            </w:r>
          </w:p>
        </w:tc>
        <w:tc>
          <w:tcPr>
            <w:tcW w:w="940" w:type="dxa"/>
            <w:vAlign w:val="bottom"/>
            <w:gridSpan w:val="7"/>
          </w:tcPr>
          <w:p>
            <w:pPr>
              <w:jc w:val="right"/>
              <w:ind w:right="40"/>
              <w:spacing w:after="0" w:line="106" w:lineRule="exact"/>
              <w:rPr>
                <w:sz w:val="20"/>
                <w:szCs w:val="20"/>
                <w:color w:val="auto"/>
              </w:rPr>
            </w:pPr>
            <w:r>
              <w:rPr>
                <w:rFonts w:ascii="Arial" w:cs="Arial" w:eastAsia="Arial" w:hAnsi="Arial"/>
                <w:sz w:val="7"/>
                <w:szCs w:val="7"/>
                <w:color w:val="auto"/>
              </w:rPr>
              <w:t>24,702</w:t>
            </w:r>
            <w:r>
              <w:rPr>
                <w:rFonts w:ascii="Arial" w:cs="Arial" w:eastAsia="Arial" w:hAnsi="Arial"/>
                <w:sz w:val="12"/>
                <w:szCs w:val="12"/>
                <w:color w:val="auto"/>
                <w:vertAlign w:val="subscript"/>
              </w:rPr>
              <w:t>​</w:t>
            </w:r>
            <w:r>
              <w:rPr>
                <w:rFonts w:ascii="Arial" w:cs="Arial" w:eastAsia="Arial" w:hAnsi="Arial"/>
                <w:sz w:val="12"/>
                <w:szCs w:val="12"/>
                <w:u w:val="single" w:color="auto"/>
                <w:color w:val="auto"/>
                <w:vertAlign w:val="subscript"/>
              </w:rPr>
              <w:t>​​</w:t>
            </w:r>
            <w:r>
              <w:rPr>
                <w:rFonts w:ascii="Arial" w:cs="Arial" w:eastAsia="Arial" w:hAnsi="Arial"/>
                <w:sz w:val="7"/>
                <w:szCs w:val="7"/>
                <w:u w:val="single" w:color="auto"/>
                <w:color w:val="auto"/>
              </w:rPr>
              <w:t>$</w:t>
            </w:r>
            <w:r>
              <w:rPr>
                <w:rFonts w:ascii="Arial" w:cs="Arial" w:eastAsia="Arial" w:hAnsi="Arial"/>
                <w:sz w:val="7"/>
                <w:szCs w:val="7"/>
                <w:color w:val="auto"/>
              </w:rPr>
              <w:t>100,000</w:t>
            </w:r>
            <w:r>
              <w:rPr>
                <w:rFonts w:ascii="Arial" w:cs="Arial" w:eastAsia="Arial" w:hAnsi="Arial"/>
                <w:sz w:val="12"/>
                <w:szCs w:val="12"/>
                <w:color w:val="auto"/>
                <w:vertAlign w:val="subscript"/>
              </w:rPr>
              <w:t>​​​</w:t>
            </w:r>
          </w:p>
        </w:tc>
        <w:tc>
          <w:tcPr>
            <w:tcW w:w="500" w:type="dxa"/>
            <w:vAlign w:val="bottom"/>
            <w:gridSpan w:val="2"/>
          </w:tcPr>
          <w:p>
            <w:pPr>
              <w:jc w:val="right"/>
              <w:ind w:right="15"/>
              <w:spacing w:after="0" w:line="106" w:lineRule="exact"/>
              <w:rPr>
                <w:sz w:val="20"/>
                <w:szCs w:val="20"/>
                <w:color w:val="auto"/>
              </w:rPr>
            </w:pPr>
            <w:r>
              <w:rPr>
                <w:rFonts w:ascii="Arial" w:cs="Arial" w:eastAsia="Arial" w:hAnsi="Arial"/>
                <w:sz w:val="7"/>
                <w:szCs w:val="7"/>
                <w:color w:val="auto"/>
              </w:rPr>
              <w:t xml:space="preserve">2,161 </w:t>
            </w:r>
            <w:r>
              <w:rPr>
                <w:rFonts w:ascii="Arial" w:cs="Arial" w:eastAsia="Arial" w:hAnsi="Arial"/>
                <w:sz w:val="12"/>
                <w:szCs w:val="12"/>
                <w:color w:val="auto"/>
                <w:vertAlign w:val="subscript"/>
              </w:rPr>
              <w:t>​​</w:t>
            </w:r>
            <w:r>
              <w:rPr>
                <w:rFonts w:ascii="Arial" w:cs="Arial" w:eastAsia="Arial" w:hAnsi="Arial"/>
                <w:sz w:val="12"/>
                <w:szCs w:val="12"/>
                <w:u w:val="single" w:color="auto"/>
                <w:color w:val="auto"/>
                <w:vertAlign w:val="subscript"/>
              </w:rPr>
              <w:t>​​</w:t>
            </w:r>
            <w:r>
              <w:rPr>
                <w:rFonts w:ascii="Arial" w:cs="Arial" w:eastAsia="Arial" w:hAnsi="Arial"/>
                <w:sz w:val="7"/>
                <w:szCs w:val="7"/>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8,959</w:t>
            </w:r>
          </w:p>
        </w:tc>
        <w:tc>
          <w:tcPr>
            <w:tcW w:w="120" w:type="dxa"/>
            <w:vAlign w:val="bottom"/>
          </w:tcPr>
          <w:p>
            <w:pPr>
              <w:jc w:val="right"/>
              <w:ind w:right="13"/>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ind w:left="100"/>
              <w:spacing w:after="0" w:line="106" w:lineRule="exact"/>
              <w:rPr>
                <w:sz w:val="20"/>
                <w:szCs w:val="20"/>
                <w:color w:val="auto"/>
              </w:rPr>
            </w:pPr>
            <w:r>
              <w:rPr>
                <w:rFonts w:ascii="Arial" w:cs="Arial" w:eastAsia="Arial" w:hAnsi="Arial"/>
                <w:sz w:val="10"/>
                <w:szCs w:val="10"/>
                <w:color w:val="auto"/>
              </w:rPr>
              <w:t>​</w:t>
            </w:r>
          </w:p>
        </w:tc>
        <w:tc>
          <w:tcPr>
            <w:tcW w:w="160" w:type="dxa"/>
            <w:vAlign w:val="bottom"/>
          </w:tcPr>
          <w:p>
            <w:pPr>
              <w:ind w:left="20"/>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ind w:left="240"/>
              <w:spacing w:after="0" w:line="106" w:lineRule="exact"/>
              <w:rPr>
                <w:sz w:val="20"/>
                <w:szCs w:val="20"/>
                <w:color w:val="auto"/>
              </w:rPr>
            </w:pPr>
            <w:r>
              <w:rPr>
                <w:rFonts w:ascii="Arial" w:cs="Arial" w:eastAsia="Arial" w:hAnsi="Arial"/>
                <w:sz w:val="10"/>
                <w:szCs w:val="10"/>
                <w:color w:val="auto"/>
                <w:w w:val="79"/>
              </w:rPr>
              <w:t>—</w:t>
            </w:r>
          </w:p>
        </w:tc>
        <w:tc>
          <w:tcPr>
            <w:tcW w:w="140" w:type="dxa"/>
            <w:vAlign w:val="bottom"/>
          </w:tcPr>
          <w:p>
            <w:pPr>
              <w:spacing w:after="0"/>
              <w:rPr>
                <w:sz w:val="10"/>
                <w:szCs w:val="10"/>
                <w:color w:val="auto"/>
              </w:rPr>
            </w:pPr>
          </w:p>
        </w:tc>
        <w:tc>
          <w:tcPr>
            <w:tcW w:w="120" w:type="dxa"/>
            <w:vAlign w:val="bottom"/>
          </w:tcPr>
          <w:p>
            <w:pPr>
              <w:ind w:left="60"/>
              <w:spacing w:after="0" w:line="106" w:lineRule="exact"/>
              <w:rPr>
                <w:sz w:val="20"/>
                <w:szCs w:val="20"/>
                <w:color w:val="auto"/>
              </w:rPr>
            </w:pPr>
            <w:r>
              <w:rPr>
                <w:rFonts w:ascii="Arial" w:cs="Arial" w:eastAsia="Arial" w:hAnsi="Arial"/>
                <w:sz w:val="10"/>
                <w:szCs w:val="10"/>
                <w:color w:val="auto"/>
              </w:rPr>
              <w:t>​</w:t>
            </w:r>
          </w:p>
        </w:tc>
        <w:tc>
          <w:tcPr>
            <w:tcW w:w="40" w:type="dxa"/>
            <w:vAlign w:val="bottom"/>
            <w:gridSpan w:val="2"/>
            <w:vMerge w:val="continue"/>
          </w:tcPr>
          <w:p>
            <w:pPr>
              <w:spacing w:after="0"/>
              <w:rPr>
                <w:sz w:val="10"/>
                <w:szCs w:val="10"/>
                <w:color w:val="auto"/>
              </w:rPr>
            </w:pPr>
          </w:p>
        </w:tc>
        <w:tc>
          <w:tcPr>
            <w:tcW w:w="60" w:type="dxa"/>
            <w:vAlign w:val="bottom"/>
          </w:tcPr>
          <w:p>
            <w:pPr>
              <w:jc w:val="right"/>
              <w:ind w:right="37"/>
              <w:spacing w:after="0"/>
              <w:rPr>
                <w:sz w:val="20"/>
                <w:szCs w:val="20"/>
                <w:color w:val="auto"/>
              </w:rPr>
            </w:pPr>
            <w:r>
              <w:rPr>
                <w:rFonts w:ascii="Arial" w:cs="Arial" w:eastAsia="Arial" w:hAnsi="Arial"/>
                <w:sz w:val="1"/>
                <w:szCs w:val="1"/>
                <w:color w:val="auto"/>
                <w:w w:val="4294964519"/>
              </w:rPr>
              <w:t>​</w:t>
            </w:r>
            <w:r>
              <w:rPr>
                <w:rFonts w:ascii="Arial" w:cs="Arial" w:eastAsia="Arial" w:hAnsi="Arial"/>
                <w:sz w:val="1"/>
                <w:szCs w:val="1"/>
                <w:color w:val="auto"/>
                <w:w w:val="4294964519"/>
                <w:vertAlign w:val="superscript"/>
              </w:rPr>
              <w:t>​</w:t>
            </w:r>
          </w:p>
        </w:tc>
        <w:tc>
          <w:tcPr>
            <w:tcW w:w="800" w:type="dxa"/>
            <w:vAlign w:val="bottom"/>
            <w:gridSpan w:val="5"/>
          </w:tcPr>
          <w:p>
            <w:pPr>
              <w:jc w:val="right"/>
              <w:ind w:right="68"/>
              <w:spacing w:after="0" w:line="106" w:lineRule="exact"/>
              <w:rPr>
                <w:sz w:val="20"/>
                <w:szCs w:val="20"/>
                <w:color w:val="auto"/>
              </w:rPr>
            </w:pPr>
            <w:r>
              <w:rPr>
                <w:rFonts w:ascii="Arial" w:cs="Arial" w:eastAsia="Arial" w:hAnsi="Arial"/>
                <w:sz w:val="7"/>
                <w:szCs w:val="7"/>
                <w:color w:val="auto"/>
              </w:rPr>
              <w:t>10,894</w:t>
            </w:r>
            <w:r>
              <w:rPr>
                <w:rFonts w:ascii="Arial" w:cs="Arial" w:eastAsia="Arial" w:hAnsi="Arial"/>
                <w:sz w:val="12"/>
                <w:szCs w:val="12"/>
                <w:color w:val="auto"/>
                <w:vertAlign w:val="subscript"/>
              </w:rPr>
              <w:t>​​  ​</w:t>
            </w:r>
            <w:r>
              <w:rPr>
                <w:rFonts w:ascii="Arial" w:cs="Arial" w:eastAsia="Arial" w:hAnsi="Arial"/>
                <w:sz w:val="7"/>
                <w:szCs w:val="7"/>
                <w:color w:val="auto"/>
              </w:rPr>
              <w:t>$  1</w:t>
            </w:r>
          </w:p>
        </w:tc>
        <w:tc>
          <w:tcPr>
            <w:tcW w:w="280" w:type="dxa"/>
            <w:vAlign w:val="bottom"/>
            <w:gridSpan w:val="3"/>
          </w:tcPr>
          <w:p>
            <w:pPr>
              <w:spacing w:after="0" w:line="106" w:lineRule="exact"/>
              <w:rPr>
                <w:sz w:val="20"/>
                <w:szCs w:val="20"/>
                <w:color w:val="auto"/>
              </w:rPr>
            </w:pPr>
            <w:r>
              <w:rPr>
                <w:rFonts w:ascii="Arial" w:cs="Arial" w:eastAsia="Arial" w:hAnsi="Arial"/>
                <w:sz w:val="7"/>
                <w:szCs w:val="7"/>
                <w:color w:val="auto"/>
              </w:rPr>
              <w:t xml:space="preserve">​​​ ​ </w:t>
            </w:r>
            <w:r>
              <w:rPr>
                <w:rFonts w:ascii="Arial" w:cs="Arial" w:eastAsia="Arial" w:hAnsi="Arial"/>
                <w:sz w:val="12"/>
                <w:szCs w:val="12"/>
                <w:color w:val="auto"/>
                <w:vertAlign w:val="superscript"/>
              </w:rPr>
              <w:t>$</w:t>
            </w:r>
          </w:p>
        </w:tc>
        <w:tc>
          <w:tcPr>
            <w:tcW w:w="400" w:type="dxa"/>
            <w:vAlign w:val="bottom"/>
          </w:tcPr>
          <w:p>
            <w:pPr>
              <w:jc w:val="right"/>
              <w:ind w:right="28"/>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gridSpan w:val="2"/>
          </w:tcPr>
          <w:p>
            <w:pPr>
              <w:ind w:left="240"/>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 —</w:t>
            </w:r>
          </w:p>
        </w:tc>
        <w:tc>
          <w:tcPr>
            <w:tcW w:w="280" w:type="dxa"/>
            <w:vAlign w:val="bottom"/>
          </w:tcPr>
          <w:p>
            <w:pPr>
              <w:spacing w:after="0"/>
              <w:rPr>
                <w:sz w:val="10"/>
                <w:szCs w:val="10"/>
                <w:color w:val="auto"/>
              </w:rPr>
            </w:pPr>
          </w:p>
        </w:tc>
        <w:tc>
          <w:tcPr>
            <w:tcW w:w="18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 ​​</w:t>
            </w:r>
          </w:p>
        </w:tc>
        <w:tc>
          <w:tcPr>
            <w:tcW w:w="80" w:type="dxa"/>
            <w:vAlign w:val="bottom"/>
          </w:tcPr>
          <w:p>
            <w:pPr>
              <w:spacing w:after="0" w:line="106" w:lineRule="exact"/>
              <w:rPr>
                <w:sz w:val="20"/>
                <w:szCs w:val="20"/>
                <w:color w:val="auto"/>
              </w:rPr>
            </w:pPr>
            <w:r>
              <w:rPr>
                <w:rFonts w:ascii="Arial" w:cs="Arial" w:eastAsia="Arial" w:hAnsi="Arial"/>
                <w:sz w:val="7"/>
                <w:szCs w:val="7"/>
                <w:color w:val="auto"/>
              </w:rPr>
              <w:t>​</w:t>
            </w:r>
            <w:r>
              <w:rPr>
                <w:rFonts w:ascii="Arial" w:cs="Arial" w:eastAsia="Arial" w:hAnsi="Arial"/>
                <w:sz w:val="12"/>
                <w:szCs w:val="12"/>
                <w:color w:val="auto"/>
                <w:vertAlign w:val="superscript"/>
              </w:rPr>
              <w:t>$</w:t>
            </w:r>
          </w:p>
        </w:tc>
        <w:tc>
          <w:tcPr>
            <w:tcW w:w="40" w:type="dxa"/>
            <w:vAlign w:val="bottom"/>
          </w:tcPr>
          <w:p>
            <w:pPr>
              <w:spacing w:after="0"/>
              <w:rPr>
                <w:sz w:val="10"/>
                <w:szCs w:val="10"/>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(64,736)</w:t>
            </w:r>
          </w:p>
        </w:tc>
        <w:tc>
          <w:tcPr>
            <w:tcW w:w="260" w:type="dxa"/>
            <w:vAlign w:val="bottom"/>
            <w:gridSpan w:val="4"/>
          </w:tcPr>
          <w:p>
            <w:pPr>
              <w:jc w:val="right"/>
              <w:ind w:right="55"/>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line="106" w:lineRule="exact"/>
              <w:rPr>
                <w:sz w:val="20"/>
                <w:szCs w:val="20"/>
                <w:color w:val="auto"/>
              </w:rPr>
            </w:pPr>
            <w:r>
              <w:rPr>
                <w:rFonts w:ascii="Arial" w:cs="Arial" w:eastAsia="Arial" w:hAnsi="Arial"/>
                <w:sz w:val="7"/>
                <w:szCs w:val="7"/>
                <w:color w:val="auto"/>
              </w:rPr>
              <w:t xml:space="preserve">​ </w:t>
            </w:r>
            <w:r>
              <w:rPr>
                <w:rFonts w:ascii="Arial" w:cs="Arial" w:eastAsia="Arial" w:hAnsi="Arial"/>
                <w:sz w:val="12"/>
                <w:szCs w:val="12"/>
                <w:color w:val="auto"/>
                <w:vertAlign w:val="superscript"/>
              </w:rPr>
              <w:t>$</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0"/>
        </w:trPr>
        <w:tc>
          <w:tcPr>
            <w:tcW w:w="1620" w:type="dxa"/>
            <w:vAlign w:val="bottom"/>
            <w:vMerge w:val="restart"/>
          </w:tcPr>
          <w:p>
            <w:pPr>
              <w:ind w:left="20"/>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Arial" w:cs="Arial" w:eastAsia="Arial" w:hAnsi="Arial"/>
                <w:sz w:val="9"/>
                <w:szCs w:val="9"/>
                <w:b w:val="1"/>
                <w:bCs w:val="1"/>
                <w:color w:val="auto"/>
              </w:rPr>
              <w:t>​​​</w:t>
            </w: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ind w:left="20"/>
              <w:spacing w:after="0"/>
              <w:rPr>
                <w:sz w:val="20"/>
                <w:szCs w:val="20"/>
                <w:color w:val="auto"/>
              </w:rPr>
            </w:pPr>
            <w:r>
              <w:rPr>
                <w:rFonts w:ascii="Arial" w:cs="Arial" w:eastAsia="Arial" w:hAnsi="Arial"/>
                <w:sz w:val="9"/>
                <w:szCs w:val="9"/>
                <w:b w:val="1"/>
                <w:bCs w:val="1"/>
                <w:color w:val="auto"/>
              </w:rPr>
              <w:t>​​​</w:t>
            </w: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2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9"/>
                <w:szCs w:val="9"/>
                <w:b w:val="1"/>
                <w:bCs w:val="1"/>
                <w:color w:val="auto"/>
              </w:rPr>
              <w:t>​​​</w:t>
            </w: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jc w:val="right"/>
              <w:ind w:right="35"/>
              <w:spacing w:after="0"/>
              <w:rPr>
                <w:sz w:val="20"/>
                <w:szCs w:val="20"/>
                <w:color w:val="auto"/>
              </w:rPr>
            </w:pPr>
            <w:r>
              <w:rPr>
                <w:rFonts w:ascii="Arial" w:cs="Arial" w:eastAsia="Arial" w:hAnsi="Arial"/>
                <w:sz w:val="9"/>
                <w:szCs w:val="9"/>
                <w:b w:val="1"/>
                <w:bCs w:val="1"/>
                <w:color w:val="auto"/>
              </w:rPr>
              <w:t>​​​</w:t>
            </w: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620" w:type="dxa"/>
            <w:vAlign w:val="bottom"/>
            <w:vMerge w:val="continue"/>
          </w:tcPr>
          <w:p>
            <w:pPr>
              <w:spacing w:after="0"/>
              <w:rPr>
                <w:sz w:val="8"/>
                <w:szCs w:val="8"/>
                <w:color w:val="auto"/>
              </w:rPr>
            </w:pPr>
          </w:p>
        </w:tc>
        <w:tc>
          <w:tcPr>
            <w:tcW w:w="1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w:t>
            </w:r>
          </w:p>
        </w:tc>
        <w:tc>
          <w:tcPr>
            <w:tcW w:w="340" w:type="dxa"/>
            <w:vAlign w:val="bottom"/>
          </w:tcPr>
          <w:p>
            <w:pPr>
              <w:spacing w:after="0"/>
              <w:rPr>
                <w:sz w:val="8"/>
                <w:szCs w:val="8"/>
                <w:color w:val="auto"/>
              </w:rPr>
            </w:pPr>
          </w:p>
        </w:tc>
        <w:tc>
          <w:tcPr>
            <w:tcW w:w="300" w:type="dxa"/>
            <w:vAlign w:val="bottom"/>
            <w:gridSpan w:val="2"/>
          </w:tcPr>
          <w:p>
            <w:pPr>
              <w:jc w:val="center"/>
              <w:ind w:right="175"/>
              <w:spacing w:after="0" w:line="101"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8"/>
                <w:szCs w:val="8"/>
                <w:color w:val="auto"/>
              </w:rPr>
            </w:pPr>
          </w:p>
        </w:tc>
        <w:tc>
          <w:tcPr>
            <w:tcW w:w="140" w:type="dxa"/>
            <w:vAlign w:val="bottom"/>
            <w:gridSpan w:val="2"/>
          </w:tcPr>
          <w:p>
            <w:pPr>
              <w:jc w:val="right"/>
              <w:ind w:right="60"/>
              <w:spacing w:after="0" w:line="101" w:lineRule="exact"/>
              <w:rPr>
                <w:sz w:val="20"/>
                <w:szCs w:val="20"/>
                <w:color w:val="auto"/>
              </w:rPr>
            </w:pPr>
            <w:r>
              <w:rPr>
                <w:rFonts w:ascii="Arial" w:cs="Arial" w:eastAsia="Arial" w:hAnsi="Arial"/>
                <w:sz w:val="9"/>
                <w:szCs w:val="9"/>
                <w:b w:val="1"/>
                <w:bCs w:val="1"/>
                <w:color w:val="auto"/>
              </w:rPr>
              <w:t>​​​</w:t>
            </w:r>
          </w:p>
        </w:tc>
        <w:tc>
          <w:tcPr>
            <w:tcW w:w="300" w:type="dxa"/>
            <w:vAlign w:val="bottom"/>
          </w:tcPr>
          <w:p>
            <w:pPr>
              <w:spacing w:after="0"/>
              <w:rPr>
                <w:sz w:val="8"/>
                <w:szCs w:val="8"/>
                <w:color w:val="auto"/>
              </w:rPr>
            </w:pPr>
          </w:p>
        </w:tc>
        <w:tc>
          <w:tcPr>
            <w:tcW w:w="320" w:type="dxa"/>
            <w:vAlign w:val="bottom"/>
            <w:gridSpan w:val="3"/>
          </w:tcPr>
          <w:p>
            <w:pPr>
              <w:jc w:val="center"/>
              <w:ind w:right="220"/>
              <w:spacing w:after="0" w:line="101" w:lineRule="exact"/>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8"/>
                <w:szCs w:val="8"/>
                <w:color w:val="auto"/>
              </w:rPr>
            </w:pPr>
          </w:p>
        </w:tc>
        <w:tc>
          <w:tcPr>
            <w:tcW w:w="120" w:type="dxa"/>
            <w:vAlign w:val="bottom"/>
            <w:gridSpan w:val="2"/>
          </w:tcPr>
          <w:p>
            <w:pPr>
              <w:jc w:val="right"/>
              <w:ind w:right="40"/>
              <w:spacing w:after="0" w:line="101" w:lineRule="exact"/>
              <w:rPr>
                <w:sz w:val="20"/>
                <w:szCs w:val="20"/>
                <w:color w:val="auto"/>
              </w:rPr>
            </w:pPr>
            <w:r>
              <w:rPr>
                <w:rFonts w:ascii="Arial" w:cs="Arial" w:eastAsia="Arial" w:hAnsi="Arial"/>
                <w:sz w:val="9"/>
                <w:szCs w:val="9"/>
                <w:b w:val="1"/>
                <w:bCs w:val="1"/>
                <w:color w:val="auto"/>
              </w:rPr>
              <w:t>​​​</w:t>
            </w:r>
          </w:p>
        </w:tc>
        <w:tc>
          <w:tcPr>
            <w:tcW w:w="340" w:type="dxa"/>
            <w:vAlign w:val="bottom"/>
          </w:tcPr>
          <w:p>
            <w:pPr>
              <w:spacing w:after="0"/>
              <w:rPr>
                <w:sz w:val="8"/>
                <w:szCs w:val="8"/>
                <w:color w:val="auto"/>
              </w:rPr>
            </w:pPr>
          </w:p>
        </w:tc>
        <w:tc>
          <w:tcPr>
            <w:tcW w:w="32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8"/>
                <w:szCs w:val="8"/>
                <w:color w:val="auto"/>
              </w:rPr>
            </w:pPr>
          </w:p>
        </w:tc>
        <w:tc>
          <w:tcPr>
            <w:tcW w:w="120" w:type="dxa"/>
            <w:vAlign w:val="bottom"/>
            <w:gridSpan w:val="3"/>
          </w:tcPr>
          <w:p>
            <w:pPr>
              <w:jc w:val="right"/>
              <w:ind w:right="40"/>
              <w:spacing w:after="0" w:line="101" w:lineRule="exact"/>
              <w:rPr>
                <w:sz w:val="20"/>
                <w:szCs w:val="20"/>
                <w:color w:val="auto"/>
              </w:rPr>
            </w:pPr>
            <w:r>
              <w:rPr>
                <w:rFonts w:ascii="Arial" w:cs="Arial" w:eastAsia="Arial" w:hAnsi="Arial"/>
                <w:sz w:val="9"/>
                <w:szCs w:val="9"/>
                <w:b w:val="1"/>
                <w:bCs w:val="1"/>
                <w:color w:val="auto"/>
              </w:rPr>
              <w:t>​​​</w:t>
            </w:r>
          </w:p>
        </w:tc>
        <w:tc>
          <w:tcPr>
            <w:tcW w:w="360" w:type="dxa"/>
            <w:vAlign w:val="bottom"/>
          </w:tcPr>
          <w:p>
            <w:pPr>
              <w:spacing w:after="0"/>
              <w:rPr>
                <w:sz w:val="8"/>
                <w:szCs w:val="8"/>
                <w:color w:val="auto"/>
              </w:rPr>
            </w:pPr>
          </w:p>
        </w:tc>
        <w:tc>
          <w:tcPr>
            <w:tcW w:w="140" w:type="dxa"/>
            <w:vAlign w:val="bottom"/>
          </w:tcPr>
          <w:p>
            <w:pPr>
              <w:jc w:val="right"/>
              <w:ind w:right="55"/>
              <w:spacing w:after="0" w:line="10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gridSpan w:val="3"/>
          </w:tcPr>
          <w:p>
            <w:pPr>
              <w:jc w:val="right"/>
              <w:ind w:right="37"/>
              <w:spacing w:after="0" w:line="101" w:lineRule="exact"/>
              <w:rPr>
                <w:sz w:val="20"/>
                <w:szCs w:val="20"/>
                <w:color w:val="auto"/>
              </w:rPr>
            </w:pPr>
            <w:r>
              <w:rPr>
                <w:rFonts w:ascii="Arial" w:cs="Arial" w:eastAsia="Arial" w:hAnsi="Arial"/>
                <w:sz w:val="9"/>
                <w:szCs w:val="9"/>
                <w:b w:val="1"/>
                <w:bCs w:val="1"/>
                <w:color w:val="auto"/>
              </w:rPr>
              <w:t>​​​</w:t>
            </w:r>
          </w:p>
        </w:tc>
        <w:tc>
          <w:tcPr>
            <w:tcW w:w="3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637413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374130" cy="37465"/>
                    </a:xfrm>
                    <a:prstGeom prst="rect">
                      <a:avLst/>
                    </a:prstGeom>
                    <a:noFill/>
                  </pic:spPr>
                </pic:pic>
              </a:graphicData>
            </a:graphic>
          </wp:anchor>
        </w:drawing>
      </w:r>
    </w:p>
    <w:p>
      <w:pPr>
        <w:sectPr>
          <w:pgSz w:w="11900" w:h="16838" w:orient="portrait"/>
          <w:cols w:equalWidth="0" w:num="1">
            <w:col w:w="10720"/>
          </w:cols>
          <w:pgMar w:left="940" w:top="109" w:right="239" w:bottom="1440" w:gutter="0" w:footer="0" w:header="0"/>
        </w:sectPr>
      </w:pPr>
    </w:p>
    <w:bookmarkStart w:id="255" w:name="page256"/>
    <w:bookmarkEnd w:id="255"/>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28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373316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39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5"/>
          </w:tcPr>
          <w:p>
            <w:pPr>
              <w:jc w:val="center"/>
              <w:spacing w:after="0"/>
              <w:rPr>
                <w:sz w:val="20"/>
                <w:szCs w:val="20"/>
                <w:color w:val="auto"/>
              </w:rPr>
            </w:pPr>
            <w:r>
              <w:rPr>
                <w:rFonts w:ascii="Arial" w:cs="Arial" w:eastAsia="Arial" w:hAnsi="Arial"/>
                <w:sz w:val="10"/>
                <w:szCs w:val="10"/>
                <w:b w:val="1"/>
                <w:bCs w:val="1"/>
                <w:color w:val="auto"/>
              </w:rPr>
              <w:t>YEAR ENDED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00" w:type="dxa"/>
            <w:vAlign w:val="bottom"/>
          </w:tcPr>
          <w:p>
            <w:pPr>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0"/>
                <w:szCs w:val="20"/>
                <w:color w:val="auto"/>
              </w:rPr>
            </w:pPr>
            <w:r>
              <w:rPr>
                <w:rFonts w:ascii="Arial" w:cs="Arial" w:eastAsia="Arial" w:hAnsi="Arial"/>
                <w:sz w:val="10"/>
                <w:szCs w:val="10"/>
                <w:b w:val="1"/>
                <w:bCs w:val="1"/>
                <w:color w:val="auto"/>
              </w:rPr>
              <w:t>​ ​</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4"/>
          </w:tcPr>
          <w:p>
            <w:pPr>
              <w:jc w:val="right"/>
              <w:ind w:right="87"/>
              <w:spacing w:after="0"/>
              <w:rPr>
                <w:sz w:val="20"/>
                <w:szCs w:val="20"/>
                <w:color w:val="auto"/>
              </w:rPr>
            </w:pPr>
            <w:r>
              <w:rPr>
                <w:rFonts w:ascii="Arial" w:cs="Arial" w:eastAsia="Arial" w:hAnsi="Arial"/>
                <w:sz w:val="10"/>
                <w:szCs w:val="10"/>
                <w:b w:val="1"/>
                <w:bCs w:val="1"/>
                <w:color w:val="auto"/>
              </w:rPr>
              <w:t>2020   ​ ​</w:t>
            </w: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25"/>
        </w:trPr>
        <w:tc>
          <w:tcPr>
            <w:tcW w:w="4600" w:type="dxa"/>
            <w:vAlign w:val="bottom"/>
            <w:vMerge w:val="continue"/>
            <w:shd w:val="clear" w:color="auto" w:fill="CCEEFF"/>
          </w:tcPr>
          <w:p>
            <w:pPr>
              <w:spacing w:after="0"/>
              <w:rPr>
                <w:sz w:val="10"/>
                <w:szCs w:val="10"/>
                <w:color w:val="auto"/>
              </w:rPr>
            </w:pPr>
          </w:p>
        </w:tc>
        <w:tc>
          <w:tcPr>
            <w:tcW w:w="240" w:type="dxa"/>
            <w:vAlign w:val="bottom"/>
            <w:gridSpan w:val="3"/>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 ​​ ​</w:t>
            </w:r>
          </w:p>
        </w:tc>
        <w:tc>
          <w:tcPr>
            <w:tcW w:w="38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 ​​ ​</w:t>
            </w: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00" w:type="dxa"/>
            <w:vAlign w:val="bottom"/>
          </w:tcPr>
          <w:p>
            <w:pPr>
              <w:spacing w:after="0"/>
              <w:rPr>
                <w:sz w:val="20"/>
                <w:szCs w:val="20"/>
                <w:color w:val="auto"/>
              </w:rPr>
            </w:pPr>
            <w:r>
              <w:rPr>
                <w:rFonts w:ascii="Arial" w:cs="Arial" w:eastAsia="Arial" w:hAnsi="Arial"/>
                <w:sz w:val="12"/>
                <w:szCs w:val="12"/>
                <w:color w:val="auto"/>
              </w:rPr>
              <w:t>Net loss</w:t>
            </w:r>
          </w:p>
        </w:tc>
        <w:tc>
          <w:tcPr>
            <w:tcW w:w="1280" w:type="dxa"/>
            <w:vAlign w:val="bottom"/>
            <w:gridSpan w:val="9"/>
          </w:tcPr>
          <w:p>
            <w:pPr>
              <w:ind w:left="20"/>
              <w:spacing w:after="0"/>
              <w:rPr>
                <w:sz w:val="20"/>
                <w:szCs w:val="20"/>
                <w:color w:val="auto"/>
              </w:rPr>
            </w:pPr>
            <w:r>
              <w:rPr>
                <w:rFonts w:ascii="Arial" w:cs="Arial" w:eastAsia="Arial" w:hAnsi="Arial"/>
                <w:sz w:val="12"/>
                <w:szCs w:val="12"/>
                <w:color w:val="auto"/>
              </w:rPr>
              <w:t>​ ​​$(15,876​​) ​​$ (38,049​)</w:t>
            </w:r>
          </w:p>
        </w:tc>
        <w:tc>
          <w:tcPr>
            <w:tcW w:w="20" w:type="dxa"/>
            <w:vAlign w:val="bottom"/>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3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tcPr>
          <w:p>
            <w:pPr>
              <w:ind w:left="120"/>
              <w:spacing w:after="0"/>
              <w:rPr>
                <w:sz w:val="20"/>
                <w:szCs w:val="20"/>
                <w:color w:val="auto"/>
              </w:rPr>
            </w:pPr>
            <w:r>
              <w:rPr>
                <w:rFonts w:ascii="Arial" w:cs="Arial" w:eastAsia="Arial" w:hAnsi="Arial"/>
                <w:sz w:val="12"/>
                <w:szCs w:val="12"/>
                <w:color w:val="auto"/>
              </w:rPr>
              <w:t>Share-based compensation expense</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570​​ ​​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1,487​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72​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tcPr>
          <w:p>
            <w:pPr>
              <w:ind w:left="120"/>
              <w:spacing w:after="0"/>
              <w:rPr>
                <w:sz w:val="20"/>
                <w:szCs w:val="20"/>
                <w:color w:val="auto"/>
              </w:rPr>
            </w:pPr>
            <w:r>
              <w:rPr>
                <w:rFonts w:ascii="Arial" w:cs="Arial" w:eastAsia="Arial" w:hAnsi="Arial"/>
                <w:sz w:val="12"/>
                <w:szCs w:val="12"/>
                <w:color w:val="auto"/>
              </w:rPr>
              <w:t>Non-cash lease expense</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20​​ ​​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194​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net investment premium</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34​​ ​​ ​</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tcPr>
          <w:p>
            <w:pPr>
              <w:ind w:left="120"/>
              <w:spacing w:after="0"/>
              <w:rPr>
                <w:sz w:val="20"/>
                <w:szCs w:val="20"/>
                <w:color w:val="auto"/>
              </w:rPr>
            </w:pPr>
            <w:r>
              <w:rPr>
                <w:rFonts w:ascii="Arial" w:cs="Arial" w:eastAsia="Arial" w:hAnsi="Arial"/>
                <w:sz w:val="12"/>
                <w:szCs w:val="12"/>
                <w:color w:val="auto"/>
              </w:rPr>
              <w:t>Amortization of debt discount and issuance costs</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23​​ ​​ ​</w:t>
            </w:r>
          </w:p>
        </w:tc>
        <w:tc>
          <w:tcPr>
            <w:tcW w:w="2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47​</w:t>
            </w:r>
          </w:p>
        </w:tc>
        <w:tc>
          <w:tcPr>
            <w:tcW w:w="20" w:type="dxa"/>
            <w:vAlign w:val="bottom"/>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3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(919​​) ​​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(1,008​)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non-current assets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39​​ ​​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1,020​​ ​​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1,897​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804​​ ​​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3,413​</w:t>
            </w:r>
          </w:p>
        </w:tc>
        <w:tc>
          <w:tcPr>
            <w:tcW w:w="20" w:type="dxa"/>
            <w:vAlign w:val="bottom"/>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55"/>
        </w:trPr>
        <w:tc>
          <w:tcPr>
            <w:tcW w:w="4600" w:type="dxa"/>
            <w:vAlign w:val="bottom"/>
          </w:tcPr>
          <w:p>
            <w:pPr>
              <w:ind w:left="240"/>
              <w:spacing w:after="0"/>
              <w:rPr>
                <w:sz w:val="20"/>
                <w:szCs w:val="20"/>
                <w:color w:val="auto"/>
              </w:rPr>
            </w:pPr>
            <w:r>
              <w:rPr>
                <w:rFonts w:ascii="Arial" w:cs="Arial" w:eastAsia="Arial" w:hAnsi="Arial"/>
                <w:sz w:val="12"/>
                <w:szCs w:val="12"/>
                <w:color w:val="auto"/>
              </w:rPr>
              <w:t>Operating lease liabilities</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2​​ ​​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(204</w:t>
            </w: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Borders>
              <w:top w:val="single" w:sz="8" w:color="CCEEFF"/>
              <w:bottom w:val="single" w:sz="8" w:color="CCEEFF"/>
            </w:tcBorders>
            <w:shd w:val="clear" w:color="auto" w:fill="CCEEFF"/>
          </w:tcPr>
          <w:p>
            <w:pPr>
              <w:ind w:left="380"/>
              <w:spacing w:after="0" w:line="135" w:lineRule="exact"/>
              <w:rPr>
                <w:sz w:val="20"/>
                <w:szCs w:val="20"/>
                <w:color w:val="auto"/>
              </w:rPr>
            </w:pPr>
            <w:r>
              <w:rPr>
                <w:rFonts w:ascii="Arial" w:cs="Arial" w:eastAsia="Arial" w:hAnsi="Arial"/>
                <w:sz w:val="12"/>
                <w:szCs w:val="12"/>
                <w:color w:val="auto"/>
              </w:rPr>
              <w:t>Net cash used in operating activities</w:t>
            </w:r>
          </w:p>
        </w:tc>
        <w:tc>
          <w:tcPr>
            <w:tcW w:w="140" w:type="dxa"/>
            <w:vAlign w:val="bottom"/>
            <w:tcBorders>
              <w:top w:val="single" w:sz="8" w:color="CCEEFF"/>
              <w:bottom w:val="single" w:sz="8" w:color="CCEEFF"/>
              <w:right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 ​</w:t>
            </w:r>
          </w:p>
        </w:tc>
        <w:tc>
          <w:tcPr>
            <w:tcW w:w="6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auto"/>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2"/>
                <w:szCs w:val="12"/>
                <w:color w:val="auto"/>
                <w:w w:val="98"/>
              </w:rPr>
              <w:t>​(14,283</w:t>
            </w:r>
          </w:p>
        </w:tc>
        <w:tc>
          <w:tcPr>
            <w:tcW w:w="80" w:type="dxa"/>
            <w:vAlign w:val="bottom"/>
            <w:tcBorders>
              <w:top w:val="single" w:sz="8" w:color="CCEEFF"/>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w:t>
            </w:r>
          </w:p>
        </w:tc>
        <w:tc>
          <w:tcPr>
            <w:tcW w:w="80" w:type="dxa"/>
            <w:vAlign w:val="bottom"/>
            <w:tcBorders>
              <w:top w:val="single" w:sz="8" w:color="CCEEFF"/>
              <w:bottom w:val="single" w:sz="8" w:color="CCEEFF"/>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 ​(32,160</w:t>
            </w: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25"/>
        </w:trPr>
        <w:tc>
          <w:tcPr>
            <w:tcW w:w="4600" w:type="dxa"/>
            <w:vAlign w:val="bottom"/>
          </w:tcPr>
          <w:p>
            <w:pPr>
              <w:spacing w:after="0" w:line="125" w:lineRule="exact"/>
              <w:rPr>
                <w:sz w:val="20"/>
                <w:szCs w:val="20"/>
                <w:color w:val="auto"/>
              </w:rPr>
            </w:pPr>
            <w:r>
              <w:rPr>
                <w:rFonts w:ascii="Arial" w:cs="Arial" w:eastAsia="Arial" w:hAnsi="Arial"/>
                <w:sz w:val="12"/>
                <w:szCs w:val="12"/>
                <w:b w:val="1"/>
                <w:bCs w:val="1"/>
                <w:color w:val="auto"/>
              </w:rPr>
              <w:t>Cash flows from investing activities</w:t>
            </w:r>
          </w:p>
        </w:tc>
        <w:tc>
          <w:tcPr>
            <w:tcW w:w="2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 ​​</w:t>
            </w:r>
          </w:p>
        </w:tc>
        <w:tc>
          <w:tcPr>
            <w:tcW w:w="40" w:type="dxa"/>
            <w:vAlign w:val="bottom"/>
          </w:tcPr>
          <w:p>
            <w:pPr>
              <w:spacing w:after="0" w:line="125" w:lineRule="exact"/>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 ​</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Purchases of short-term investments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​(21,128​​)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(4,212​)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tcPr>
          <w:p>
            <w:pPr>
              <w:spacing w:after="0"/>
              <w:rPr>
                <w:sz w:val="20"/>
                <w:szCs w:val="20"/>
                <w:color w:val="auto"/>
              </w:rPr>
            </w:pPr>
            <w:r>
              <w:rPr>
                <w:rFonts w:ascii="Arial" w:cs="Arial" w:eastAsia="Arial" w:hAnsi="Arial"/>
                <w:sz w:val="12"/>
                <w:szCs w:val="12"/>
                <w:color w:val="auto"/>
              </w:rPr>
              <w:t>Maturities of short-term investments</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4"/>
          </w:tcPr>
          <w:p>
            <w:pPr>
              <w:jc w:val="right"/>
              <w:spacing w:after="0"/>
              <w:rPr>
                <w:sz w:val="20"/>
                <w:szCs w:val="20"/>
                <w:color w:val="auto"/>
              </w:rPr>
            </w:pPr>
            <w:r>
              <w:rPr>
                <w:rFonts w:ascii="Arial" w:cs="Arial" w:eastAsia="Arial" w:hAnsi="Arial"/>
                <w:sz w:val="12"/>
                <w:szCs w:val="12"/>
                <w:color w:val="auto"/>
              </w:rPr>
              <w:t>​​ ​ 23,277​</w:t>
            </w:r>
          </w:p>
        </w:tc>
        <w:tc>
          <w:tcPr>
            <w:tcW w:w="20" w:type="dxa"/>
            <w:vAlign w:val="bottom"/>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(1,206)</w:t>
            </w: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Borders>
              <w:top w:val="single" w:sz="8" w:color="CCEEFF"/>
            </w:tcBorders>
          </w:tcPr>
          <w:p>
            <w:pPr>
              <w:ind w:left="380"/>
              <w:spacing w:after="0" w:line="135" w:lineRule="exact"/>
              <w:rPr>
                <w:sz w:val="20"/>
                <w:szCs w:val="20"/>
                <w:color w:val="auto"/>
              </w:rPr>
            </w:pPr>
            <w:r>
              <w:rPr>
                <w:rFonts w:ascii="Arial" w:cs="Arial" w:eastAsia="Arial" w:hAnsi="Arial"/>
                <w:sz w:val="12"/>
                <w:szCs w:val="12"/>
                <w:color w:val="auto"/>
              </w:rPr>
              <w:t>Net cash (used in) provided by investing activities</w:t>
            </w:r>
          </w:p>
        </w:tc>
        <w:tc>
          <w:tcPr>
            <w:tcW w:w="1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 ​</w:t>
            </w:r>
          </w:p>
        </w:tc>
        <w:tc>
          <w:tcPr>
            <w:tcW w:w="60" w:type="dxa"/>
            <w:vAlign w:val="bottom"/>
            <w:tcBorders>
              <w:top w:val="single" w:sz="8" w:color="auto"/>
            </w:tcBorders>
          </w:tcPr>
          <w:p>
            <w:pPr>
              <w:spacing w:after="0" w:line="135"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2"/>
                <w:szCs w:val="12"/>
                <w:color w:val="auto"/>
                <w:w w:val="98"/>
              </w:rPr>
              <w:t>​(21,147</w:t>
            </w:r>
          </w:p>
        </w:tc>
        <w:tc>
          <w:tcPr>
            <w:tcW w:w="80" w:type="dxa"/>
            <w:vAlign w:val="bottom"/>
            <w:tcBorders>
              <w:top w:val="single" w:sz="8" w:color="CCEEFF"/>
            </w:tcBorders>
          </w:tcPr>
          <w:p>
            <w:pPr>
              <w:jc w:val="right"/>
              <w:spacing w:after="0" w:line="135" w:lineRule="exact"/>
              <w:rPr>
                <w:sz w:val="20"/>
                <w:szCs w:val="20"/>
                <w:color w:val="auto"/>
              </w:rPr>
            </w:pPr>
            <w:r>
              <w:rPr>
                <w:rFonts w:ascii="Arial" w:cs="Arial" w:eastAsia="Arial" w:hAnsi="Arial"/>
                <w:sz w:val="12"/>
                <w:szCs w:val="12"/>
                <w:color w:val="auto"/>
                <w:w w:val="98"/>
              </w:rPr>
              <w:t>​​)</w:t>
            </w:r>
          </w:p>
        </w:tc>
        <w:tc>
          <w:tcPr>
            <w:tcW w:w="580" w:type="dxa"/>
            <w:vAlign w:val="bottom"/>
            <w:tcBorders>
              <w:top w:val="single" w:sz="8" w:color="CCEEFF"/>
            </w:tcBorders>
            <w:gridSpan w:val="4"/>
          </w:tcPr>
          <w:p>
            <w:pPr>
              <w:jc w:val="right"/>
              <w:spacing w:after="0" w:line="135" w:lineRule="exact"/>
              <w:rPr>
                <w:sz w:val="20"/>
                <w:szCs w:val="20"/>
                <w:color w:val="auto"/>
              </w:rPr>
            </w:pPr>
            <w:r>
              <w:rPr>
                <w:rFonts w:ascii="Arial" w:cs="Arial" w:eastAsia="Arial" w:hAnsi="Arial"/>
                <w:sz w:val="12"/>
                <w:szCs w:val="12"/>
                <w:color w:val="auto"/>
              </w:rPr>
              <w:t>​​ ​ 17,859</w:t>
            </w: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25"/>
        </w:trPr>
        <w:tc>
          <w:tcPr>
            <w:tcW w:w="4600" w:type="dxa"/>
            <w:vAlign w:val="bottom"/>
            <w:vMerge w:val="continue"/>
            <w:shd w:val="clear" w:color="auto" w:fill="CCEEFF"/>
          </w:tcPr>
          <w:p>
            <w:pPr>
              <w:spacing w:after="0"/>
              <w:rPr>
                <w:sz w:val="10"/>
                <w:szCs w:val="10"/>
                <w:color w:val="auto"/>
              </w:rPr>
            </w:pPr>
          </w:p>
        </w:tc>
        <w:tc>
          <w:tcPr>
            <w:tcW w:w="240" w:type="dxa"/>
            <w:vAlign w:val="bottom"/>
            <w:gridSpan w:val="3"/>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 ​​ ​</w:t>
            </w:r>
          </w:p>
        </w:tc>
        <w:tc>
          <w:tcPr>
            <w:tcW w:w="38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 ​​ ​</w:t>
            </w: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2"/>
                <w:szCs w:val="12"/>
                <w:color w:val="auto"/>
              </w:rPr>
              <w:t>Proceeds from issuance of Series A+ redeemable convertible preferred shares, net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tcPr>
          <w:p>
            <w:pPr>
              <w:ind w:left="120"/>
              <w:spacing w:after="0"/>
              <w:rPr>
                <w:sz w:val="20"/>
                <w:szCs w:val="20"/>
                <w:color w:val="auto"/>
              </w:rPr>
            </w:pPr>
            <w:r>
              <w:rPr>
                <w:rFonts w:ascii="Arial" w:cs="Arial" w:eastAsia="Arial" w:hAnsi="Arial"/>
                <w:sz w:val="12"/>
                <w:szCs w:val="12"/>
                <w:color w:val="auto"/>
              </w:rPr>
              <w:t>of issuance costs</w:t>
            </w:r>
          </w:p>
        </w:tc>
        <w:tc>
          <w:tcPr>
            <w:tcW w:w="880" w:type="dxa"/>
            <w:vAlign w:val="bottom"/>
            <w:gridSpan w:val="7"/>
          </w:tcPr>
          <w:p>
            <w:pPr>
              <w:ind w:left="20"/>
              <w:spacing w:after="0"/>
              <w:rPr>
                <w:sz w:val="20"/>
                <w:szCs w:val="20"/>
                <w:color w:val="auto"/>
              </w:rPr>
            </w:pPr>
            <w:r>
              <w:rPr>
                <w:rFonts w:ascii="Arial" w:cs="Arial" w:eastAsia="Arial" w:hAnsi="Arial"/>
                <w:sz w:val="12"/>
                <w:szCs w:val="12"/>
                <w:color w:val="auto"/>
              </w:rPr>
              <w:t>​ ​​ ​25,837​​ ​​ ​</w:t>
            </w:r>
          </w:p>
        </w:tc>
        <w:tc>
          <w:tcPr>
            <w:tcW w:w="26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Series B redeemable convertible preferred shares, net of</w:t>
            </w: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costs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 ​​ ​ 96,449​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2"/>
                <w:szCs w:val="12"/>
                <w:color w:val="auto"/>
              </w:rPr>
              <w:t>Proceeds from issuance of Series Seed redeemable convertible preferred shares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tcPr>
          <w:p>
            <w:pPr>
              <w:ind w:left="120"/>
              <w:spacing w:after="0"/>
              <w:rPr>
                <w:sz w:val="20"/>
                <w:szCs w:val="20"/>
                <w:color w:val="auto"/>
              </w:rPr>
            </w:pPr>
            <w:r>
              <w:rPr>
                <w:rFonts w:ascii="Arial" w:cs="Arial" w:eastAsia="Arial" w:hAnsi="Arial"/>
                <w:sz w:val="12"/>
                <w:szCs w:val="12"/>
                <w:color w:val="auto"/>
              </w:rPr>
              <w:t>Basecamp to noncontrolling interest holders</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 ​​ ​</w:t>
            </w: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6,909​</w:t>
            </w:r>
          </w:p>
        </w:tc>
        <w:tc>
          <w:tcPr>
            <w:tcW w:w="0" w:type="dxa"/>
            <w:vAlign w:val="bottom"/>
          </w:tcPr>
          <w:p>
            <w:pPr>
              <w:spacing w:after="0"/>
              <w:rPr>
                <w:sz w:val="1"/>
                <w:szCs w:val="1"/>
                <w:color w:val="auto"/>
              </w:rPr>
            </w:pPr>
          </w:p>
        </w:tc>
      </w:tr>
      <w:tr>
        <w:trPr>
          <w:trHeight w:val="146"/>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exercise of share options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11​</w:t>
            </w:r>
          </w:p>
        </w:tc>
        <w:tc>
          <w:tcPr>
            <w:tcW w:w="20" w:type="dxa"/>
            <w:vAlign w:val="bottom"/>
          </w:tcPr>
          <w:p>
            <w:pPr>
              <w:spacing w:after="0"/>
              <w:rPr>
                <w:sz w:val="12"/>
                <w:szCs w:val="12"/>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20"/>
                <w:szCs w:val="20"/>
                <w:color w:val="auto"/>
              </w:rPr>
            </w:pPr>
            <w:r>
              <w:rPr>
                <w:rFonts w:ascii="Arial" w:cs="Arial" w:eastAsia="Arial" w:hAnsi="Arial"/>
                <w:sz w:val="12"/>
                <w:szCs w:val="12"/>
                <w:color w:val="auto"/>
              </w:rPr>
              <w:t>Payment of Series B-1 redeemable convertible preferred shares issuance costs</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 ​</w:t>
            </w:r>
          </w:p>
        </w:tc>
        <w:tc>
          <w:tcPr>
            <w:tcW w:w="640" w:type="dxa"/>
            <w:vAlign w:val="bottom"/>
            <w:gridSpan w:val="4"/>
          </w:tcPr>
          <w:p>
            <w:pPr>
              <w:jc w:val="right"/>
              <w:spacing w:after="0"/>
              <w:rPr>
                <w:sz w:val="20"/>
                <w:szCs w:val="20"/>
                <w:color w:val="auto"/>
              </w:rPr>
            </w:pPr>
            <w:r>
              <w:rPr>
                <w:rFonts w:ascii="Arial" w:cs="Arial" w:eastAsia="Arial" w:hAnsi="Arial"/>
                <w:sz w:val="12"/>
                <w:szCs w:val="12"/>
                <w:color w:val="auto"/>
              </w:rPr>
              <w:t>—​​ ​​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(115</w:t>
            </w: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Borders>
              <w:top w:val="single" w:sz="8" w:color="CCEEFF"/>
              <w:bottom w:val="single" w:sz="8" w:color="CCEEFF"/>
            </w:tcBorders>
            <w:shd w:val="clear" w:color="auto" w:fill="CCEEFF"/>
          </w:tcPr>
          <w:p>
            <w:pPr>
              <w:ind w:left="380"/>
              <w:spacing w:after="0" w:line="135" w:lineRule="exact"/>
              <w:rPr>
                <w:sz w:val="20"/>
                <w:szCs w:val="20"/>
                <w:color w:val="auto"/>
              </w:rPr>
            </w:pPr>
            <w:r>
              <w:rPr>
                <w:rFonts w:ascii="Arial" w:cs="Arial" w:eastAsia="Arial" w:hAnsi="Arial"/>
                <w:sz w:val="12"/>
                <w:szCs w:val="12"/>
                <w:color w:val="auto"/>
              </w:rPr>
              <w:t>Net cash provided by financing activities</w:t>
            </w:r>
          </w:p>
        </w:tc>
        <w:tc>
          <w:tcPr>
            <w:tcW w:w="140" w:type="dxa"/>
            <w:vAlign w:val="bottom"/>
            <w:tcBorders>
              <w:top w:val="single" w:sz="8" w:color="CCEEFF"/>
              <w:bottom w:val="single" w:sz="8" w:color="CCEEFF"/>
              <w:right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 ​</w:t>
            </w:r>
          </w:p>
        </w:tc>
        <w:tc>
          <w:tcPr>
            <w:tcW w:w="480" w:type="dxa"/>
            <w:vAlign w:val="bottom"/>
            <w:tcBorders>
              <w:top w:val="single" w:sz="8" w:color="auto"/>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rPr>
              <w:t>​ ​25,837</w:t>
            </w:r>
          </w:p>
        </w:tc>
        <w:tc>
          <w:tcPr>
            <w:tcW w:w="160" w:type="dxa"/>
            <w:vAlign w:val="bottom"/>
            <w:tcBorders>
              <w:top w:val="single" w:sz="8" w:color="CCEEFF"/>
              <w:bottom w:val="single" w:sz="8" w:color="CCEEFF"/>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w:t>
            </w:r>
          </w:p>
        </w:tc>
        <w:tc>
          <w:tcPr>
            <w:tcW w:w="500" w:type="dxa"/>
            <w:vAlign w:val="bottom"/>
            <w:tcBorders>
              <w:top w:val="single" w:sz="8" w:color="auto"/>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 ​103,254</w:t>
            </w: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5"/>
        </w:trPr>
        <w:tc>
          <w:tcPr>
            <w:tcW w:w="4600" w:type="dxa"/>
            <w:vAlign w:val="bottom"/>
          </w:tcPr>
          <w:p>
            <w:pPr>
              <w:spacing w:after="0" w:line="125" w:lineRule="exact"/>
              <w:rPr>
                <w:sz w:val="20"/>
                <w:szCs w:val="20"/>
                <w:color w:val="auto"/>
              </w:rPr>
            </w:pPr>
            <w:r>
              <w:rPr>
                <w:rFonts w:ascii="Arial" w:cs="Arial" w:eastAsia="Arial" w:hAnsi="Arial"/>
                <w:sz w:val="12"/>
                <w:szCs w:val="12"/>
                <w:color w:val="auto"/>
              </w:rPr>
              <w:t>Net change in cash and cash equivalents</w:t>
            </w:r>
          </w:p>
        </w:tc>
        <w:tc>
          <w:tcPr>
            <w:tcW w:w="1280" w:type="dxa"/>
            <w:vAlign w:val="bottom"/>
            <w:gridSpan w:val="9"/>
          </w:tcPr>
          <w:p>
            <w:pPr>
              <w:ind w:left="20"/>
              <w:spacing w:after="0" w:line="125" w:lineRule="exact"/>
              <w:rPr>
                <w:sz w:val="20"/>
                <w:szCs w:val="20"/>
                <w:color w:val="auto"/>
              </w:rPr>
            </w:pPr>
            <w:r>
              <w:rPr>
                <w:rFonts w:ascii="Arial" w:cs="Arial" w:eastAsia="Arial" w:hAnsi="Arial"/>
                <w:sz w:val="12"/>
                <w:szCs w:val="12"/>
                <w:color w:val="auto"/>
              </w:rPr>
              <w:t>​ ​​ ​ (9,593​​) ​​ ​ 88,953​</w:t>
            </w:r>
          </w:p>
        </w:tc>
        <w:tc>
          <w:tcPr>
            <w:tcW w:w="20" w:type="dxa"/>
            <w:vAlign w:val="bottom"/>
          </w:tcPr>
          <w:p>
            <w:pPr>
              <w:spacing w:after="0"/>
              <w:rPr>
                <w:sz w:val="10"/>
                <w:szCs w:val="10"/>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45"/>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 ​​ ​</w:t>
            </w:r>
          </w:p>
        </w:tc>
        <w:tc>
          <w:tcPr>
            <w:tcW w:w="3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 ​​ ​</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00" w:type="dxa"/>
            <w:vAlign w:val="bottom"/>
          </w:tcPr>
          <w:p>
            <w:pPr>
              <w:ind w:left="120"/>
              <w:spacing w:after="0"/>
              <w:rPr>
                <w:sz w:val="20"/>
                <w:szCs w:val="20"/>
                <w:color w:val="auto"/>
              </w:rPr>
            </w:pPr>
            <w:r>
              <w:rPr>
                <w:rFonts w:ascii="Arial" w:cs="Arial" w:eastAsia="Arial" w:hAnsi="Arial"/>
                <w:sz w:val="12"/>
                <w:szCs w:val="12"/>
                <w:color w:val="auto"/>
              </w:rPr>
              <w:t>Beginning of the period</w:t>
            </w:r>
          </w:p>
        </w:tc>
        <w:tc>
          <w:tcPr>
            <w:tcW w:w="1280" w:type="dxa"/>
            <w:vAlign w:val="bottom"/>
            <w:gridSpan w:val="9"/>
          </w:tcPr>
          <w:p>
            <w:pPr>
              <w:ind w:left="20"/>
              <w:spacing w:after="0"/>
              <w:rPr>
                <w:sz w:val="20"/>
                <w:szCs w:val="20"/>
                <w:color w:val="auto"/>
              </w:rPr>
            </w:pPr>
            <w:r>
              <w:rPr>
                <w:rFonts w:ascii="Arial" w:cs="Arial" w:eastAsia="Arial" w:hAnsi="Arial"/>
                <w:sz w:val="12"/>
                <w:szCs w:val="12"/>
                <w:color w:val="auto"/>
              </w:rPr>
              <w:t>​ ​​ ​25,945​​ ​​ ​ 16,352</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4"/>
        </w:trPr>
        <w:tc>
          <w:tcPr>
            <w:tcW w:w="4600" w:type="dxa"/>
            <w:vAlign w:val="bottom"/>
            <w:tcBorders>
              <w:top w:val="single" w:sz="8" w:color="CCEEFF"/>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2"/>
                <w:szCs w:val="12"/>
                <w:color w:val="auto"/>
              </w:rPr>
              <w:t>End of the period</w:t>
            </w:r>
          </w:p>
        </w:tc>
        <w:tc>
          <w:tcPr>
            <w:tcW w:w="140" w:type="dxa"/>
            <w:vAlign w:val="bottom"/>
            <w:tcBorders>
              <w:top w:val="single" w:sz="8" w:color="CCEEFF"/>
              <w:bottom w:val="single" w:sz="8" w:color="CCEEFF"/>
              <w:right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 ​</w:t>
            </w:r>
          </w:p>
        </w:tc>
        <w:tc>
          <w:tcPr>
            <w:tcW w:w="6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perscript"/>
              </w:rPr>
              <w:t>$</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16,352</w:t>
            </w:r>
          </w:p>
        </w:tc>
        <w:tc>
          <w:tcPr>
            <w:tcW w:w="160" w:type="dxa"/>
            <w:vAlign w:val="bottom"/>
            <w:tcBorders>
              <w:top w:val="single" w:sz="8" w:color="CCEEFF"/>
              <w:bottom w:val="single" w:sz="8" w:color="CCEEFF"/>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w:t>
            </w:r>
          </w:p>
        </w:tc>
        <w:tc>
          <w:tcPr>
            <w:tcW w:w="500" w:type="dxa"/>
            <w:vAlign w:val="bottom"/>
            <w:tcBorders>
              <w:top w:val="single" w:sz="8" w:color="auto"/>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u w:val="single" w:color="auto"/>
                <w:color w:val="auto"/>
              </w:rPr>
              <w:t>$</w:t>
            </w:r>
            <w:r>
              <w:rPr>
                <w:rFonts w:ascii="Arial" w:cs="Arial" w:eastAsia="Arial" w:hAnsi="Arial"/>
                <w:sz w:val="9"/>
                <w:szCs w:val="9"/>
                <w:color w:val="auto"/>
              </w:rPr>
              <w:t>105,305</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15"/>
        </w:trPr>
        <w:tc>
          <w:tcPr>
            <w:tcW w:w="484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Supplemental disclosures of noncash investing and financing activities ​ ​​ ​</w:t>
            </w:r>
          </w:p>
        </w:tc>
        <w:tc>
          <w:tcPr>
            <w:tcW w:w="380" w:type="dxa"/>
            <w:vAlign w:val="bottom"/>
          </w:tcPr>
          <w:p>
            <w:pPr>
              <w:spacing w:after="0"/>
              <w:rPr>
                <w:sz w:val="10"/>
                <w:szCs w:val="10"/>
                <w:color w:val="auto"/>
              </w:rPr>
            </w:pPr>
          </w:p>
        </w:tc>
        <w:tc>
          <w:tcPr>
            <w:tcW w:w="260" w:type="dxa"/>
            <w:vAlign w:val="bottom"/>
            <w:gridSpan w:val="3"/>
          </w:tcPr>
          <w:p>
            <w:pPr>
              <w:jc w:val="right"/>
              <w:spacing w:after="0" w:line="115" w:lineRule="exact"/>
              <w:rPr>
                <w:sz w:val="20"/>
                <w:szCs w:val="20"/>
                <w:color w:val="auto"/>
              </w:rPr>
            </w:pPr>
            <w:r>
              <w:rPr>
                <w:rFonts w:ascii="Arial" w:cs="Arial" w:eastAsia="Arial" w:hAnsi="Arial"/>
                <w:sz w:val="12"/>
                <w:szCs w:val="12"/>
                <w:b w:val="1"/>
                <w:bCs w:val="1"/>
                <w:color w:val="auto"/>
              </w:rPr>
              <w:t>​​ ​​ ​</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Issuance of ordinary share warrants</w:t>
            </w:r>
          </w:p>
        </w:tc>
        <w:tc>
          <w:tcPr>
            <w:tcW w:w="20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0"/>
                <w:szCs w:val="10"/>
                <w:color w:val="auto"/>
              </w:rPr>
              <w:t>​ ​​</w:t>
            </w:r>
            <w:r>
              <w:rPr>
                <w:rFonts w:ascii="Arial" w:cs="Arial" w:eastAsia="Arial" w:hAnsi="Arial"/>
                <w:sz w:val="17"/>
                <w:szCs w:val="17"/>
                <w:color w:val="auto"/>
                <w:vertAlign w:val="superscript"/>
              </w:rPr>
              <w:t>$</w:t>
            </w:r>
          </w:p>
        </w:tc>
        <w:tc>
          <w:tcPr>
            <w:tcW w:w="4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line="154" w:lineRule="exact"/>
              <w:rPr>
                <w:sz w:val="20"/>
                <w:szCs w:val="20"/>
                <w:color w:val="auto"/>
              </w:rPr>
            </w:pPr>
            <w:r>
              <w:rPr>
                <w:rFonts w:ascii="Arial" w:cs="Arial" w:eastAsia="Arial" w:hAnsi="Arial"/>
                <w:sz w:val="17"/>
                <w:szCs w:val="17"/>
                <w:color w:val="auto"/>
                <w:vertAlign w:val="superscript"/>
              </w:rPr>
              <w:t>70</w:t>
            </w:r>
            <w:r>
              <w:rPr>
                <w:rFonts w:ascii="Arial" w:cs="Arial" w:eastAsia="Arial" w:hAnsi="Arial"/>
                <w:sz w:val="10"/>
                <w:szCs w:val="10"/>
                <w:color w:val="auto"/>
              </w:rPr>
              <w:t>​​ ​​</w:t>
            </w:r>
            <w:r>
              <w:rPr>
                <w:rFonts w:ascii="Arial" w:cs="Arial" w:eastAsia="Arial" w:hAnsi="Arial"/>
                <w:sz w:val="17"/>
                <w:szCs w:val="17"/>
                <w:color w:val="auto"/>
                <w:vertAlign w:val="superscript"/>
              </w:rPr>
              <w: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46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color w:val="auto"/>
              </w:rPr>
              <w:t>Accretion of redeemable convertible preferred shares to their redemption value</w:t>
            </w:r>
          </w:p>
        </w:tc>
        <w:tc>
          <w:tcPr>
            <w:tcW w:w="1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 ​</w:t>
            </w:r>
          </w:p>
        </w:tc>
        <w:tc>
          <w:tcPr>
            <w:tcW w:w="6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perscript"/>
              </w:rPr>
              <w:t>$</w:t>
            </w: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163</w:t>
            </w:r>
          </w:p>
        </w:tc>
        <w:tc>
          <w:tcPr>
            <w:tcW w:w="16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2"/>
                <w:szCs w:val="12"/>
                <w:color w:val="auto"/>
              </w:rPr>
              <w:t>​​ ​</w:t>
            </w:r>
          </w:p>
        </w:tc>
        <w:tc>
          <w:tcPr>
            <w:tcW w:w="1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perscript"/>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3,757</w:t>
            </w:r>
          </w:p>
        </w:tc>
        <w:tc>
          <w:tcPr>
            <w:tcW w:w="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Issuance of Series B-1 redeemable convertible preferred stock to noncontrolling</w:t>
            </w: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holders in exchange of Series Seed redeemable convertible preferred</w:t>
            </w:r>
          </w:p>
        </w:tc>
        <w:tc>
          <w:tcPr>
            <w:tcW w:w="2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13"/>
                <w:szCs w:val="13"/>
                <w:color w:val="auto"/>
              </w:rPr>
            </w:pPr>
          </w:p>
        </w:tc>
        <w:tc>
          <w:tcPr>
            <w:tcW w:w="64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8,959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of Basecamp</w:t>
            </w:r>
          </w:p>
        </w:tc>
        <w:tc>
          <w:tcPr>
            <w:tcW w:w="2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vMerge w:val="continue"/>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Purchases of property and equipment in accounts payable and accrued expenses</w:t>
            </w: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vMerge w:val="continue"/>
          </w:tcPr>
          <w:p>
            <w:pPr>
              <w:spacing w:after="0"/>
              <w:rPr>
                <w:sz w:val="12"/>
                <w:szCs w:val="1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2"/>
                <w:szCs w:val="12"/>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2"/>
                <w:szCs w:val="12"/>
                <w:color w:val="auto"/>
              </w:rPr>
              <w:t>—​​ ​​$</w:t>
            </w:r>
          </w:p>
        </w:tc>
        <w:tc>
          <w:tcPr>
            <w:tcW w:w="260" w:type="dxa"/>
            <w:vAlign w:val="bottom"/>
          </w:tcPr>
          <w:p>
            <w:pPr>
              <w:spacing w:after="0"/>
              <w:rPr>
                <w:sz w:val="12"/>
                <w:szCs w:val="12"/>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2"/>
        </w:trPr>
        <w:tc>
          <w:tcPr>
            <w:tcW w:w="4600" w:type="dxa"/>
            <w:vAlign w:val="bottom"/>
          </w:tcPr>
          <w:p>
            <w:pPr>
              <w:ind w:left="120"/>
              <w:spacing w:after="0"/>
              <w:rPr>
                <w:sz w:val="20"/>
                <w:szCs w:val="20"/>
                <w:color w:val="auto"/>
              </w:rPr>
            </w:pPr>
            <w:r>
              <w:rPr>
                <w:rFonts w:ascii="Arial" w:cs="Arial" w:eastAsia="Arial" w:hAnsi="Arial"/>
                <w:sz w:val="12"/>
                <w:szCs w:val="12"/>
                <w:color w:val="auto"/>
              </w:rPr>
              <w:t>and other current liabilities</w:t>
            </w:r>
          </w:p>
        </w:tc>
        <w:tc>
          <w:tcPr>
            <w:tcW w:w="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Operating lease right-of-use assets obtained in exchange for new lease liabilities,</w:t>
            </w:r>
          </w:p>
        </w:tc>
        <w:tc>
          <w:tcPr>
            <w:tcW w:w="1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600" w:type="dxa"/>
            <w:vAlign w:val="bottom"/>
            <w:vMerge w:val="continue"/>
            <w:shd w:val="clear" w:color="auto" w:fill="CCEEFF"/>
          </w:tcPr>
          <w:p>
            <w:pPr>
              <w:spacing w:after="0"/>
              <w:rPr>
                <w:sz w:val="12"/>
                <w:szCs w:val="12"/>
                <w:color w:val="auto"/>
              </w:rPr>
            </w:pPr>
          </w:p>
        </w:tc>
        <w:tc>
          <w:tcPr>
            <w:tcW w:w="2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12"/>
                <w:szCs w:val="12"/>
                <w:color w:val="auto"/>
              </w:rPr>
            </w:pPr>
          </w:p>
        </w:tc>
        <w:tc>
          <w:tcPr>
            <w:tcW w:w="64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278​​ ​​$</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545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2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vMerge w:val="continue"/>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Deferred offering costs included in accounts payable and accrued expenses and</w:t>
            </w: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vMerge w:val="continue"/>
          </w:tcPr>
          <w:p>
            <w:pPr>
              <w:spacing w:after="0"/>
              <w:rPr>
                <w:sz w:val="12"/>
                <w:szCs w:val="1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2"/>
                <w:szCs w:val="12"/>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2"/>
                <w:szCs w:val="12"/>
                <w:color w:val="auto"/>
              </w:rPr>
              <w:t>—​​ ​​$</w:t>
            </w:r>
          </w:p>
        </w:tc>
        <w:tc>
          <w:tcPr>
            <w:tcW w:w="260" w:type="dxa"/>
            <w:vAlign w:val="bottom"/>
          </w:tcPr>
          <w:p>
            <w:pPr>
              <w:spacing w:after="0"/>
              <w:rPr>
                <w:sz w:val="12"/>
                <w:szCs w:val="12"/>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2"/>
        </w:trPr>
        <w:tc>
          <w:tcPr>
            <w:tcW w:w="4600" w:type="dxa"/>
            <w:vAlign w:val="bottom"/>
          </w:tcPr>
          <w:p>
            <w:pPr>
              <w:ind w:left="120"/>
              <w:spacing w:after="0"/>
              <w:rPr>
                <w:sz w:val="20"/>
                <w:szCs w:val="20"/>
                <w:color w:val="auto"/>
              </w:rPr>
            </w:pPr>
            <w:r>
              <w:rPr>
                <w:rFonts w:ascii="Arial" w:cs="Arial" w:eastAsia="Arial" w:hAnsi="Arial"/>
                <w:sz w:val="12"/>
                <w:szCs w:val="12"/>
                <w:color w:val="auto"/>
              </w:rPr>
              <w:t>other current liabilities</w:t>
            </w:r>
          </w:p>
        </w:tc>
        <w:tc>
          <w:tcPr>
            <w:tcW w:w="2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-1442085</wp:posOffset>
            </wp:positionV>
            <wp:extent cx="340169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-1823085</wp:posOffset>
            </wp:positionV>
            <wp:extent cx="340169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-2694940</wp:posOffset>
            </wp:positionV>
            <wp:extent cx="340169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-3265805</wp:posOffset>
            </wp:positionV>
            <wp:extent cx="3401695"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-4561205</wp:posOffset>
            </wp:positionV>
            <wp:extent cx="339534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95345" cy="6350"/>
                    </a:xfrm>
                    <a:prstGeom prst="rect">
                      <a:avLst/>
                    </a:prstGeom>
                    <a:noFill/>
                  </pic:spPr>
                </pic:pic>
              </a:graphicData>
            </a:graphic>
          </wp:anchor>
        </w:drawing>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6" w:name="page257"/>
    <w:bookmarkEnd w:id="256"/>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w:t>
      </w:r>
    </w:p>
    <w:p>
      <w:pPr>
        <w:spacing w:after="0" w:line="24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 Organization and Nature of the Business</w:t>
      </w:r>
    </w:p>
    <w:p>
      <w:pPr>
        <w:spacing w:after="0" w:line="123" w:lineRule="exact"/>
        <w:rPr>
          <w:sz w:val="20"/>
          <w:szCs w:val="20"/>
          <w:color w:val="auto"/>
        </w:rPr>
      </w:pPr>
    </w:p>
    <w:p>
      <w:pPr>
        <w:ind w:left="1560" w:right="1759"/>
        <w:spacing w:after="0" w:line="282" w:lineRule="auto"/>
        <w:rPr>
          <w:sz w:val="20"/>
          <w:szCs w:val="20"/>
          <w:color w:val="auto"/>
        </w:rPr>
      </w:pPr>
      <w:r>
        <w:rPr>
          <w:rFonts w:ascii="Arial" w:cs="Arial" w:eastAsia="Arial" w:hAnsi="Arial"/>
          <w:sz w:val="12"/>
          <w:szCs w:val="12"/>
          <w:color w:val="auto"/>
        </w:rPr>
        <w:t>Structure Therapeutics Inc. (the “Company”) (formerly known as ShouTi, Inc.) is a clinical stage global biopharmaceutical company aiming to develop and deliver novel oral therapeutics to treat a wide range of chronic diseases with unmet medical needs. The Company was incorporated in February 2019 in the Cayman Islands, with operating subsidiaries in the United States and China.</w:t>
      </w:r>
    </w:p>
    <w:p>
      <w:pPr>
        <w:spacing w:after="0" w:line="77"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Prior to the formation of the Company, the operating activities were carried out by the subsidiaries of the Company. Structure Therapeutics USA Inc., a Delaware corporation (“StructureTx US”), was incorporated on June 6, 2016. On January 20, 2017, StructureTx US was reorganized as a limited liability company. Annapurna Bio, Inc. (“Annapurna”), a Delaware corporation, was incorporated on January 26, 2017, and Gasherbrum Bio, Inc. (“Gasherbrum”), a Delaware corporation, was incorporated on April 19, 2017.</w:t>
      </w:r>
    </w:p>
    <w:p>
      <w:pPr>
        <w:spacing w:after="0" w:line="71"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On April 18, 2019, Annapurna, Gasherbrum, StructureTx US and the Company entered into a share exchange agreement (the “Share Exchange Agreement”). As a result of the Share Exchange Agreement, StructureTx US, Annapurna and Gasherbrum became wholly-owned subsidiaries of the Company. At the closing of the Share Exchange Agreement on April 18, 2019, the Company issued to the shareholders of Annapurna, Gasherbrum, and StructureTx US an aggregate of 10,766,250 ordinary shares (the “Share Exchange”). On April 19, 2019, ShouTi LLC was converted into ShouTi Inc., a Delaware corporation, which subsequently changed its name to Structure Therapeutics USA Inc. The Share Exchange was accounted for as a capital transaction.</w:t>
      </w:r>
    </w:p>
    <w:p>
      <w:pPr>
        <w:spacing w:after="0" w:line="84"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On June 28, 2019, ShouTi Hong Kong Ltd (“ShouTi Hong Kong”) was incorporated as a wholly-owned subsidiary of the Company. On July 26, 2019, Shanghai ShouTi Biotechnology Co., Ltd (“ShouTi Shanghai”) was incorporated as a wholly-owned subsidiary of ShouTi Hong Kong. On April 1, 2020, Lhotse Bio, Inc. (“Lhotse”) was incorporated as a wholly-owned subsidiary of the Company.</w:t>
      </w:r>
    </w:p>
    <w:p>
      <w:pPr>
        <w:spacing w:after="0" w:line="77"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color w:val="auto"/>
        </w:rPr>
        <w:t>On February 10, 2021, the Company incorporated Basecamp Bio Inc. (“Basecamp”) in the Cayman Islands with a wholly owned subsidiary, Basecamp Bio Hong Kong Limited (“Basecamp HK”) in Hong Kong. Shanghai Basecamp Biotechnology Co., Ltd., a wholly owned subsidiary of Basecamp HK, was established on March 26, 2021 in Shanghai, China. The purpose of Basecamp is to develop certain of the Company’s technologies in Mainland China. In March 2021, Basecamp issued 7,000,000 Series Seed shares to other investors that are also investors of the Company, which was accounted for as redeemable noncontrolling interest in the consolidated financial statements (see Note 8). In December 2021, the Company acquired the 7,000,000 Series Seed redeemable convertible preferred shares of Basecamp held by the other investors in exchange for 2,161,402 shares of its Series B-1 redeemable convertible preferred stock of the Company with Basecamp becoming a wholly owned subsidiary (see Note 8). The Company has consolidated Basecamp since its incorporation.</w:t>
      </w:r>
    </w:p>
    <w:p>
      <w:pPr>
        <w:spacing w:after="0" w:line="72" w:lineRule="exact"/>
        <w:rPr>
          <w:sz w:val="20"/>
          <w:szCs w:val="20"/>
          <w:color w:val="auto"/>
        </w:rPr>
      </w:pPr>
    </w:p>
    <w:p>
      <w:pPr>
        <w:ind w:left="1560" w:right="1719"/>
        <w:spacing w:after="0" w:line="308" w:lineRule="auto"/>
        <w:rPr>
          <w:sz w:val="20"/>
          <w:szCs w:val="20"/>
          <w:color w:val="auto"/>
        </w:rPr>
      </w:pPr>
      <w:r>
        <w:rPr>
          <w:rFonts w:ascii="Arial" w:cs="Arial" w:eastAsia="Arial" w:hAnsi="Arial"/>
          <w:sz w:val="12"/>
          <w:szCs w:val="12"/>
          <w:color w:val="auto"/>
        </w:rPr>
        <w:t>The accompanying consolidated financial statements include the accounts of the Company and its wholly-owned subsidiaries.</w:t>
      </w:r>
    </w:p>
    <w:p>
      <w:pPr>
        <w:spacing w:after="0" w:line="10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44" w:lineRule="exact"/>
        <w:rPr>
          <w:sz w:val="20"/>
          <w:szCs w:val="20"/>
          <w:color w:val="auto"/>
        </w:rPr>
      </w:pPr>
    </w:p>
    <w:p>
      <w:pPr>
        <w:ind w:left="1560" w:right="1619"/>
        <w:spacing w:after="0" w:line="273" w:lineRule="auto"/>
        <w:rPr>
          <w:sz w:val="20"/>
          <w:szCs w:val="20"/>
          <w:color w:val="auto"/>
        </w:rPr>
      </w:pPr>
      <w:r>
        <w:rPr>
          <w:rFonts w:ascii="Arial" w:cs="Arial" w:eastAsia="Arial" w:hAnsi="Arial"/>
          <w:sz w:val="12"/>
          <w:szCs w:val="12"/>
          <w:color w:val="auto"/>
        </w:rPr>
        <w:t>The Company has incurred significant net operating losses and negative cash flows from operations since inception and had an accumulated deficit of  $64.7 million as of December 31, 2021. The Company has historically financed its operations primarily through the private placement of equity securities. To date, the Company has no product candidates approved for sale and therefore the Company has not generated any revenue from its products. The Company has not generated any revenue from collaboration or other agreements. Management expects operating losses and negative cash flows to continue for the foreseeable future, until such time, if ever, that it can generate significant sales from its product candidates currently in development or through collaboration or other agreements. The Company’s prospects are subject to risks and uncertainties frequently encountered by companies in the biotechnology industry as discussed in Note 2.</w:t>
      </w:r>
    </w:p>
    <w:p>
      <w:pPr>
        <w:spacing w:after="0" w:line="241" w:lineRule="exact"/>
        <w:rPr>
          <w:sz w:val="20"/>
          <w:szCs w:val="20"/>
          <w:color w:val="auto"/>
        </w:rPr>
      </w:pPr>
    </w:p>
    <w:p>
      <w:pPr>
        <w:jc w:val="both"/>
        <w:ind w:left="1560" w:right="1859"/>
        <w:spacing w:after="0" w:line="288" w:lineRule="auto"/>
        <w:rPr>
          <w:sz w:val="20"/>
          <w:szCs w:val="20"/>
          <w:color w:val="auto"/>
        </w:rPr>
      </w:pPr>
      <w:r>
        <w:rPr>
          <w:rFonts w:ascii="Arial" w:cs="Arial" w:eastAsia="Arial" w:hAnsi="Arial"/>
          <w:sz w:val="12"/>
          <w:szCs w:val="12"/>
          <w:color w:val="auto"/>
        </w:rPr>
        <w:t>While the Company has been able to raise multiple rounds of financing, there can be no assurance that additional financing will be available on terms which are favorable or at all. Failure to generate sufficient cash</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7" w:name="page258"/>
    <w:bookmarkEnd w:id="25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579"/>
        <w:spacing w:after="0" w:line="328" w:lineRule="auto"/>
        <w:rPr>
          <w:sz w:val="20"/>
          <w:szCs w:val="20"/>
          <w:color w:val="auto"/>
        </w:rPr>
      </w:pPr>
      <w:r>
        <w:rPr>
          <w:rFonts w:ascii="Arial" w:cs="Arial" w:eastAsia="Arial" w:hAnsi="Arial"/>
          <w:sz w:val="12"/>
          <w:szCs w:val="12"/>
          <w:color w:val="auto"/>
        </w:rPr>
        <w:t>flows from operations, raise additional capital or reduce certain discretionary spending would have a material adverse effect on the Company’s ability to achieve its intended business objectives.​</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As of December 31, 2021, the Company had cash, cash equivalents and short-term investments of</w:t>
      </w:r>
    </w:p>
    <w:p>
      <w:pPr>
        <w:spacing w:after="0" w:line="23" w:lineRule="exact"/>
        <w:rPr>
          <w:sz w:val="20"/>
          <w:szCs w:val="20"/>
          <w:color w:val="auto"/>
        </w:rPr>
      </w:pPr>
    </w:p>
    <w:p>
      <w:pPr>
        <w:ind w:left="1560" w:right="1639"/>
        <w:spacing w:after="0" w:line="263" w:lineRule="auto"/>
        <w:rPr>
          <w:sz w:val="20"/>
          <w:szCs w:val="20"/>
          <w:color w:val="auto"/>
        </w:rPr>
      </w:pPr>
      <w:r>
        <w:rPr>
          <w:rFonts w:ascii="Arial" w:cs="Arial" w:eastAsia="Arial" w:hAnsi="Arial"/>
          <w:sz w:val="12"/>
          <w:szCs w:val="12"/>
          <w:color w:val="auto"/>
        </w:rPr>
        <w:t>$107.3 million. In addition, in April 2022, the Company issued and sold 8,155,272 shares of its Series B redeemable convertible preferred shares for gross proceeds of  $33.0 million. Based on its current business plan, the Company believes that its current cash, cash equivalents and short-term investments will be sufficient to fund its projected operations for at least 12 months from the date of the issuance of these consolidated financial statements.</w:t>
      </w:r>
    </w:p>
    <w:p>
      <w:pPr>
        <w:spacing w:after="0" w:line="1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Impact of the COVID-19 Pandemic</w:t>
      </w:r>
    </w:p>
    <w:p>
      <w:pPr>
        <w:spacing w:after="0" w:line="34"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color w:val="auto"/>
        </w:rPr>
        <w:t>The current COVID-19 (coronavirus) pandemic, which is impacting worldwide economic activity, poses risk that the Company or its employees, contractors, suppliers, and other partners may be prevented from conducting business activities for an indefinite period of time, including due to shutdowns that may be requested or mandated by governmental authorities. Although the impact of COVID-19 has not been material to the Company and its operations, the extent to which the COVID-19 (coronavirus) pandemic will impact the Company’s business will depend on future developments that are highly uncertain and cannot be predicted at this time.</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34"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The consolidated financial statements and related disclosures have been prepared in conformity with accounting principles generally accepted in the United States of America (“GAAP”). The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loss included in determining net loss was not material for the periods presented.</w:t>
      </w:r>
    </w:p>
    <w:p>
      <w:pPr>
        <w:spacing w:after="0" w:line="1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34"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Series B-1 redeemable convertible preferred shares valuation, ordinary share valuation and related share-based compensation and certain other accrued liabilities. Actual results could differ from those estimates.</w:t>
      </w:r>
    </w:p>
    <w:p>
      <w:pPr>
        <w:spacing w:after="0" w:line="27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Segments</w:t>
      </w:r>
    </w:p>
    <w:p>
      <w:pPr>
        <w:spacing w:after="0" w:line="34" w:lineRule="exact"/>
        <w:rPr>
          <w:sz w:val="20"/>
          <w:szCs w:val="20"/>
          <w:color w:val="auto"/>
        </w:rPr>
      </w:pPr>
    </w:p>
    <w:p>
      <w:pPr>
        <w:ind w:left="1560" w:right="1659"/>
        <w:spacing w:after="0" w:line="270" w:lineRule="auto"/>
        <w:rPr>
          <w:sz w:val="20"/>
          <w:szCs w:val="20"/>
          <w:color w:val="auto"/>
        </w:rPr>
      </w:pPr>
      <w:r>
        <w:rPr>
          <w:rFonts w:ascii="Arial" w:cs="Arial" w:eastAsia="Arial" w:hAnsi="Arial"/>
          <w:sz w:val="12"/>
          <w:szCs w:val="12"/>
          <w:color w:val="auto"/>
        </w:rPr>
        <w:t>The Company operates and manages its business as one reportable and operating segment, which is the business of research and development of medicines that target chronic diseases with high unmet medical needs. The Company’s Chief Executive Officer, who is the chief operating decision maker, reviews financial information on an aggregate basis for purposes of allocating resources and evaluating financial performance. The Company’s long-lived assets are primarily in China.</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34" w:lineRule="exact"/>
        <w:rPr>
          <w:sz w:val="20"/>
          <w:szCs w:val="20"/>
          <w:color w:val="auto"/>
        </w:rPr>
      </w:pPr>
    </w:p>
    <w:p>
      <w:pPr>
        <w:ind w:left="1560" w:right="1579"/>
        <w:spacing w:after="0" w:line="262" w:lineRule="auto"/>
        <w:rPr>
          <w:sz w:val="20"/>
          <w:szCs w:val="20"/>
          <w:color w:val="auto"/>
        </w:rPr>
      </w:pPr>
      <w:r>
        <w:rPr>
          <w:rFonts w:ascii="Arial" w:cs="Arial" w:eastAsia="Arial" w:hAnsi="Arial"/>
          <w:sz w:val="12"/>
          <w:szCs w:val="12"/>
          <w:color w:val="auto"/>
        </w:rPr>
        <w:t>The Company is exposed to credit risk from its deposits of cash, cash equivalents and short-term investments in excess of the amount of insurance provided on such deposits. The Company invests its cash, cash equivalents and short-term investments in money market funds and corporate debt securities. The Company limits its credit risk associated with cash, cash equivalents and short-term investments by placing them with banks and institutions it believes are highly creditworthy and in highly rated investments.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8" w:name="page259"/>
    <w:bookmarkEnd w:id="25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6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34" w:lineRule="exact"/>
        <w:rPr>
          <w:sz w:val="20"/>
          <w:szCs w:val="20"/>
          <w:color w:val="auto"/>
        </w:rPr>
      </w:pPr>
    </w:p>
    <w:p>
      <w:pPr>
        <w:ind w:left="1560" w:right="1579"/>
        <w:spacing w:after="0" w:line="263" w:lineRule="auto"/>
        <w:rPr>
          <w:sz w:val="20"/>
          <w:szCs w:val="20"/>
          <w:color w:val="auto"/>
        </w:rPr>
      </w:pPr>
      <w:r>
        <w:rPr>
          <w:rFonts w:ascii="Arial" w:cs="Arial" w:eastAsia="Arial" w:hAnsi="Arial"/>
          <w:sz w:val="12"/>
          <w:szCs w:val="12"/>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spacing w:after="0" w:line="227" w:lineRule="exact"/>
        <w:rPr>
          <w:sz w:val="20"/>
          <w:szCs w:val="20"/>
          <w:color w:val="auto"/>
        </w:rPr>
      </w:pPr>
    </w:p>
    <w:p>
      <w:pPr>
        <w:ind w:left="1560" w:right="1679"/>
        <w:spacing w:after="0" w:line="280" w:lineRule="auto"/>
        <w:rPr>
          <w:sz w:val="20"/>
          <w:szCs w:val="20"/>
          <w:color w:val="auto"/>
        </w:rPr>
      </w:pPr>
      <w:r>
        <w:rPr>
          <w:rFonts w:ascii="Arial" w:cs="Arial" w:eastAsia="Arial" w:hAnsi="Arial"/>
          <w:sz w:val="12"/>
          <w:szCs w:val="12"/>
          <w:color w:val="auto"/>
        </w:rPr>
        <w:t>The Company’s product candidates are still in development and, to date, none of the Company’s product candidates have been approved for sale and, therefore, the Company has not generated any revenue from any of its products.</w:t>
      </w:r>
    </w:p>
    <w:p>
      <w:pPr>
        <w:spacing w:after="0" w:line="68" w:lineRule="exact"/>
        <w:rPr>
          <w:sz w:val="20"/>
          <w:szCs w:val="20"/>
          <w:color w:val="auto"/>
        </w:rPr>
      </w:pPr>
    </w:p>
    <w:p>
      <w:pPr>
        <w:ind w:left="1560" w:right="1599"/>
        <w:spacing w:after="0" w:line="264" w:lineRule="auto"/>
        <w:rPr>
          <w:sz w:val="20"/>
          <w:szCs w:val="20"/>
          <w:color w:val="auto"/>
        </w:rPr>
      </w:pPr>
      <w:r>
        <w:rPr>
          <w:rFonts w:ascii="Arial" w:cs="Arial" w:eastAsia="Arial" w:hAnsi="Arial"/>
          <w:sz w:val="12"/>
          <w:szCs w:val="12"/>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any revenue from any of its products. The Company operates in an environment of rapid change in technology and substantial competition from other pharmaceutical and biotechnology companies.</w:t>
      </w:r>
    </w:p>
    <w:p>
      <w:pPr>
        <w:spacing w:after="0" w:line="78" w:lineRule="exact"/>
        <w:rPr>
          <w:sz w:val="20"/>
          <w:szCs w:val="20"/>
          <w:color w:val="auto"/>
        </w:rPr>
      </w:pPr>
    </w:p>
    <w:p>
      <w:pPr>
        <w:ind w:left="1560" w:right="1679"/>
        <w:spacing w:after="0" w:line="272" w:lineRule="auto"/>
        <w:rPr>
          <w:sz w:val="20"/>
          <w:szCs w:val="20"/>
          <w:color w:val="auto"/>
        </w:rPr>
      </w:pPr>
      <w:r>
        <w:rPr>
          <w:rFonts w:ascii="Arial" w:cs="Arial" w:eastAsia="Arial" w:hAnsi="Arial"/>
          <w:sz w:val="12"/>
          <w:szCs w:val="12"/>
          <w:color w:val="auto"/>
        </w:rPr>
        <w:t>The Company relies and expects to continue to rely on a small number of vendors to manufacture supplies and materials for its use in the clinical trial programs. These programs could be adversely affected by a significant interruption in these manufacturing services.</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34" w:lineRule="exact"/>
        <w:rPr>
          <w:sz w:val="20"/>
          <w:szCs w:val="20"/>
          <w:color w:val="auto"/>
        </w:rPr>
      </w:pPr>
    </w:p>
    <w:p>
      <w:pPr>
        <w:jc w:val="both"/>
        <w:ind w:left="1560" w:right="1679"/>
        <w:spacing w:after="0" w:line="272" w:lineRule="auto"/>
        <w:rPr>
          <w:sz w:val="20"/>
          <w:szCs w:val="20"/>
          <w:color w:val="auto"/>
        </w:rPr>
      </w:pPr>
      <w:r>
        <w:rPr>
          <w:rFonts w:ascii="Arial" w:cs="Arial" w:eastAsia="Arial" w:hAnsi="Arial"/>
          <w:sz w:val="12"/>
          <w:szCs w:val="12"/>
          <w:color w:val="auto"/>
        </w:rPr>
        <w:t>The Company considers all highly liquid investments purchased with maturities of 90 days or less from the original date of purchase to be cash equivalents. As of December 31, 2020 and 2021, the Company’s cash and cash equivalents consist of cash deposited with banks and investments in money market funds.</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Short-Term Investments</w:t>
      </w:r>
    </w:p>
    <w:p>
      <w:pPr>
        <w:spacing w:after="0" w:line="44"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The Company classifies its investments as available-for-sale and records them at fair value based upon market prices at period end. Unrealized gains and losses that are deemed temporary in nature are recorded in accumulated other comprehensive income as a separate component of shareholders’ deficit. Dividend and interest income are recognized when earned. Realized gains and losses are included in earnings and are derived using the specific identification method for determining the cost of investments sold. The Company may sell these securities at any time for use in current operations.</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Other-Than-Temporary Impairment</w:t>
      </w:r>
    </w:p>
    <w:p>
      <w:pPr>
        <w:spacing w:after="0" w:line="92"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 statements of operations and comprehensive loss. No such adjustments were necessary during the periods presented.</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44" w:lineRule="exact"/>
        <w:rPr>
          <w:sz w:val="20"/>
          <w:szCs w:val="20"/>
          <w:color w:val="auto"/>
        </w:rPr>
      </w:pPr>
    </w:p>
    <w:p>
      <w:pPr>
        <w:ind w:left="1560" w:right="1659"/>
        <w:spacing w:after="0" w:line="288" w:lineRule="auto"/>
        <w:rPr>
          <w:sz w:val="20"/>
          <w:szCs w:val="20"/>
          <w:color w:val="auto"/>
        </w:rPr>
      </w:pPr>
      <w:r>
        <w:rPr>
          <w:rFonts w:ascii="Arial" w:cs="Arial" w:eastAsia="Arial" w:hAnsi="Arial"/>
          <w:sz w:val="12"/>
          <w:szCs w:val="12"/>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9" w:name="page260"/>
    <w:bookmarkEnd w:id="25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The carrying value of cash and cash equivalents, accounts payable and accrued liabilities approximate fair value due to their relatively short maturities. The Company determines the fair value of financial and non-financial assets and liabilities using the fair value hierarchy which establishes three levels of inputs that may be used to measure fair value (see Note 4).</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44"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Property and equipment, net is stated at cost less accumulated depreciation. Depreciation is calculated using the straight-line method over the estimated useful lives of the assets, generally two to five years. Leasehold improvements are amortized using the straight-line method over the shorter of the assets’ estimated useful lives or the remaining term of the lease. When assets are retired or otherwise disposed of, the cost and accumulated depreciation are removed from the balance sheet, and any resulting gain or loss is reflected in operating expenses in the period realized. Maintenance and repairs are charged to operating expenses as incurred.</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44"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Long-lived assets consist primarily of property and equipment,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During the years ended December 31, 2020 and 2021, the Company has not recorded impairment charges on its long-lived assets.</w:t>
      </w:r>
    </w:p>
    <w:p>
      <w:pPr>
        <w:spacing w:after="0" w:line="27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Deferred Offering Costs</w:t>
      </w:r>
    </w:p>
    <w:p>
      <w:pPr>
        <w:spacing w:after="0" w:line="44" w:lineRule="exact"/>
        <w:rPr>
          <w:sz w:val="20"/>
          <w:szCs w:val="20"/>
          <w:color w:val="auto"/>
        </w:rPr>
      </w:pPr>
    </w:p>
    <w:p>
      <w:pPr>
        <w:ind w:left="1560" w:right="1759"/>
        <w:spacing w:after="0" w:line="275" w:lineRule="auto"/>
        <w:rPr>
          <w:sz w:val="20"/>
          <w:szCs w:val="20"/>
          <w:color w:val="auto"/>
        </w:rPr>
      </w:pPr>
      <w:r>
        <w:rPr>
          <w:rFonts w:ascii="Arial" w:cs="Arial" w:eastAsia="Arial" w:hAnsi="Arial"/>
          <w:sz w:val="12"/>
          <w:szCs w:val="12"/>
          <w:color w:val="auto"/>
        </w:rPr>
        <w:t>The Company capitalizes, within other non-current assets, certain legal, accounting and other third-party fees that are directly related to the Company’s in-process equity financings, including its planned initial public offering,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will be immediately written off to general and administrative expenses. As of December 31, 2020 and 2021, deferred offering costs were none and $0.1 million, respectively.</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Accrued Research and Development Expenses</w:t>
      </w:r>
    </w:p>
    <w:p>
      <w:pPr>
        <w:spacing w:after="0" w:line="44"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The Company has entered into various agreements with contract manufacturing organizations (“CMOs”) and contract research organizations (“CROs”).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consolidated balance sheets. If the actual timing of the performance of services or the level of effort varies from the original estimates, the Company will adjust the accrual accordingly. Payments made to CMOs and CROs under these arrangements in advance of the performance of the related services are recorded as prepaid expenses and other current assets on the consolidated balance sheets until the services are rendered.</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Leases</w:t>
      </w:r>
    </w:p>
    <w:p>
      <w:pPr>
        <w:spacing w:after="0" w:line="44"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sheets as right-of-use assets and lease liabilities based on the present value of lease payments over the expected lease term. The Company has also elected to not apply the recognition requirement to any leases within its existing classes of assets with a term of 12 months or less and does not include any options to purchase the underlying asset that the Company is reasonably certain to exercise. As most of the Company’s leases do not provide an implicit rate, the Company uses its incremental borrowing rate based on the information available at commencement date in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0" w:name="page261"/>
    <w:bookmarkEnd w:id="26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determining the present value of future payments. Lease expense for lease payments is recognized on a straight-line basis over the lease term. Variable lease payments are excluded from the right-of-use assets and operating lease liabilities and are recognized in the period in which the obligation for those payments is incurred. The Company elected the practical expedient not to separate non-lease components from lease components for the Company’s facility leases and to account for the lease and non-lease components as a single lease component.</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Redeemable Convertible Preferred Shares</w:t>
      </w:r>
    </w:p>
    <w:p>
      <w:pPr>
        <w:spacing w:after="0" w:line="44" w:lineRule="exact"/>
        <w:rPr>
          <w:sz w:val="20"/>
          <w:szCs w:val="20"/>
          <w:color w:val="auto"/>
        </w:rPr>
      </w:pPr>
    </w:p>
    <w:p>
      <w:pPr>
        <w:ind w:left="1560" w:right="1619"/>
        <w:spacing w:after="0" w:line="272" w:lineRule="auto"/>
        <w:rPr>
          <w:sz w:val="20"/>
          <w:szCs w:val="20"/>
          <w:color w:val="auto"/>
        </w:rPr>
      </w:pPr>
      <w:r>
        <w:rPr>
          <w:rFonts w:ascii="Arial" w:cs="Arial" w:eastAsia="Arial" w:hAnsi="Arial"/>
          <w:sz w:val="12"/>
          <w:szCs w:val="12"/>
          <w:color w:val="auto"/>
        </w:rPr>
        <w:t>The Company records all shares of redeemable convertible preferred shares at the amount of proceeds received, less amounts allocated to redeemable convertible preferred shares tranche liability and issuance costs. The fair value of Series B-1 redeemable convertible preferred shares issued in connection with the Basecamp share exchange transaction was estimated at fair value based on market-based factors similar to those used in determining the fair value of ordinary shares. Though not mandatorily redeemable, the redeemable convertible preferred shares are recorded outside of permanent equity because in certain events considered not solely within the Company’s control, such as a merger, acquisition, or sale of all or substantially all of the Company’s assets (each, a “deemed liquidation event”), the redeemable convertible preferred shares may become redeemable at the option of the holders of at least a majority of the then outstanding shares on or after April 29, 2026. The Company made an accounting policy election to recognize changes in the redemption value of redeemable convertible preferred shares immediately as they occur and adjust the carrying value of redeemable convertible preferred shares to equal it to its redemption value at the end of each reporting period.</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44" w:lineRule="exact"/>
        <w:rPr>
          <w:sz w:val="20"/>
          <w:szCs w:val="20"/>
          <w:color w:val="auto"/>
        </w:rPr>
      </w:pPr>
    </w:p>
    <w:p>
      <w:pPr>
        <w:ind w:left="1560" w:right="1639"/>
        <w:spacing w:after="0" w:line="278" w:lineRule="auto"/>
        <w:rPr>
          <w:sz w:val="20"/>
          <w:szCs w:val="20"/>
          <w:color w:val="auto"/>
        </w:rPr>
      </w:pPr>
      <w:r>
        <w:rPr>
          <w:rFonts w:ascii="Arial" w:cs="Arial" w:eastAsia="Arial" w:hAnsi="Arial"/>
          <w:sz w:val="12"/>
          <w:szCs w:val="12"/>
          <w:color w:val="auto"/>
        </w:rPr>
        <w:t>Research and development expenses include costs directly attributable to the conduct of research and development programs, including payroll and related expenses, costs for CMOs, costs for CROs, materials, supplies, consulting costs, and the allocated portions of facility costs, such as rent, utilities, insurance, information technology costs and general support services. Research and development costs are expensed within the consolidated statements of operations and comprehensive loss as incurred.</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Fair Value of Ordinary Shares</w:t>
      </w:r>
    </w:p>
    <w:p>
      <w:pPr>
        <w:spacing w:after="0" w:line="44"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The fair value of the Company’s ordinary shares is determined by its Board of Directors with input from management and third-party valuation specialists. The Company’s approach to estimate the fair value of the Company’s ordinary shares is consistent with the methods outlined in the American Institute of Certified Public Accountants Practice Aid, Valuation of Privately-Held-Company Equity Securities Issued as Compensation. Determining the best estimated fair value of the Company’s ordinary shares requires significant judgment and management considers several factors, including the Company’s stage of development, equity market conditions affecting comparable public companies, significant milestones and progress of research and development efforts.</w:t>
      </w:r>
    </w:p>
    <w:p>
      <w:pPr>
        <w:spacing w:after="0" w:line="12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44"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 Option valuation models, including the Black-Scholes option-pricing model, require the input of several assumptions.</w:t>
      </w:r>
    </w:p>
    <w:p>
      <w:pPr>
        <w:spacing w:after="0" w:line="84"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The Company granted share options to employees of China. The exercise of share options granted to employees of China are conditioned to liquidity events which are outside the Company’s control. The liquidity events are not probable until consummated and employees of China cannot benefit from their share options. As such, no share-based compensation expense has been recognized for the employees of China’s share options as of December 31, 2020 and 2021.</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1" w:name="page262"/>
    <w:bookmarkEnd w:id="26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6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Income Taxes</w:t>
      </w:r>
    </w:p>
    <w:p>
      <w:pPr>
        <w:spacing w:after="0" w:line="34" w:lineRule="exact"/>
        <w:rPr>
          <w:sz w:val="20"/>
          <w:szCs w:val="20"/>
          <w:color w:val="auto"/>
        </w:rPr>
      </w:pPr>
    </w:p>
    <w:p>
      <w:pPr>
        <w:ind w:left="1560" w:right="1819"/>
        <w:spacing w:after="0" w:line="266" w:lineRule="auto"/>
        <w:rPr>
          <w:sz w:val="20"/>
          <w:szCs w:val="20"/>
          <w:color w:val="auto"/>
        </w:rPr>
      </w:pPr>
      <w:r>
        <w:rPr>
          <w:rFonts w:ascii="Arial" w:cs="Arial" w:eastAsia="Arial" w:hAnsi="Arial"/>
          <w:sz w:val="12"/>
          <w:szCs w:val="12"/>
          <w:color w:val="auto"/>
        </w:rPr>
        <w:t>Income taxes are accounted for using an asset and liability approach that requires the recognition of deferred tax assets and liabilities for the expected future tax consequences of temporary differences between the consolidated financial statement and tax bases of assets and liabilities at the applicable enacted tax rates. The Company will establish a valuation allowance for deferred tax assets if it is more likely than not that these items will expire before the Company is able to realize its benefits or that future deductibility is uncertain.</w:t>
      </w:r>
    </w:p>
    <w:p>
      <w:pPr>
        <w:spacing w:after="0" w:line="78" w:lineRule="exact"/>
        <w:rPr>
          <w:sz w:val="20"/>
          <w:szCs w:val="20"/>
          <w:color w:val="auto"/>
        </w:rPr>
      </w:pPr>
    </w:p>
    <w:p>
      <w:pPr>
        <w:ind w:left="1560" w:right="1619"/>
        <w:spacing w:after="0" w:line="263" w:lineRule="auto"/>
        <w:rPr>
          <w:sz w:val="20"/>
          <w:szCs w:val="20"/>
          <w:color w:val="auto"/>
        </w:rPr>
      </w:pPr>
      <w:r>
        <w:rPr>
          <w:rFonts w:ascii="Arial" w:cs="Arial" w:eastAsia="Arial" w:hAnsi="Arial"/>
          <w:sz w:val="12"/>
          <w:szCs w:val="12"/>
          <w:color w:val="auto"/>
        </w:rPr>
        <w:t>The Company recognizes the tax benefit from uncertain tax positions only if it is more likely than not that the tax position will be sustained on examination by the tax authorities, based on the technical merits of the position. The tax position is measured based on the largest benefit that has a greater than 50% likelihood of being realized upon ultimate settlement. The Company recognizes interest and penalties related to income tax matters in its provision for income taxes. There were no uncertain income tax positions or unrecognized income tax benefits as of December 31, 2020 and 2021.</w:t>
      </w:r>
    </w:p>
    <w:p>
      <w:pPr>
        <w:spacing w:after="0" w:line="13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Net Loss Per Share Attributable to Ordinary Shareholders</w:t>
      </w:r>
    </w:p>
    <w:p>
      <w:pPr>
        <w:spacing w:after="0" w:line="34"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Basic net loss per ordinary share is calculated by dividing the net loss attributable to ordinary shareholders by the weighted-average number of ordinary shares outstanding during the period, without consideration of potentially dilutive securities. Net loss attributable to ordinary shareholders is computed as net loss less accretion of redeemable convertible preferred shares and less any excess of the fair value of the consideration paid over the carrying value of noncontrolling interest. Diluted net loss per share is computed by dividing the net loss attributable to ordinary shareholders by the weighted-average number of ordinary shares and potentially dilutive securities outstanding for the period. For purposes of the diluted net loss per share calculation, the redeemable convertible preferred shares, ordinary share warrants, unvested restricted ordinary shares subject to repurchase and share options are considered to be potentially dilutive securities. Basic and diluted net loss per share attributable to ordinary shareholders is presented in conformity with the two-class method required for participating securities as the redeemable convertible preferred shares are considered a participating security because they participate in dividends with ordinary shares. The holders of redeemable convertible preferred shares do not have a contractual obligation to share in the Company’s losses. As such, the net loss was attributed entirely to ordinary shareholders. Because the Company has reported a net loss for all periods presented, diluted net loss per ordinary share is the same as basic net loss per ordinary share for those periods.</w:t>
      </w:r>
    </w:p>
    <w:p>
      <w:pPr>
        <w:spacing w:after="0" w:line="14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Comprehensive Income (Loss)</w:t>
      </w:r>
    </w:p>
    <w:p>
      <w:pPr>
        <w:spacing w:after="0" w:line="34"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Comprehensive income (loss) is defined as a change in equity of a business enterprise during a period, resulting from transactions from non-owner sources. Other comprehensive loss represents unrealized gains or losses on short-term investments that are reported as a component of shareholders’ deficit on the consolidated balance sheets.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JOBS Act Accounting Election</w:t>
      </w:r>
    </w:p>
    <w:p>
      <w:pPr>
        <w:spacing w:after="0" w:line="34" w:lineRule="exact"/>
        <w:rPr>
          <w:sz w:val="20"/>
          <w:szCs w:val="20"/>
          <w:color w:val="auto"/>
        </w:rPr>
      </w:pPr>
    </w:p>
    <w:p>
      <w:pPr>
        <w:ind w:left="1560" w:right="1619"/>
        <w:spacing w:after="0" w:line="261" w:lineRule="auto"/>
        <w:rPr>
          <w:sz w:val="20"/>
          <w:szCs w:val="20"/>
          <w:color w:val="auto"/>
        </w:rPr>
      </w:pPr>
      <w:r>
        <w:rPr>
          <w:rFonts w:ascii="Arial" w:cs="Arial" w:eastAsia="Arial" w:hAnsi="Arial"/>
          <w:sz w:val="12"/>
          <w:szCs w:val="12"/>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the Company (i) is no longer an emerging growth company or</w:t>
      </w:r>
    </w:p>
    <w:p>
      <w:pPr>
        <w:spacing w:after="0" w:line="1" w:lineRule="exact"/>
        <w:rPr>
          <w:sz w:val="20"/>
          <w:szCs w:val="20"/>
          <w:color w:val="auto"/>
        </w:rPr>
      </w:pPr>
    </w:p>
    <w:p>
      <w:pPr>
        <w:ind w:left="1560" w:right="1699" w:firstLine="5"/>
        <w:spacing w:after="0" w:line="270" w:lineRule="auto"/>
        <w:tabs>
          <w:tab w:leader="none" w:pos="173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affirmatively and irrevocably opts out of the extended transition period provided in the JOBS Act. As a result, these consolidated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Recently Adopted Accounting Pronouncements</w:t>
      </w:r>
    </w:p>
    <w:p>
      <w:pPr>
        <w:spacing w:after="0" w:line="82" w:lineRule="exact"/>
        <w:rPr>
          <w:sz w:val="20"/>
          <w:szCs w:val="20"/>
          <w:color w:val="auto"/>
        </w:rPr>
      </w:pPr>
    </w:p>
    <w:p>
      <w:pPr>
        <w:ind w:left="1560" w:right="2059"/>
        <w:spacing w:after="0" w:line="280" w:lineRule="auto"/>
        <w:rPr>
          <w:sz w:val="20"/>
          <w:szCs w:val="20"/>
          <w:color w:val="auto"/>
        </w:rPr>
      </w:pPr>
      <w:r>
        <w:rPr>
          <w:rFonts w:ascii="Arial" w:cs="Arial" w:eastAsia="Arial" w:hAnsi="Arial"/>
          <w:sz w:val="12"/>
          <w:szCs w:val="12"/>
          <w:color w:val="auto"/>
        </w:rPr>
        <w:t xml:space="preserve">In August 2020, the FASB issued ASU No. 2020-06,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(Subtopic 470-20) and Derivatives and Hedging-Contracts in Entity’s Own Equity (Subtopic 815-40): Accounting for Convertible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2" w:name="page263"/>
    <w:bookmarkEnd w:id="26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599"/>
        <w:spacing w:after="0" w:line="273" w:lineRule="auto"/>
        <w:rPr>
          <w:sz w:val="20"/>
          <w:szCs w:val="20"/>
          <w:color w:val="auto"/>
        </w:rPr>
      </w:pPr>
      <w:r>
        <w:rPr>
          <w:rFonts w:ascii="Arial" w:cs="Arial" w:eastAsia="Arial" w:hAnsi="Arial"/>
          <w:sz w:val="12"/>
          <w:szCs w:val="12"/>
          <w:i w:val="1"/>
          <w:iCs w:val="1"/>
          <w:color w:val="auto"/>
        </w:rPr>
        <w:t xml:space="preserve">Instruments and Contracts in an Entity’s Own Equity </w:t>
      </w:r>
      <w:r>
        <w:rPr>
          <w:rFonts w:ascii="Arial" w:cs="Arial" w:eastAsia="Arial" w:hAnsi="Arial"/>
          <w:sz w:val="12"/>
          <w:szCs w:val="12"/>
          <w:color w:val="auto"/>
        </w:rPr>
        <w:t>(“ASU 2020-06”). ASU 2020-06 simplifies accounting</w:t>
      </w:r>
      <w:r>
        <w:rPr>
          <w:rFonts w:ascii="Arial" w:cs="Arial" w:eastAsia="Arial" w:hAnsi="Arial"/>
          <w:sz w:val="12"/>
          <w:szCs w:val="12"/>
          <w:i w:val="1"/>
          <w:iCs w:val="1"/>
          <w:color w:val="auto"/>
        </w:rPr>
        <w:t xml:space="preserve"> </w:t>
      </w:r>
      <w:r>
        <w:rPr>
          <w:rFonts w:ascii="Arial" w:cs="Arial" w:eastAsia="Arial" w:hAnsi="Arial"/>
          <w:sz w:val="12"/>
          <w:szCs w:val="12"/>
          <w:color w:val="auto"/>
        </w:rPr>
        <w:t>for convertible instruments by removing major separation models required under current GAAP.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ASU 2020-06 also simplifies the diluted net income per share calculation in certain areas. This ASU is effective for the Company for fiscal years beginning after December 15, 2023, and interim periods within those fiscal years, with early adoption permitted for fiscal years beginning after December 15, 2020, and interim periods within those fiscal years. The Company early adopted this ASU effective January 1, 2021. The adoption of this ASU did not have a material effect on the Company’s consolidated financial statements and related disclosures.</w:t>
      </w:r>
      <w:r>
        <w:rPr>
          <w:rFonts w:ascii="Arial" w:cs="Arial" w:eastAsia="Arial" w:hAnsi="Arial"/>
          <w:sz w:val="12"/>
          <w:szCs w:val="12"/>
          <w:i w:val="1"/>
          <w:iCs w:val="1"/>
          <w:color w:val="auto"/>
        </w:rPr>
        <w:t>​</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Accounting Pronouncements Not Yet Adopted</w:t>
      </w:r>
    </w:p>
    <w:p>
      <w:pPr>
        <w:spacing w:after="0" w:line="92" w:lineRule="exact"/>
        <w:rPr>
          <w:sz w:val="20"/>
          <w:szCs w:val="20"/>
          <w:color w:val="auto"/>
        </w:rPr>
      </w:pPr>
    </w:p>
    <w:p>
      <w:pPr>
        <w:ind w:left="1560" w:right="1579"/>
        <w:spacing w:after="0" w:line="270" w:lineRule="auto"/>
        <w:rPr>
          <w:sz w:val="20"/>
          <w:szCs w:val="20"/>
          <w:color w:val="auto"/>
        </w:rPr>
      </w:pPr>
      <w:r>
        <w:rPr>
          <w:rFonts w:ascii="Arial" w:cs="Arial" w:eastAsia="Arial" w:hAnsi="Arial"/>
          <w:sz w:val="12"/>
          <w:szCs w:val="12"/>
          <w:color w:val="auto"/>
        </w:rPr>
        <w:t xml:space="preserve">In June 2016, the FASB issued ASU No. 2016-13, </w:t>
      </w:r>
      <w:r>
        <w:rPr>
          <w:rFonts w:ascii="Arial" w:cs="Arial" w:eastAsia="Arial" w:hAnsi="Arial"/>
          <w:sz w:val="12"/>
          <w:szCs w:val="12"/>
          <w:i w:val="1"/>
          <w:iCs w:val="1"/>
          <w:color w:val="auto"/>
        </w:rPr>
        <w:t>Financial Instruments—Credit Losses (Topic 326):</w:t>
      </w:r>
      <w:r>
        <w:rPr>
          <w:rFonts w:ascii="Arial" w:cs="Arial" w:eastAsia="Arial" w:hAnsi="Arial"/>
          <w:sz w:val="12"/>
          <w:szCs w:val="12"/>
          <w:color w:val="auto"/>
        </w:rPr>
        <w:t xml:space="preserve"> </w:t>
      </w:r>
      <w:r>
        <w:rPr>
          <w:rFonts w:ascii="Arial" w:cs="Arial" w:eastAsia="Arial" w:hAnsi="Arial"/>
          <w:sz w:val="12"/>
          <w:szCs w:val="12"/>
          <w:i w:val="1"/>
          <w:iCs w:val="1"/>
          <w:color w:val="auto"/>
        </w:rPr>
        <w:t>Measurement of Credit Losses on Financial Instruments</w:t>
      </w:r>
      <w:r>
        <w:rPr>
          <w:rFonts w:ascii="Arial" w:cs="Arial" w:eastAsia="Arial" w:hAnsi="Arial"/>
          <w:sz w:val="12"/>
          <w:szCs w:val="12"/>
          <w:color w:val="auto"/>
        </w:rPr>
        <w:t>, which requires the measurement and recognition</w:t>
      </w:r>
      <w:r>
        <w:rPr>
          <w:rFonts w:ascii="Arial" w:cs="Arial" w:eastAsia="Arial" w:hAnsi="Arial"/>
          <w:sz w:val="12"/>
          <w:szCs w:val="12"/>
          <w:i w:val="1"/>
          <w:iCs w:val="1"/>
          <w:color w:val="auto"/>
        </w:rPr>
        <w:t xml:space="preserve"> </w:t>
      </w:r>
      <w:r>
        <w:rPr>
          <w:rFonts w:ascii="Arial" w:cs="Arial" w:eastAsia="Arial" w:hAnsi="Arial"/>
          <w:sz w:val="12"/>
          <w:szCs w:val="12"/>
          <w:color w:val="auto"/>
        </w:rPr>
        <w:t>of expected credit losses for financial assets held at amortized cost. This ASU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The amendments in this Update are effective for the Company for fiscal years beginning after December 15, 2022, including interim periods within those</w:t>
      </w:r>
    </w:p>
    <w:p>
      <w:pPr>
        <w:spacing w:after="0" w:line="2" w:lineRule="exact"/>
        <w:rPr>
          <w:sz w:val="20"/>
          <w:szCs w:val="20"/>
          <w:color w:val="auto"/>
        </w:rPr>
      </w:pPr>
    </w:p>
    <w:p>
      <w:pPr>
        <w:ind w:left="1560" w:right="1599"/>
        <w:spacing w:after="0" w:line="298" w:lineRule="auto"/>
        <w:rPr>
          <w:sz w:val="20"/>
          <w:szCs w:val="20"/>
          <w:color w:val="auto"/>
        </w:rPr>
      </w:pPr>
      <w:r>
        <w:rPr>
          <w:rFonts w:ascii="Arial" w:cs="Arial" w:eastAsia="Arial" w:hAnsi="Arial"/>
          <w:sz w:val="12"/>
          <w:szCs w:val="12"/>
          <w:color w:val="auto"/>
        </w:rPr>
        <w:t>fiscal years. Early adoption is permitted. The Company is currently evaluating the impact the adoption of this ASU will have on its consolidated financial statements and related disclosures.</w:t>
      </w:r>
    </w:p>
    <w:p>
      <w:pPr>
        <w:spacing w:after="0" w:line="67" w:lineRule="exact"/>
        <w:rPr>
          <w:sz w:val="20"/>
          <w:szCs w:val="20"/>
          <w:color w:val="auto"/>
        </w:rPr>
      </w:pPr>
    </w:p>
    <w:p>
      <w:pPr>
        <w:ind w:left="1560" w:right="1719"/>
        <w:spacing w:after="0" w:line="274" w:lineRule="auto"/>
        <w:rPr>
          <w:sz w:val="20"/>
          <w:szCs w:val="20"/>
          <w:color w:val="auto"/>
        </w:rPr>
      </w:pPr>
      <w:r>
        <w:rPr>
          <w:rFonts w:ascii="Arial" w:cs="Arial" w:eastAsia="Arial" w:hAnsi="Arial"/>
          <w:sz w:val="12"/>
          <w:szCs w:val="12"/>
          <w:color w:val="auto"/>
        </w:rPr>
        <w:t xml:space="preserve">In December 2019, the FASB issued ASU No. 2019-12, </w:t>
      </w:r>
      <w:r>
        <w:rPr>
          <w:rFonts w:ascii="Arial" w:cs="Arial" w:eastAsia="Arial" w:hAnsi="Arial"/>
          <w:sz w:val="12"/>
          <w:szCs w:val="12"/>
          <w:i w:val="1"/>
          <w:iCs w:val="1"/>
          <w:color w:val="auto"/>
        </w:rPr>
        <w:t>Income Taxes (Topic 740)—Simplifying the</w:t>
      </w:r>
      <w:r>
        <w:rPr>
          <w:rFonts w:ascii="Arial" w:cs="Arial" w:eastAsia="Arial" w:hAnsi="Arial"/>
          <w:sz w:val="12"/>
          <w:szCs w:val="12"/>
          <w:color w:val="auto"/>
        </w:rPr>
        <w:t xml:space="preserve">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which simplify various aspects related to the accounting for income taxes.</w:t>
      </w:r>
      <w:r>
        <w:rPr>
          <w:rFonts w:ascii="Arial" w:cs="Arial" w:eastAsia="Arial" w:hAnsi="Arial"/>
          <w:sz w:val="12"/>
          <w:szCs w:val="12"/>
          <w:i w:val="1"/>
          <w:iCs w:val="1"/>
          <w:color w:val="auto"/>
        </w:rPr>
        <w:t xml:space="preserve"> </w:t>
      </w:r>
      <w:r>
        <w:rPr>
          <w:rFonts w:ascii="Arial" w:cs="Arial" w:eastAsia="Arial" w:hAnsi="Arial"/>
          <w:sz w:val="12"/>
          <w:szCs w:val="12"/>
          <w:color w:val="auto"/>
        </w:rPr>
        <w:t>This ASU removes exceptions to the general principles in Topic 740 related to the approach for intraperiod tax allocation, the methodology for calculating income taxes in an interim period and the recognition of deferred tax liabilities for outside basis differences. For the Company, the amendments are effective for fiscal years beginning after December 15, 2021, and interim periods within fiscal years beginning after December 15, 2022. Early adoption is permitted. The Company is currently evaluating the impact the adoption of this ASU will have on its consolidated financial statements and related disclosures.</w:t>
      </w:r>
    </w:p>
    <w:p>
      <w:pPr>
        <w:spacing w:after="0" w:line="8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3.Composition of Certain Consolidated Financial Statement Line Items</w:t>
      </w:r>
    </w:p>
    <w:p>
      <w:pPr>
        <w:spacing w:after="0" w:line="11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Property and equipment,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3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60" w:type="dxa"/>
            <w:vAlign w:val="bottom"/>
          </w:tcPr>
          <w:p>
            <w:pPr>
              <w:ind w:left="1500"/>
              <w:spacing w:after="0"/>
              <w:rPr>
                <w:sz w:val="20"/>
                <w:szCs w:val="20"/>
                <w:color w:val="auto"/>
              </w:rPr>
            </w:pPr>
            <w:r>
              <w:rPr>
                <w:rFonts w:ascii="Arial" w:cs="Arial" w:eastAsia="Arial" w:hAnsi="Arial"/>
                <w:sz w:val="10"/>
                <w:szCs w:val="10"/>
                <w:b w:val="1"/>
                <w:bCs w:val="1"/>
                <w:color w:val="auto"/>
              </w:rPr>
              <w:t>​ ​</w:t>
            </w: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60" w:type="dxa"/>
            <w:vAlign w:val="bottom"/>
          </w:tcPr>
          <w:p>
            <w:pPr>
              <w:ind w:left="154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auto"/>
              </w:rPr>
              <w:t>2020</w:t>
            </w:r>
          </w:p>
        </w:tc>
        <w:tc>
          <w:tcPr>
            <w:tcW w:w="540" w:type="dxa"/>
            <w:vAlign w:val="bottom"/>
            <w:gridSpan w:val="4"/>
          </w:tcPr>
          <w:p>
            <w:pPr>
              <w:jc w:val="right"/>
              <w:ind w:right="20"/>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2620" w:type="dxa"/>
            <w:vAlign w:val="bottom"/>
            <w:gridSpan w:val="8"/>
            <w:shd w:val="clear" w:color="auto" w:fill="CCEEFF"/>
          </w:tcPr>
          <w:p>
            <w:pPr>
              <w:jc w:val="right"/>
              <w:spacing w:after="0"/>
              <w:rPr>
                <w:sz w:val="20"/>
                <w:szCs w:val="20"/>
                <w:color w:val="auto"/>
              </w:rPr>
            </w:pPr>
            <w:r>
              <w:rPr>
                <w:rFonts w:ascii="Arial" w:cs="Arial" w:eastAsia="Arial" w:hAnsi="Arial"/>
                <w:sz w:val="12"/>
                <w:szCs w:val="12"/>
                <w:color w:val="auto"/>
              </w:rPr>
              <w:t>​ ​​$      —​​ ​​$1,015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3260" w:type="dxa"/>
            <w:vAlign w:val="bottom"/>
          </w:tcPr>
          <w:p>
            <w:pPr>
              <w:spacing w:after="0"/>
              <w:rPr>
                <w:sz w:val="20"/>
                <w:szCs w:val="20"/>
                <w:color w:val="auto"/>
              </w:rPr>
            </w:pPr>
            <w:r>
              <w:rPr>
                <w:rFonts w:ascii="Arial" w:cs="Arial" w:eastAsia="Arial" w:hAnsi="Arial"/>
                <w:sz w:val="12"/>
                <w:szCs w:val="12"/>
                <w:color w:val="auto"/>
              </w:rPr>
              <w:t>Furniture and fixtures</w:t>
            </w:r>
          </w:p>
        </w:tc>
        <w:tc>
          <w:tcPr>
            <w:tcW w:w="1860" w:type="dxa"/>
            <w:vAlign w:val="bottom"/>
            <w:gridSpan w:val="3"/>
          </w:tcPr>
          <w:p>
            <w:pPr>
              <w:ind w:left="1540"/>
              <w:spacing w:after="0"/>
              <w:rPr>
                <w:sz w:val="20"/>
                <w:szCs w:val="20"/>
                <w:color w:val="auto"/>
              </w:rPr>
            </w:pPr>
            <w:r>
              <w:rPr>
                <w:rFonts w:ascii="Arial" w:cs="Arial" w:eastAsia="Arial" w:hAnsi="Arial"/>
                <w:sz w:val="12"/>
                <w:szCs w:val="12"/>
                <w:color w:val="auto"/>
              </w:rPr>
              <w:t>​ ​​ ​</w:t>
            </w:r>
          </w:p>
        </w:tc>
        <w:tc>
          <w:tcPr>
            <w:tcW w:w="520" w:type="dxa"/>
            <w:vAlign w:val="bottom"/>
            <w:gridSpan w:val="4"/>
          </w:tcPr>
          <w:p>
            <w:pPr>
              <w:jc w:val="right"/>
              <w:spacing w:after="0"/>
              <w:rPr>
                <w:sz w:val="20"/>
                <w:szCs w:val="20"/>
                <w:color w:val="auto"/>
              </w:rPr>
            </w:pPr>
            <w:r>
              <w:rPr>
                <w:rFonts w:ascii="Arial" w:cs="Arial" w:eastAsia="Arial" w:hAnsi="Arial"/>
                <w:sz w:val="12"/>
                <w:szCs w:val="12"/>
                <w:color w:val="auto"/>
              </w:rPr>
              <w:t>19​​ ​​ ​</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8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Computer equipment</w:t>
            </w:r>
          </w:p>
        </w:tc>
        <w:tc>
          <w:tcPr>
            <w:tcW w:w="1860" w:type="dxa"/>
            <w:vAlign w:val="bottom"/>
            <w:gridSpan w:val="3"/>
            <w:shd w:val="clear" w:color="auto" w:fill="CCEEFF"/>
          </w:tcPr>
          <w:p>
            <w:pPr>
              <w:ind w:left="1540"/>
              <w:spacing w:after="0"/>
              <w:rPr>
                <w:sz w:val="20"/>
                <w:szCs w:val="20"/>
                <w:color w:val="auto"/>
              </w:rPr>
            </w:pPr>
            <w:r>
              <w:rPr>
                <w:rFonts w:ascii="Arial" w:cs="Arial" w:eastAsia="Arial" w:hAnsi="Arial"/>
                <w:sz w:val="12"/>
                <w:szCs w:val="12"/>
                <w:color w:val="auto"/>
              </w:rPr>
              <w:t>​ ​​ ​</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2"/>
                <w:szCs w:val="12"/>
                <w:color w:val="auto"/>
              </w:rPr>
              <w:t>Leasehold improvements</w:t>
            </w:r>
          </w:p>
        </w:tc>
        <w:tc>
          <w:tcPr>
            <w:tcW w:w="1860" w:type="dxa"/>
            <w:vAlign w:val="bottom"/>
            <w:gridSpan w:val="3"/>
          </w:tcPr>
          <w:p>
            <w:pPr>
              <w:ind w:left="15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520" w:type="dxa"/>
            <w:vAlign w:val="bottom"/>
            <w:gridSpan w:val="4"/>
          </w:tcPr>
          <w:p>
            <w:pPr>
              <w:jc w:val="right"/>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28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110</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60" w:type="dxa"/>
            <w:vAlign w:val="bottom"/>
            <w:gridSpan w:val="3"/>
            <w:shd w:val="clear" w:color="auto" w:fill="CCEEFF"/>
          </w:tcPr>
          <w:p>
            <w:pPr>
              <w:ind w:left="1540"/>
              <w:spacing w:after="0"/>
              <w:rPr>
                <w:sz w:val="20"/>
                <w:szCs w:val="20"/>
                <w:color w:val="auto"/>
              </w:rPr>
            </w:pPr>
            <w:r>
              <w:rPr>
                <w:rFonts w:ascii="Arial" w:cs="Arial" w:eastAsia="Arial" w:hAnsi="Arial"/>
                <w:sz w:val="12"/>
                <w:szCs w:val="12"/>
                <w:color w:val="auto"/>
              </w:rPr>
              <w:t>​ ​​$</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19​​ ​​$1,257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60" w:type="dxa"/>
            <w:vAlign w:val="bottom"/>
          </w:tcPr>
          <w:p>
            <w:pPr>
              <w:spacing w:after="0" w:line="136" w:lineRule="exact"/>
              <w:rPr>
                <w:sz w:val="20"/>
                <w:szCs w:val="20"/>
                <w:color w:val="auto"/>
              </w:rPr>
            </w:pPr>
            <w:r>
              <w:rPr>
                <w:rFonts w:ascii="Arial" w:cs="Arial" w:eastAsia="Arial" w:hAnsi="Arial"/>
                <w:sz w:val="12"/>
                <w:szCs w:val="12"/>
                <w:color w:val="auto"/>
              </w:rPr>
              <w:t>Less: Accumulated depreciation</w:t>
            </w:r>
          </w:p>
        </w:tc>
        <w:tc>
          <w:tcPr>
            <w:tcW w:w="1720" w:type="dxa"/>
            <w:vAlign w:val="bottom"/>
            <w:gridSpan w:val="2"/>
            <w:vMerge w:val="restart"/>
          </w:tcPr>
          <w:p>
            <w:pPr>
              <w:ind w:left="1540"/>
              <w:spacing w:after="0"/>
              <w:rPr>
                <w:sz w:val="20"/>
                <w:szCs w:val="20"/>
                <w:color w:val="auto"/>
              </w:rPr>
            </w:pPr>
            <w:r>
              <w:rPr>
                <w:rFonts w:ascii="Arial" w:cs="Arial" w:eastAsia="Arial" w:hAnsi="Arial"/>
                <w:sz w:val="12"/>
                <w:szCs w:val="12"/>
                <w:color w:val="auto"/>
              </w:rPr>
              <w:t>​ ​​</w:t>
            </w:r>
          </w:p>
        </w:tc>
        <w:tc>
          <w:tcPr>
            <w:tcW w:w="14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ind w:left="100"/>
              <w:spacing w:after="0" w:line="136" w:lineRule="exact"/>
              <w:rPr>
                <w:sz w:val="20"/>
                <w:szCs w:val="20"/>
                <w:color w:val="auto"/>
              </w:rPr>
            </w:pPr>
            <w:r>
              <w:rPr>
                <w:rFonts w:ascii="Arial" w:cs="Arial" w:eastAsia="Arial" w:hAnsi="Arial"/>
                <w:sz w:val="12"/>
                <w:szCs w:val="12"/>
                <w:color w:val="auto"/>
                <w:w w:val="82"/>
              </w:rPr>
              <w:t>—</w:t>
            </w:r>
          </w:p>
        </w:tc>
        <w:tc>
          <w:tcPr>
            <w:tcW w:w="22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58"/>
        </w:trPr>
        <w:tc>
          <w:tcPr>
            <w:tcW w:w="326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860" w:type="dxa"/>
            <w:vAlign w:val="bottom"/>
            <w:gridSpan w:val="3"/>
            <w:shd w:val="clear" w:color="auto" w:fill="CCEEFF"/>
          </w:tcPr>
          <w:p>
            <w:pPr>
              <w:ind w:left="1540"/>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760" w:type="dxa"/>
            <w:vAlign w:val="bottom"/>
            <w:gridSpan w:val="5"/>
            <w:shd w:val="clear" w:color="auto" w:fill="CCEEFF"/>
          </w:tcPr>
          <w:p>
            <w:pPr>
              <w:jc w:val="right"/>
              <w:spacing w:after="0" w:line="173" w:lineRule="exact"/>
              <w:rPr>
                <w:sz w:val="20"/>
                <w:szCs w:val="20"/>
                <w:color w:val="auto"/>
              </w:rPr>
            </w:pPr>
            <w:r>
              <w:rPr>
                <w:rFonts w:ascii="Arial" w:cs="Arial" w:eastAsia="Arial" w:hAnsi="Arial"/>
                <w:sz w:val="11"/>
                <w:szCs w:val="11"/>
                <w:color w:val="auto"/>
              </w:rPr>
              <w:t>19</w:t>
            </w:r>
            <w:r>
              <w:rPr>
                <w:rFonts w:ascii="Arial" w:cs="Arial" w:eastAsia="Arial" w:hAnsi="Arial"/>
                <w:sz w:val="20"/>
                <w:szCs w:val="20"/>
                <w:color w:val="auto"/>
                <w:vertAlign w:val="subscript"/>
              </w:rPr>
              <w:t>​​ ​​</w:t>
            </w:r>
            <w:r>
              <w:rPr>
                <w:rFonts w:ascii="Arial" w:cs="Arial" w:eastAsia="Arial" w:hAnsi="Arial"/>
                <w:sz w:val="11"/>
                <w:szCs w:val="11"/>
                <w:u w:val="single" w:color="auto"/>
                <w:color w:val="auto"/>
              </w:rPr>
              <w:t>$</w:t>
            </w:r>
            <w:r>
              <w:rPr>
                <w:rFonts w:ascii="Arial" w:cs="Arial" w:eastAsia="Arial" w:hAnsi="Arial"/>
                <w:sz w:val="11"/>
                <w:szCs w:val="11"/>
                <w:color w:val="auto"/>
              </w:rPr>
              <w:t>1,185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3260" w:type="dxa"/>
            <w:vAlign w:val="bottom"/>
            <w:tcBorders>
              <w:top w:val="single" w:sz="8" w:color="CCEEFF"/>
              <w:bottom w:val="single" w:sz="8" w:color="auto"/>
            </w:tcBorders>
          </w:tcPr>
          <w:p>
            <w:pPr>
              <w:spacing w:after="0"/>
              <w:rPr>
                <w:sz w:val="6"/>
                <w:szCs w:val="6"/>
                <w:color w:val="auto"/>
              </w:rPr>
            </w:pPr>
          </w:p>
        </w:tc>
        <w:tc>
          <w:tcPr>
            <w:tcW w:w="166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48742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8742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48742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8742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-914400</wp:posOffset>
            </wp:positionV>
            <wp:extent cx="348107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81070" cy="6350"/>
                    </a:xfrm>
                    <a:prstGeom prst="rect">
                      <a:avLst/>
                    </a:prstGeom>
                    <a:noFill/>
                  </pic:spPr>
                </pic:pic>
              </a:graphicData>
            </a:graphic>
          </wp:anchor>
        </w:drawing>
      </w:r>
    </w:p>
    <w:p>
      <w:pPr>
        <w:spacing w:after="0" w:line="70"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Depreciation expense for the years ended December 31, 2020 and 2021 was less than $0.1 million and $0.1 million, respectively.</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3" w:name="page264"/>
    <w:bookmarkEnd w:id="26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3740" w:type="dxa"/>
            <w:vAlign w:val="bottom"/>
          </w:tcPr>
          <w:p>
            <w:pPr>
              <w:spacing w:after="0"/>
              <w:rPr>
                <w:sz w:val="20"/>
                <w:szCs w:val="20"/>
                <w:color w:val="auto"/>
              </w:rPr>
            </w:pPr>
            <w:r>
              <w:rPr>
                <w:rFonts w:ascii="Arial" w:cs="Arial" w:eastAsia="Arial" w:hAnsi="Arial"/>
                <w:sz w:val="10"/>
                <w:szCs w:val="10"/>
                <w:b w:val="1"/>
                <w:bCs w:val="1"/>
                <w:color w:val="auto"/>
              </w:rPr>
              <w:t>​</w:t>
            </w:r>
          </w:p>
        </w:tc>
        <w:tc>
          <w:tcPr>
            <w:tcW w:w="1160" w:type="dxa"/>
            <w:vAlign w:val="bottom"/>
          </w:tcPr>
          <w:p>
            <w:pPr>
              <w:ind w:left="1000"/>
              <w:spacing w:after="0"/>
              <w:rPr>
                <w:sz w:val="20"/>
                <w:szCs w:val="20"/>
                <w:color w:val="auto"/>
              </w:rPr>
            </w:pPr>
            <w:r>
              <w:rPr>
                <w:rFonts w:ascii="Arial" w:cs="Arial" w:eastAsia="Arial" w:hAnsi="Arial"/>
                <w:sz w:val="10"/>
                <w:szCs w:val="10"/>
                <w:b w:val="1"/>
                <w:bCs w:val="1"/>
                <w:color w:val="auto"/>
              </w:rPr>
              <w:t>​ ​</w:t>
            </w:r>
          </w:p>
        </w:tc>
        <w:tc>
          <w:tcPr>
            <w:tcW w:w="98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54"/>
        </w:trPr>
        <w:tc>
          <w:tcPr>
            <w:tcW w:w="3740" w:type="dxa"/>
            <w:vAlign w:val="bottom"/>
          </w:tcPr>
          <w:p>
            <w:pPr>
              <w:spacing w:after="0"/>
              <w:rPr>
                <w:sz w:val="20"/>
                <w:szCs w:val="20"/>
                <w:color w:val="auto"/>
              </w:rPr>
            </w:pPr>
            <w:r>
              <w:rPr>
                <w:rFonts w:ascii="Arial" w:cs="Arial" w:eastAsia="Arial" w:hAnsi="Arial"/>
                <w:sz w:val="10"/>
                <w:szCs w:val="10"/>
                <w:b w:val="1"/>
                <w:bCs w:val="1"/>
                <w:color w:val="auto"/>
              </w:rPr>
              <w:t>​</w:t>
            </w:r>
          </w:p>
        </w:tc>
        <w:tc>
          <w:tcPr>
            <w:tcW w:w="1160" w:type="dxa"/>
            <w:vAlign w:val="bottom"/>
          </w:tcPr>
          <w:p>
            <w:pPr>
              <w:ind w:left="1040"/>
              <w:spacing w:after="0"/>
              <w:rPr>
                <w:sz w:val="20"/>
                <w:szCs w:val="20"/>
                <w:color w:val="auto"/>
              </w:rPr>
            </w:pPr>
            <w:r>
              <w:rPr>
                <w:rFonts w:ascii="Arial" w:cs="Arial" w:eastAsia="Arial" w:hAnsi="Arial"/>
                <w:sz w:val="10"/>
                <w:szCs w:val="10"/>
                <w:b w:val="1"/>
                <w:bCs w:val="1"/>
                <w:color w:val="auto"/>
              </w:rPr>
              <w:t>​ ​</w:t>
            </w:r>
          </w:p>
        </w:tc>
        <w:tc>
          <w:tcPr>
            <w:tcW w:w="980" w:type="dxa"/>
            <w:vAlign w:val="bottom"/>
            <w:gridSpan w:val="5"/>
          </w:tcPr>
          <w:p>
            <w:pPr>
              <w:ind w:left="80"/>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7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Accrued compensation</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 ​​$</w:t>
            </w:r>
          </w:p>
        </w:tc>
        <w:tc>
          <w:tcPr>
            <w:tcW w:w="82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819​​ ​​$ 1,943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740" w:type="dxa"/>
            <w:vAlign w:val="bottom"/>
          </w:tcPr>
          <w:p>
            <w:pPr>
              <w:spacing w:after="0"/>
              <w:rPr>
                <w:sz w:val="20"/>
                <w:szCs w:val="20"/>
                <w:color w:val="auto"/>
              </w:rPr>
            </w:pPr>
            <w:r>
              <w:rPr>
                <w:rFonts w:ascii="Arial" w:cs="Arial" w:eastAsia="Arial" w:hAnsi="Arial"/>
                <w:sz w:val="12"/>
                <w:szCs w:val="12"/>
                <w:color w:val="auto"/>
              </w:rPr>
              <w:t>Accrued research and development expenses</w:t>
            </w: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 ​​ ​</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280​​ ​​ ​2,421​</w:t>
            </w:r>
          </w:p>
        </w:tc>
      </w:tr>
      <w:tr>
        <w:trPr>
          <w:trHeight w:val="184"/>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Income tax payable</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 ​​ ​</w:t>
            </w: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138​​ ​​ ​</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740" w:type="dxa"/>
            <w:vAlign w:val="bottom"/>
          </w:tcPr>
          <w:p>
            <w:pPr>
              <w:spacing w:after="0"/>
              <w:rPr>
                <w:sz w:val="20"/>
                <w:szCs w:val="20"/>
                <w:color w:val="auto"/>
              </w:rPr>
            </w:pPr>
            <w:r>
              <w:rPr>
                <w:rFonts w:ascii="Arial" w:cs="Arial" w:eastAsia="Arial" w:hAnsi="Arial"/>
                <w:sz w:val="12"/>
                <w:szCs w:val="12"/>
                <w:color w:val="auto"/>
              </w:rPr>
              <w:t>Accrued other liabilities</w:t>
            </w:r>
          </w:p>
        </w:tc>
        <w:tc>
          <w:tcPr>
            <w:tcW w:w="1320" w:type="dxa"/>
            <w:vAlign w:val="bottom"/>
            <w:gridSpan w:val="2"/>
          </w:tcPr>
          <w:p>
            <w:pPr>
              <w:ind w:left="10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560" w:type="dxa"/>
            <w:vAlign w:val="bottom"/>
            <w:gridSpan w:val="3"/>
          </w:tcPr>
          <w:p>
            <w:pPr>
              <w:ind w:left="40"/>
              <w:spacing w:after="0" w:line="193" w:lineRule="exact"/>
              <w:rPr>
                <w:sz w:val="20"/>
                <w:szCs w:val="20"/>
                <w:color w:val="auto"/>
              </w:rPr>
            </w:pPr>
            <w:r>
              <w:rPr>
                <w:rFonts w:ascii="Arial" w:cs="Arial" w:eastAsia="Arial" w:hAnsi="Arial"/>
                <w:sz w:val="12"/>
                <w:szCs w:val="12"/>
                <w:color w:val="auto"/>
              </w:rPr>
              <w:t>128</w:t>
            </w:r>
            <w:r>
              <w:rPr>
                <w:rFonts w:ascii="Arial" w:cs="Arial" w:eastAsia="Arial" w:hAnsi="Arial"/>
                <w:sz w:val="22"/>
                <w:szCs w:val="22"/>
                <w:color w:val="auto"/>
                <w:vertAlign w:val="subscript"/>
              </w:rPr>
              <w:t>​​ ​​</w:t>
            </w:r>
            <w:r>
              <w:rPr>
                <w:rFonts w:ascii="Arial" w:cs="Arial" w:eastAsia="Arial" w:hAnsi="Arial"/>
                <w:sz w:val="12"/>
                <w:szCs w:val="12"/>
                <w:color w:val="auto"/>
              </w:rPr>
              <w:t xml:space="preserve"> ​</w:t>
            </w:r>
          </w:p>
        </w:tc>
        <w:tc>
          <w:tcPr>
            <w:tcW w:w="30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230</w:t>
            </w:r>
            <w:r>
              <w:rPr>
                <w:rFonts w:ascii="Arial" w:cs="Arial" w:eastAsia="Arial" w:hAnsi="Arial"/>
                <w:sz w:val="22"/>
                <w:szCs w:val="22"/>
                <w:color w:val="auto"/>
                <w:vertAlign w:val="subscript"/>
              </w:rPr>
              <w:t>​</w:t>
            </w:r>
          </w:p>
        </w:tc>
      </w:tr>
      <w:tr>
        <w:trPr>
          <w:trHeight w:val="20"/>
        </w:trPr>
        <w:tc>
          <w:tcPr>
            <w:tcW w:w="37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Total accrued expenses and other current liabilities</w:t>
            </w:r>
          </w:p>
        </w:tc>
        <w:tc>
          <w:tcPr>
            <w:tcW w:w="2140" w:type="dxa"/>
            <w:vAlign w:val="bottom"/>
            <w:gridSpan w:val="6"/>
            <w:shd w:val="clear" w:color="auto" w:fill="CCEEFF"/>
          </w:tcPr>
          <w:p>
            <w:pPr>
              <w:ind w:left="1040"/>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u w:val="single" w:color="auto"/>
                <w:color w:val="auto"/>
              </w:rPr>
              <w:t>$</w:t>
            </w:r>
            <w:r>
              <w:rPr>
                <w:rFonts w:ascii="Arial" w:cs="Arial" w:eastAsia="Arial" w:hAnsi="Arial"/>
                <w:sz w:val="11"/>
                <w:szCs w:val="11"/>
                <w:color w:val="auto"/>
              </w:rPr>
              <w:t>1,365</w:t>
            </w:r>
            <w:r>
              <w:rPr>
                <w:rFonts w:ascii="Arial" w:cs="Arial" w:eastAsia="Arial" w:hAnsi="Arial"/>
                <w:sz w:val="20"/>
                <w:szCs w:val="20"/>
                <w:color w:val="auto"/>
                <w:vertAlign w:val="subscript"/>
              </w:rPr>
              <w:t>​​ ​​</w:t>
            </w:r>
            <w:r>
              <w:rPr>
                <w:rFonts w:ascii="Arial" w:cs="Arial" w:eastAsia="Arial" w:hAnsi="Arial"/>
                <w:sz w:val="11"/>
                <w:szCs w:val="11"/>
                <w:color w:val="auto"/>
              </w:rPr>
              <w:t>$ 4,825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740" w:type="dxa"/>
            <w:vAlign w:val="bottom"/>
            <w:tcBorders>
              <w:top w:val="single" w:sz="8" w:color="CCEEFF"/>
              <w:bottom w:val="single" w:sz="8" w:color="auto"/>
            </w:tcBorders>
          </w:tcPr>
          <w:p>
            <w:pPr>
              <w:spacing w:after="0"/>
              <w:rPr>
                <w:sz w:val="6"/>
                <w:szCs w:val="6"/>
                <w:color w:val="auto"/>
              </w:rPr>
            </w:pPr>
          </w:p>
        </w:tc>
        <w:tc>
          <w:tcPr>
            <w:tcW w:w="116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469005"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6900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-675005</wp:posOffset>
            </wp:positionV>
            <wp:extent cx="3462655"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62655" cy="6350"/>
                    </a:xfrm>
                    <a:prstGeom prst="rect">
                      <a:avLst/>
                    </a:prstGeom>
                    <a:noFill/>
                  </pic:spPr>
                </pic:pic>
              </a:graphicData>
            </a:graphic>
          </wp:anchor>
        </w:drawing>
      </w:r>
    </w:p>
    <w:p>
      <w:pPr>
        <w:spacing w:after="0" w:line="7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4. Fair Value Measurements</w:t>
      </w:r>
    </w:p>
    <w:p>
      <w:pPr>
        <w:spacing w:after="0" w:line="123" w:lineRule="exact"/>
        <w:rPr>
          <w:sz w:val="20"/>
          <w:szCs w:val="20"/>
          <w:color w:val="auto"/>
        </w:rPr>
      </w:pPr>
    </w:p>
    <w:p>
      <w:pPr>
        <w:ind w:left="1560" w:right="1739"/>
        <w:spacing w:after="0" w:line="308" w:lineRule="auto"/>
        <w:rPr>
          <w:sz w:val="20"/>
          <w:szCs w:val="20"/>
          <w:color w:val="auto"/>
        </w:rPr>
      </w:pPr>
      <w:r>
        <w:rPr>
          <w:rFonts w:ascii="Arial" w:cs="Arial" w:eastAsia="Arial" w:hAnsi="Arial"/>
          <w:sz w:val="12"/>
          <w:szCs w:val="12"/>
          <w:color w:val="auto"/>
        </w:rPr>
        <w:t>The Company determines the fair value of financial and non-financial assets and liabilities using the fair value hierarchy which establishes three level of inputs that may be used to measure fair value, as follows:</w:t>
      </w:r>
    </w:p>
    <w:p>
      <w:pPr>
        <w:spacing w:after="0" w:line="5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Level 1—Observable inputs, such as quoted prices in active markets for identical assets or liabilities.</w:t>
      </w:r>
    </w:p>
    <w:p>
      <w:pPr>
        <w:spacing w:after="0" w:line="123" w:lineRule="exact"/>
        <w:rPr>
          <w:sz w:val="20"/>
          <w:szCs w:val="20"/>
          <w:color w:val="auto"/>
        </w:rPr>
      </w:pPr>
    </w:p>
    <w:p>
      <w:pPr>
        <w:jc w:val="both"/>
        <w:ind w:left="1560" w:right="1719"/>
        <w:spacing w:after="0" w:line="288" w:lineRule="auto"/>
        <w:rPr>
          <w:sz w:val="20"/>
          <w:szCs w:val="20"/>
          <w:color w:val="auto"/>
        </w:rPr>
      </w:pPr>
      <w:r>
        <w:rPr>
          <w:rFonts w:ascii="Arial" w:cs="Arial" w:eastAsia="Arial" w:hAnsi="Arial"/>
          <w:sz w:val="12"/>
          <w:szCs w:val="12"/>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4" w:lineRule="exact"/>
        <w:rPr>
          <w:sz w:val="20"/>
          <w:szCs w:val="20"/>
          <w:color w:val="auto"/>
        </w:rPr>
      </w:pPr>
    </w:p>
    <w:p>
      <w:pPr>
        <w:jc w:val="both"/>
        <w:ind w:left="1560" w:right="1619"/>
        <w:spacing w:after="0" w:line="288" w:lineRule="auto"/>
        <w:rPr>
          <w:sz w:val="20"/>
          <w:szCs w:val="20"/>
          <w:color w:val="auto"/>
        </w:rPr>
      </w:pPr>
      <w:r>
        <w:rPr>
          <w:rFonts w:ascii="Arial" w:cs="Arial" w:eastAsia="Arial" w:hAnsi="Arial"/>
          <w:sz w:val="12"/>
          <w:szCs w:val="12"/>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4"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74"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4" w:name="page265"/>
    <w:bookmarkEnd w:id="26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69215</wp:posOffset>
            </wp:positionV>
            <wp:extent cx="3733165"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28"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ind w:left="780"/>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auto"/>
            </w:tcBorders>
            <w:gridSpan w:val="2"/>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54"/>
        </w:trPr>
        <w:tc>
          <w:tcPr>
            <w:tcW w:w="800" w:type="dxa"/>
            <w:vAlign w:val="bottom"/>
          </w:tcPr>
          <w:p>
            <w:pPr>
              <w:spacing w:after="0"/>
              <w:rPr>
                <w:sz w:val="20"/>
                <w:szCs w:val="20"/>
                <w:color w:val="auto"/>
              </w:rPr>
            </w:pPr>
            <w:r>
              <w:rPr>
                <w:rFonts w:ascii="Arial" w:cs="Arial" w:eastAsia="Arial" w:hAnsi="Arial"/>
                <w:sz w:val="10"/>
                <w:szCs w:val="10"/>
                <w:b w:val="1"/>
                <w:bCs w:val="1"/>
                <w:color w:val="auto"/>
              </w:rPr>
              <w:t>​</w:t>
            </w:r>
          </w:p>
        </w:tc>
        <w:tc>
          <w:tcPr>
            <w:tcW w:w="1380" w:type="dxa"/>
            <w:vAlign w:val="bottom"/>
            <w:gridSpan w:val="3"/>
          </w:tcPr>
          <w:p>
            <w:pPr>
              <w:ind w:left="800"/>
              <w:spacing w:after="0"/>
              <w:rPr>
                <w:sz w:val="20"/>
                <w:szCs w:val="20"/>
                <w:color w:val="auto"/>
              </w:rPr>
            </w:pPr>
            <w:r>
              <w:rPr>
                <w:rFonts w:ascii="Arial" w:cs="Arial" w:eastAsia="Arial" w:hAnsi="Arial"/>
                <w:sz w:val="10"/>
                <w:szCs w:val="10"/>
                <w:b w:val="1"/>
                <w:bCs w:val="1"/>
                <w:color w:val="auto"/>
              </w:rPr>
              <w:t>​​</w:t>
            </w:r>
          </w:p>
        </w:tc>
        <w:tc>
          <w:tcPr>
            <w:tcW w:w="100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rPr>
              <w:t>​​</w:t>
            </w:r>
          </w:p>
        </w:tc>
        <w:tc>
          <w:tcPr>
            <w:tcW w:w="100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800" w:type="dxa"/>
            <w:vAlign w:val="bottom"/>
          </w:tcPr>
          <w:p>
            <w:pPr>
              <w:spacing w:after="0"/>
              <w:rPr>
                <w:sz w:val="20"/>
                <w:szCs w:val="20"/>
                <w:color w:val="auto"/>
              </w:rPr>
            </w:pPr>
            <w:r>
              <w:rPr>
                <w:rFonts w:ascii="Arial" w:cs="Arial" w:eastAsia="Arial" w:hAnsi="Arial"/>
                <w:sz w:val="10"/>
                <w:szCs w:val="10"/>
                <w:b w:val="1"/>
                <w:bCs w:val="1"/>
                <w:color w:val="auto"/>
              </w:rPr>
              <w:t>​</w:t>
            </w:r>
          </w:p>
        </w:tc>
        <w:tc>
          <w:tcPr>
            <w:tcW w:w="5120" w:type="dxa"/>
            <w:vAlign w:val="bottom"/>
            <w:gridSpan w:val="17"/>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LEVEL 1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LEVEL 2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LEVEL 3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TOTAL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LEVEL 1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LEVEL 2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LEVEL 3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TOTAL </w:t>
            </w:r>
            <w:r>
              <w:rPr>
                <w:rFonts w:ascii="Arial" w:cs="Arial" w:eastAsia="Arial" w:hAnsi="Arial"/>
                <w:sz w:val="17"/>
                <w:szCs w:val="17"/>
                <w:b w:val="1"/>
                <w:bCs w:val="1"/>
                <w:color w:val="auto"/>
                <w:vertAlign w:val="subscript"/>
              </w:rPr>
              <w:t>​</w:t>
            </w:r>
          </w:p>
        </w:tc>
      </w:tr>
      <w:tr>
        <w:trPr>
          <w:trHeight w:val="20"/>
        </w:trPr>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-5715</wp:posOffset>
            </wp:positionV>
            <wp:extent cx="3733165" cy="1289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733165" cy="12890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Money market funds</w:t>
      </w:r>
    </w:p>
    <w:p>
      <w:pPr>
        <w:spacing w:after="0" w:line="55"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994410" cy="1289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94410" cy="128905"/>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shd w:val="clear" w:color="auto" w:fill="CCEEFF"/>
        </w:rPr>
        <w:t>Corporate debt securities</w:t>
      </w:r>
    </w:p>
    <w:p>
      <w:pPr>
        <w:spacing w:after="0" w:line="55"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Short-term investments</w:t>
      </w:r>
    </w:p>
    <w:p>
      <w:pPr>
        <w:spacing w:after="0" w:line="5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Total fair value of financial</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00" w:type="dxa"/>
            <w:vAlign w:val="bottom"/>
            <w:gridSpan w:val="5"/>
          </w:tcPr>
          <w:p>
            <w:pPr>
              <w:ind w:left="20"/>
              <w:spacing w:after="0" w:line="184"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15,213</w:t>
            </w:r>
            <w:r>
              <w:rPr>
                <w:rFonts w:ascii="Arial" w:cs="Arial" w:eastAsia="Arial" w:hAnsi="Arial"/>
                <w:sz w:val="21"/>
                <w:szCs w:val="21"/>
                <w:color w:val="auto"/>
                <w:vertAlign w:val="subscript"/>
              </w:rPr>
              <w:t>​​​​</w:t>
            </w: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440" w:type="dxa"/>
            <w:vAlign w:val="bottom"/>
            <w:gridSpan w:val="3"/>
          </w:tcPr>
          <w:p>
            <w:pPr>
              <w:ind w:left="1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1620" w:type="dxa"/>
            <w:vAlign w:val="bottom"/>
            <w:gridSpan w:val="8"/>
          </w:tcPr>
          <w:p>
            <w:pPr>
              <w:spacing w:after="0" w:line="184"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15,213</w:t>
            </w:r>
            <w:r>
              <w:rPr>
                <w:rFonts w:ascii="Arial" w:cs="Arial" w:eastAsia="Arial" w:hAnsi="Arial"/>
                <w:sz w:val="21"/>
                <w:szCs w:val="21"/>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89,795</w:t>
            </w:r>
            <w:r>
              <w:rPr>
                <w:rFonts w:ascii="Arial" w:cs="Arial" w:eastAsia="Arial" w:hAnsi="Arial"/>
                <w:sz w:val="21"/>
                <w:szCs w:val="21"/>
                <w:color w:val="auto"/>
                <w:vertAlign w:val="subscript"/>
              </w:rPr>
              <w:t>​​​​</w:t>
            </w:r>
            <w:r>
              <w:rPr>
                <w:rFonts w:ascii="Arial" w:cs="Arial" w:eastAsia="Arial" w:hAnsi="Arial"/>
                <w:sz w:val="11"/>
                <w:szCs w:val="11"/>
                <w:color w:val="auto"/>
              </w:rPr>
              <w:t>$</w:t>
            </w:r>
          </w:p>
        </w:tc>
        <w:tc>
          <w:tcPr>
            <w:tcW w:w="520" w:type="dxa"/>
            <w:vAlign w:val="bottom"/>
            <w:gridSpan w:val="3"/>
          </w:tcPr>
          <w:p>
            <w:pPr>
              <w:jc w:val="right"/>
              <w:ind w:right="4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920" w:type="dxa"/>
            <w:vAlign w:val="bottom"/>
            <w:gridSpan w:val="5"/>
          </w:tcPr>
          <w:p>
            <w:pPr>
              <w:jc w:val="right"/>
              <w:spacing w:after="0" w:line="184"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89,795</w:t>
            </w:r>
            <w:r>
              <w:rPr>
                <w:rFonts w:ascii="Arial" w:cs="Arial" w:eastAsia="Arial" w:hAnsi="Arial"/>
                <w:sz w:val="21"/>
                <w:szCs w:val="21"/>
                <w:color w:val="auto"/>
                <w:vertAlign w:val="subscript"/>
              </w:rPr>
              <w:t>​</w:t>
            </w:r>
          </w:p>
        </w:tc>
      </w:tr>
      <w:tr>
        <w:trPr>
          <w:trHeight w:val="20"/>
        </w:trPr>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700" w:type="dxa"/>
            <w:vAlign w:val="bottom"/>
            <w:gridSpan w:val="5"/>
          </w:tcPr>
          <w:p>
            <w:pPr>
              <w:ind w:left="20"/>
              <w:spacing w:after="0"/>
              <w:rPr>
                <w:sz w:val="20"/>
                <w:szCs w:val="20"/>
                <w:color w:val="auto"/>
              </w:rPr>
            </w:pPr>
            <w:r>
              <w:rPr>
                <w:rFonts w:ascii="Arial" w:cs="Arial" w:eastAsia="Arial" w:hAnsi="Arial"/>
                <w:sz w:val="12"/>
                <w:szCs w:val="12"/>
                <w:color w:val="auto"/>
              </w:rPr>
              <w:t>​​​ ​15,213​​​​</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3"/>
          </w:tcPr>
          <w:p>
            <w:pPr>
              <w:ind w:left="120"/>
              <w:spacing w:after="0"/>
              <w:rPr>
                <w:sz w:val="20"/>
                <w:szCs w:val="20"/>
                <w:color w:val="auto"/>
              </w:rPr>
            </w:pPr>
            <w:r>
              <w:rPr>
                <w:rFonts w:ascii="Arial" w:cs="Arial" w:eastAsia="Arial" w:hAnsi="Arial"/>
                <w:sz w:val="12"/>
                <w:szCs w:val="12"/>
                <w:color w:val="auto"/>
              </w:rPr>
              <w:t>—​​​​ ​</w:t>
            </w:r>
          </w:p>
        </w:tc>
        <w:tc>
          <w:tcPr>
            <w:tcW w:w="1620" w:type="dxa"/>
            <w:vAlign w:val="bottom"/>
            <w:gridSpan w:val="8"/>
          </w:tcPr>
          <w:p>
            <w:pPr>
              <w:ind w:left="200"/>
              <w:spacing w:after="0"/>
              <w:rPr>
                <w:sz w:val="20"/>
                <w:szCs w:val="20"/>
                <w:color w:val="auto"/>
              </w:rPr>
            </w:pPr>
            <w:r>
              <w:rPr>
                <w:rFonts w:ascii="Arial" w:cs="Arial" w:eastAsia="Arial" w:hAnsi="Arial"/>
                <w:sz w:val="12"/>
                <w:szCs w:val="12"/>
                <w:color w:val="auto"/>
              </w:rPr>
              <w:t>—​​​​ ​15,213​​​​ ​89,795​​​​ ​</w:t>
            </w: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920" w:type="dxa"/>
            <w:vAlign w:val="bottom"/>
            <w:gridSpan w:val="5"/>
          </w:tcPr>
          <w:p>
            <w:pPr>
              <w:jc w:val="right"/>
              <w:spacing w:after="0"/>
              <w:rPr>
                <w:sz w:val="20"/>
                <w:szCs w:val="20"/>
                <w:color w:val="auto"/>
              </w:rPr>
            </w:pPr>
            <w:r>
              <w:rPr>
                <w:rFonts w:ascii="Arial" w:cs="Arial" w:eastAsia="Arial" w:hAnsi="Arial"/>
                <w:sz w:val="12"/>
                <w:szCs w:val="12"/>
                <w:color w:val="auto"/>
              </w:rPr>
              <w:t>—​​​​ ​89,795​</w:t>
            </w:r>
          </w:p>
        </w:tc>
      </w:tr>
      <w:tr>
        <w:trPr>
          <w:trHeight w:val="184"/>
        </w:trPr>
        <w:tc>
          <w:tcPr>
            <w:tcW w:w="300" w:type="dxa"/>
            <w:vAlign w:val="bottom"/>
            <w:gridSpan w:val="2"/>
          </w:tcPr>
          <w:p>
            <w:pPr>
              <w:ind w:left="20"/>
              <w:spacing w:after="0" w:line="185" w:lineRule="exact"/>
              <w:rPr>
                <w:sz w:val="20"/>
                <w:szCs w:val="20"/>
                <w:color w:val="auto"/>
              </w:rPr>
            </w:pPr>
            <w:r>
              <w:rPr>
                <w:rFonts w:ascii="Arial" w:cs="Arial" w:eastAsia="Arial" w:hAnsi="Arial"/>
                <w:sz w:val="11"/>
                <w:szCs w:val="11"/>
                <w:color w:val="auto"/>
                <w:shd w:val="clear" w:color="auto" w:fill="CCEEFF"/>
              </w:rPr>
              <w:t xml:space="preserve">​​​ </w:t>
            </w:r>
            <w:r>
              <w:rPr>
                <w:rFonts w:ascii="Arial" w:cs="Arial" w:eastAsia="Arial" w:hAnsi="Arial"/>
                <w:sz w:val="21"/>
                <w:szCs w:val="21"/>
                <w:color w:val="auto"/>
                <w:vertAlign w:val="superscript"/>
                <w:shd w:val="clear" w:color="auto" w:fill="CCEEFF"/>
              </w:rPr>
              <w:t>​</w:t>
            </w:r>
          </w:p>
        </w:tc>
        <w:tc>
          <w:tcPr>
            <w:tcW w:w="400" w:type="dxa"/>
            <w:vAlign w:val="bottom"/>
            <w:gridSpan w:val="3"/>
          </w:tcPr>
          <w:p>
            <w:pPr>
              <w:ind w:left="120"/>
              <w:spacing w:after="0" w:line="185" w:lineRule="exact"/>
              <w:rPr>
                <w:sz w:val="20"/>
                <w:szCs w:val="20"/>
                <w:color w:val="auto"/>
              </w:rPr>
            </w:pPr>
            <w:r>
              <w:rPr>
                <w:rFonts w:ascii="Arial" w:cs="Arial" w:eastAsia="Arial" w:hAnsi="Arial"/>
                <w:sz w:val="21"/>
                <w:szCs w:val="21"/>
                <w:color w:val="auto"/>
                <w:vertAlign w:val="superscript"/>
                <w:shd w:val="clear" w:color="auto" w:fill="CCEEFF"/>
              </w:rPr>
              <w:t>—</w:t>
            </w:r>
            <w:r>
              <w:rPr>
                <w:rFonts w:ascii="Arial" w:cs="Arial" w:eastAsia="Arial" w:hAnsi="Arial"/>
                <w:sz w:val="11"/>
                <w:szCs w:val="11"/>
                <w:color w:val="auto"/>
                <w:shd w:val="clear" w:color="auto" w:fill="CCEEFF"/>
              </w:rPr>
              <w:t>​​​​</w:t>
            </w:r>
          </w:p>
        </w:tc>
        <w:tc>
          <w:tcPr>
            <w:tcW w:w="580" w:type="dxa"/>
            <w:vAlign w:val="bottom"/>
            <w:gridSpan w:val="4"/>
          </w:tcPr>
          <w:p>
            <w:pPr>
              <w:spacing w:after="0" w:line="185" w:lineRule="exact"/>
              <w:rPr>
                <w:sz w:val="20"/>
                <w:szCs w:val="20"/>
                <w:color w:val="auto"/>
              </w:rPr>
            </w:pPr>
            <w:r>
              <w:rPr>
                <w:rFonts w:ascii="Arial" w:cs="Arial" w:eastAsia="Arial" w:hAnsi="Arial"/>
                <w:sz w:val="11"/>
                <w:szCs w:val="11"/>
                <w:color w:val="auto"/>
                <w:shd w:val="clear" w:color="auto" w:fill="CCEEFF"/>
              </w:rPr>
              <w:t>​21,093</w:t>
            </w:r>
            <w:r>
              <w:rPr>
                <w:rFonts w:ascii="Arial" w:cs="Arial" w:eastAsia="Arial" w:hAnsi="Arial"/>
                <w:sz w:val="21"/>
                <w:szCs w:val="21"/>
                <w:color w:val="auto"/>
                <w:vertAlign w:val="subscript"/>
                <w:shd w:val="clear" w:color="auto" w:fill="CCEEFF"/>
              </w:rPr>
              <w:t>​​​​</w:t>
            </w:r>
            <w:r>
              <w:rPr>
                <w:rFonts w:ascii="Arial" w:cs="Arial" w:eastAsia="Arial" w:hAnsi="Arial"/>
                <w:sz w:val="11"/>
                <w:szCs w:val="11"/>
                <w:color w:val="auto"/>
                <w:shd w:val="clear" w:color="auto" w:fill="CCEEFF"/>
              </w:rPr>
              <w:t xml:space="preserve"> ​</w:t>
            </w:r>
          </w:p>
        </w:tc>
        <w:tc>
          <w:tcPr>
            <w:tcW w:w="1180" w:type="dxa"/>
            <w:vAlign w:val="bottom"/>
            <w:gridSpan w:val="5"/>
          </w:tcPr>
          <w:p>
            <w:pPr>
              <w:ind w:left="200"/>
              <w:spacing w:after="0" w:line="185" w:lineRule="exact"/>
              <w:rPr>
                <w:sz w:val="20"/>
                <w:szCs w:val="20"/>
                <w:color w:val="auto"/>
              </w:rPr>
            </w:pPr>
            <w:r>
              <w:rPr>
                <w:rFonts w:ascii="Arial" w:cs="Arial" w:eastAsia="Arial" w:hAnsi="Arial"/>
                <w:sz w:val="11"/>
                <w:szCs w:val="11"/>
                <w:color w:val="auto"/>
                <w:shd w:val="clear" w:color="auto" w:fill="CCEEFF"/>
              </w:rPr>
              <w:t>—</w:t>
            </w:r>
            <w:r>
              <w:rPr>
                <w:rFonts w:ascii="Arial" w:cs="Arial" w:eastAsia="Arial" w:hAnsi="Arial"/>
                <w:sz w:val="21"/>
                <w:szCs w:val="21"/>
                <w:color w:val="auto"/>
                <w:vertAlign w:val="subscript"/>
                <w:shd w:val="clear" w:color="auto" w:fill="CCEEFF"/>
              </w:rPr>
              <w:t>​​​​</w:t>
            </w:r>
            <w:r>
              <w:rPr>
                <w:rFonts w:ascii="Arial" w:cs="Arial" w:eastAsia="Arial" w:hAnsi="Arial"/>
                <w:sz w:val="11"/>
                <w:szCs w:val="11"/>
                <w:color w:val="auto"/>
                <w:shd w:val="clear" w:color="auto" w:fill="CCEEFF"/>
              </w:rPr>
              <w:t xml:space="preserve"> ​21,093</w:t>
            </w:r>
            <w:r>
              <w:rPr>
                <w:rFonts w:ascii="Arial" w:cs="Arial" w:eastAsia="Arial" w:hAnsi="Arial"/>
                <w:sz w:val="21"/>
                <w:szCs w:val="21"/>
                <w:color w:val="auto"/>
                <w:vertAlign w:val="subscript"/>
                <w:shd w:val="clear" w:color="auto" w:fill="CCEEFF"/>
              </w:rPr>
              <w:t>​​​​</w:t>
            </w:r>
            <w:r>
              <w:rPr>
                <w:rFonts w:ascii="Arial" w:cs="Arial" w:eastAsia="Arial" w:hAnsi="Arial"/>
                <w:sz w:val="11"/>
                <w:szCs w:val="11"/>
                <w:color w:val="auto"/>
                <w:shd w:val="clear" w:color="auto" w:fill="CCEEFF"/>
              </w:rPr>
              <w:t xml:space="preserve"> ​</w:t>
            </w:r>
          </w:p>
        </w:tc>
        <w:tc>
          <w:tcPr>
            <w:tcW w:w="380" w:type="dxa"/>
            <w:vAlign w:val="bottom"/>
            <w:gridSpan w:val="2"/>
          </w:tcPr>
          <w:p>
            <w:pPr>
              <w:ind w:left="100"/>
              <w:spacing w:after="0" w:line="185" w:lineRule="exact"/>
              <w:rPr>
                <w:sz w:val="20"/>
                <w:szCs w:val="20"/>
                <w:color w:val="auto"/>
              </w:rPr>
            </w:pPr>
            <w:r>
              <w:rPr>
                <w:rFonts w:ascii="Arial" w:cs="Arial" w:eastAsia="Arial" w:hAnsi="Arial"/>
                <w:sz w:val="21"/>
                <w:szCs w:val="21"/>
                <w:color w:val="auto"/>
                <w:vertAlign w:val="superscript"/>
                <w:shd w:val="clear" w:color="auto" w:fill="CCEEFF"/>
              </w:rPr>
              <w:t>—</w:t>
            </w:r>
            <w:r>
              <w:rPr>
                <w:rFonts w:ascii="Arial" w:cs="Arial" w:eastAsia="Arial" w:hAnsi="Arial"/>
                <w:sz w:val="11"/>
                <w:szCs w:val="11"/>
                <w:color w:val="auto"/>
                <w:shd w:val="clear" w:color="auto" w:fill="CCEEFF"/>
              </w:rPr>
              <w:t>​​​​</w:t>
            </w:r>
          </w:p>
        </w:tc>
        <w:tc>
          <w:tcPr>
            <w:tcW w:w="60" w:type="dxa"/>
            <w:vAlign w:val="bottom"/>
          </w:tcPr>
          <w:p>
            <w:pPr>
              <w:ind w:left="20"/>
              <w:spacing w:after="0"/>
              <w:rPr>
                <w:sz w:val="20"/>
                <w:szCs w:val="20"/>
                <w:color w:val="auto"/>
              </w:rPr>
            </w:pPr>
            <w:r>
              <w:rPr>
                <w:rFonts w:ascii="Arial" w:cs="Arial" w:eastAsia="Arial" w:hAnsi="Arial"/>
                <w:sz w:val="12"/>
                <w:szCs w:val="12"/>
                <w:color w:val="auto"/>
                <w:shd w:val="clear" w:color="auto" w:fill="CCEEFF"/>
              </w:rPr>
              <w:t>​</w:t>
            </w:r>
          </w:p>
        </w:tc>
        <w:tc>
          <w:tcPr>
            <w:tcW w:w="520" w:type="dxa"/>
            <w:vAlign w:val="bottom"/>
            <w:gridSpan w:val="3"/>
          </w:tcPr>
          <w:p>
            <w:pPr>
              <w:jc w:val="right"/>
              <w:spacing w:after="0" w:line="185" w:lineRule="exact"/>
              <w:rPr>
                <w:sz w:val="20"/>
                <w:szCs w:val="20"/>
                <w:color w:val="auto"/>
              </w:rPr>
            </w:pPr>
            <w:r>
              <w:rPr>
                <w:rFonts w:ascii="Arial" w:cs="Arial" w:eastAsia="Arial" w:hAnsi="Arial"/>
                <w:sz w:val="11"/>
                <w:szCs w:val="11"/>
                <w:color w:val="auto"/>
                <w:shd w:val="clear" w:color="auto" w:fill="CCEEFF"/>
              </w:rPr>
              <w:t>2,002</w:t>
            </w:r>
            <w:r>
              <w:rPr>
                <w:rFonts w:ascii="Arial" w:cs="Arial" w:eastAsia="Arial" w:hAnsi="Arial"/>
                <w:sz w:val="21"/>
                <w:szCs w:val="21"/>
                <w:color w:val="auto"/>
                <w:vertAlign w:val="subscript"/>
                <w:shd w:val="clear" w:color="auto" w:fill="CCEEFF"/>
              </w:rPr>
              <w:t>​​​​</w:t>
            </w:r>
            <w:r>
              <w:rPr>
                <w:rFonts w:ascii="Arial" w:cs="Arial" w:eastAsia="Arial" w:hAnsi="Arial"/>
                <w:sz w:val="11"/>
                <w:szCs w:val="11"/>
                <w:color w:val="auto"/>
                <w:shd w:val="clear" w:color="auto" w:fill="CCEEFF"/>
              </w:rPr>
              <w:t xml:space="preserve"> ​</w:t>
            </w:r>
          </w:p>
        </w:tc>
        <w:tc>
          <w:tcPr>
            <w:tcW w:w="920" w:type="dxa"/>
            <w:vAlign w:val="bottom"/>
            <w:gridSpan w:val="5"/>
          </w:tcPr>
          <w:p>
            <w:pPr>
              <w:jc w:val="right"/>
              <w:spacing w:after="0" w:line="185" w:lineRule="exact"/>
              <w:rPr>
                <w:sz w:val="20"/>
                <w:szCs w:val="20"/>
                <w:color w:val="auto"/>
              </w:rPr>
            </w:pPr>
            <w:r>
              <w:rPr>
                <w:rFonts w:ascii="Arial" w:cs="Arial" w:eastAsia="Arial" w:hAnsi="Arial"/>
                <w:sz w:val="11"/>
                <w:szCs w:val="11"/>
                <w:color w:val="auto"/>
                <w:shd w:val="clear" w:color="auto" w:fill="CCEEFF"/>
              </w:rPr>
              <w:t>—</w:t>
            </w:r>
            <w:r>
              <w:rPr>
                <w:rFonts w:ascii="Arial" w:cs="Arial" w:eastAsia="Arial" w:hAnsi="Arial"/>
                <w:sz w:val="21"/>
                <w:szCs w:val="21"/>
                <w:color w:val="auto"/>
                <w:vertAlign w:val="subscript"/>
                <w:shd w:val="clear" w:color="auto" w:fill="CCEEFF"/>
              </w:rPr>
              <w:t>​​​​</w:t>
            </w:r>
            <w:r>
              <w:rPr>
                <w:rFonts w:ascii="Arial" w:cs="Arial" w:eastAsia="Arial" w:hAnsi="Arial"/>
                <w:sz w:val="11"/>
                <w:szCs w:val="11"/>
                <w:color w:val="auto"/>
                <w:shd w:val="clear" w:color="auto" w:fill="CCEEFF"/>
              </w:rPr>
              <w:t xml:space="preserve"> ​ 2,002</w:t>
            </w:r>
            <w:r>
              <w:rPr>
                <w:rFonts w:ascii="Arial" w:cs="Arial" w:eastAsia="Arial" w:hAnsi="Arial"/>
                <w:sz w:val="21"/>
                <w:szCs w:val="21"/>
                <w:color w:val="auto"/>
                <w:vertAlign w:val="subscript"/>
              </w:rPr>
              <w:t>​</w:t>
            </w:r>
          </w:p>
        </w:tc>
      </w:tr>
      <w:tr>
        <w:trPr>
          <w:trHeight w:val="20"/>
        </w:trPr>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300" w:type="dxa"/>
            <w:vAlign w:val="bottom"/>
            <w:gridSpan w:val="2"/>
          </w:tcPr>
          <w:p>
            <w:pPr>
              <w:ind w:left="20"/>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perscript"/>
              </w:rPr>
              <w:t>​</w:t>
            </w:r>
          </w:p>
        </w:tc>
        <w:tc>
          <w:tcPr>
            <w:tcW w:w="400" w:type="dxa"/>
            <w:vAlign w:val="bottom"/>
            <w:gridSpan w:val="3"/>
          </w:tcPr>
          <w:p>
            <w:pPr>
              <w:ind w:left="120"/>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580" w:type="dxa"/>
            <w:vAlign w:val="bottom"/>
            <w:gridSpan w:val="4"/>
          </w:tcPr>
          <w:p>
            <w:pPr>
              <w:spacing w:after="0" w:line="173" w:lineRule="exact"/>
              <w:rPr>
                <w:sz w:val="20"/>
                <w:szCs w:val="20"/>
                <w:color w:val="auto"/>
              </w:rPr>
            </w:pPr>
            <w:r>
              <w:rPr>
                <w:rFonts w:ascii="Arial" w:cs="Arial" w:eastAsia="Arial" w:hAnsi="Arial"/>
                <w:sz w:val="11"/>
                <w:szCs w:val="11"/>
                <w:color w:val="auto"/>
              </w:rPr>
              <w:t>​21,093</w:t>
            </w: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1180" w:type="dxa"/>
            <w:vAlign w:val="bottom"/>
            <w:gridSpan w:val="5"/>
          </w:tcPr>
          <w:p>
            <w:pPr>
              <w:ind w:left="20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r>
              <w:rPr>
                <w:rFonts w:ascii="Arial" w:cs="Arial" w:eastAsia="Arial" w:hAnsi="Arial"/>
                <w:sz w:val="11"/>
                <w:szCs w:val="11"/>
                <w:color w:val="auto"/>
              </w:rPr>
              <w:t xml:space="preserve"> ​21,093</w:t>
            </w: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380" w:type="dxa"/>
            <w:vAlign w:val="bottom"/>
            <w:gridSpan w:val="2"/>
          </w:tcPr>
          <w:p>
            <w:pPr>
              <w:ind w:left="100"/>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2,002</w:t>
            </w: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920" w:type="dxa"/>
            <w:vAlign w:val="bottom"/>
            <w:gridSpan w:val="5"/>
          </w:tcPr>
          <w:p>
            <w:pPr>
              <w:jc w:val="right"/>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r>
              <w:rPr>
                <w:rFonts w:ascii="Arial" w:cs="Arial" w:eastAsia="Arial" w:hAnsi="Arial"/>
                <w:sz w:val="11"/>
                <w:szCs w:val="11"/>
                <w:color w:val="auto"/>
              </w:rPr>
              <w:t xml:space="preserve"> ​ 2,002</w:t>
            </w:r>
            <w:r>
              <w:rPr>
                <w:rFonts w:ascii="Arial" w:cs="Arial" w:eastAsia="Arial" w:hAnsi="Arial"/>
                <w:sz w:val="20"/>
                <w:szCs w:val="20"/>
                <w:color w:val="auto"/>
                <w:vertAlign w:val="subscript"/>
              </w:rPr>
              <w:t>​</w:t>
            </w:r>
          </w:p>
        </w:tc>
      </w:tr>
      <w:tr>
        <w:trPr>
          <w:trHeight w:val="20"/>
        </w:trPr>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9"/>
        </w:trPr>
        <w:tc>
          <w:tcPr>
            <w:tcW w:w="700" w:type="dxa"/>
            <w:vAlign w:val="bottom"/>
            <w:gridSpan w:val="5"/>
          </w:tcPr>
          <w:p>
            <w:pPr>
              <w:ind w:left="20"/>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u w:val="single" w:color="auto"/>
                <w:color w:val="auto"/>
              </w:rPr>
              <w:t>$</w:t>
            </w:r>
            <w:r>
              <w:rPr>
                <w:rFonts w:ascii="Arial" w:cs="Arial" w:eastAsia="Arial" w:hAnsi="Arial"/>
                <w:sz w:val="12"/>
                <w:szCs w:val="12"/>
                <w:color w:val="auto"/>
              </w:rPr>
              <w:t>15,213</w:t>
            </w:r>
            <w:r>
              <w:rPr>
                <w:rFonts w:ascii="Arial" w:cs="Arial" w:eastAsia="Arial" w:hAnsi="Arial"/>
                <w:sz w:val="24"/>
                <w:szCs w:val="24"/>
                <w:color w:val="auto"/>
                <w:vertAlign w:val="subscript"/>
              </w:rPr>
              <w:t>​​​​</w:t>
            </w:r>
            <w:r>
              <w:rPr>
                <w:rFonts w:ascii="Arial" w:cs="Arial" w:eastAsia="Arial" w:hAnsi="Arial"/>
                <w:sz w:val="12"/>
                <w:szCs w:val="12"/>
                <w:u w:val="single" w:color="auto"/>
                <w:color w:val="auto"/>
              </w:rPr>
              <w:t>$</w:t>
            </w:r>
          </w:p>
        </w:tc>
        <w:tc>
          <w:tcPr>
            <w:tcW w:w="580" w:type="dxa"/>
            <w:vAlign w:val="bottom"/>
            <w:gridSpan w:val="4"/>
          </w:tcPr>
          <w:p>
            <w:pPr>
              <w:spacing w:after="0"/>
              <w:rPr>
                <w:sz w:val="20"/>
                <w:szCs w:val="20"/>
                <w:color w:val="auto"/>
              </w:rPr>
            </w:pPr>
            <w:r>
              <w:rPr>
                <w:rFonts w:ascii="Arial" w:cs="Arial" w:eastAsia="Arial" w:hAnsi="Arial"/>
                <w:sz w:val="12"/>
                <w:szCs w:val="12"/>
                <w:color w:val="auto"/>
              </w:rPr>
              <w:t>21,093</w:t>
            </w: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1620" w:type="dxa"/>
            <w:vAlign w:val="bottom"/>
            <w:gridSpan w:val="8"/>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r>
              <w:rPr>
                <w:rFonts w:ascii="Arial" w:cs="Arial" w:eastAsia="Arial" w:hAnsi="Arial"/>
                <w:sz w:val="12"/>
                <w:szCs w:val="12"/>
                <w:u w:val="single" w:color="auto"/>
                <w:color w:val="auto"/>
              </w:rPr>
              <w:t>$</w:t>
            </w:r>
            <w:r>
              <w:rPr>
                <w:rFonts w:ascii="Arial" w:cs="Arial" w:eastAsia="Arial" w:hAnsi="Arial"/>
                <w:sz w:val="12"/>
                <w:szCs w:val="12"/>
                <w:color w:val="auto"/>
              </w:rPr>
              <w:t>36,306</w:t>
            </w:r>
            <w:r>
              <w:rPr>
                <w:rFonts w:ascii="Arial" w:cs="Arial" w:eastAsia="Arial" w:hAnsi="Arial"/>
                <w:sz w:val="24"/>
                <w:szCs w:val="24"/>
                <w:color w:val="auto"/>
                <w:vertAlign w:val="subscript"/>
              </w:rPr>
              <w:t>​​​​</w:t>
            </w:r>
            <w:r>
              <w:rPr>
                <w:rFonts w:ascii="Arial" w:cs="Arial" w:eastAsia="Arial" w:hAnsi="Arial"/>
                <w:sz w:val="12"/>
                <w:szCs w:val="12"/>
                <w:u w:val="single" w:color="auto"/>
                <w:color w:val="auto"/>
              </w:rPr>
              <w:t>$</w:t>
            </w:r>
            <w:r>
              <w:rPr>
                <w:rFonts w:ascii="Arial" w:cs="Arial" w:eastAsia="Arial" w:hAnsi="Arial"/>
                <w:sz w:val="12"/>
                <w:szCs w:val="12"/>
                <w:color w:val="auto"/>
              </w:rPr>
              <w:t>89,795</w:t>
            </w: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2,002</w:t>
            </w: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920" w:type="dxa"/>
            <w:vAlign w:val="bottom"/>
            <w:gridSpan w:val="5"/>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r>
              <w:rPr>
                <w:rFonts w:ascii="Arial" w:cs="Arial" w:eastAsia="Arial" w:hAnsi="Arial"/>
                <w:sz w:val="12"/>
                <w:szCs w:val="12"/>
                <w:u w:val="single" w:color="auto"/>
                <w:color w:val="auto"/>
              </w:rPr>
              <w:t>$</w:t>
            </w:r>
            <w:r>
              <w:rPr>
                <w:rFonts w:ascii="Arial" w:cs="Arial" w:eastAsia="Arial" w:hAnsi="Arial"/>
                <w:sz w:val="12"/>
                <w:szCs w:val="12"/>
                <w:color w:val="auto"/>
              </w:rPr>
              <w:t>91,797</w:t>
            </w:r>
            <w:r>
              <w:rPr>
                <w:rFonts w:ascii="Arial" w:cs="Arial" w:eastAsia="Arial" w:hAnsi="Arial"/>
                <w:sz w:val="24"/>
                <w:szCs w:val="24"/>
                <w:color w:val="auto"/>
                <w:vertAlign w:val="subscript"/>
              </w:rPr>
              <w:t>​</w:t>
            </w: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3733165"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-232410</wp:posOffset>
            </wp:positionV>
            <wp:extent cx="3733165" cy="2209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733165" cy="22098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122555</wp:posOffset>
            </wp:positionV>
            <wp:extent cx="373316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160"/>
            <w:col w:w="5879"/>
          </w:cols>
          <w:pgMar w:left="1440" w:top="109" w:right="1440" w:bottom="1440" w:gutter="0" w:footer="0" w:header="0"/>
          <w:type w:val="continuous"/>
        </w:sectPr>
      </w:pPr>
    </w:p>
    <w:p>
      <w:pPr>
        <w:spacing w:after="0" w:line="132"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1440" w:type="dxa"/>
            <w:vAlign w:val="bottom"/>
          </w:tcPr>
          <w:p>
            <w:pPr>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1440" w:type="dxa"/>
            <w:vAlign w:val="bottom"/>
          </w:tcPr>
          <w:p>
            <w:pPr>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ind w:right="111"/>
              <w:spacing w:after="0"/>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20" w:type="dxa"/>
            <w:vAlign w:val="bottom"/>
            <w:gridSpan w:val="8"/>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20" w:type="dxa"/>
            <w:vAlign w:val="bottom"/>
            <w:gridSpan w:val="8"/>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44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0" w:type="dxa"/>
            <w:vAlign w:val="bottom"/>
            <w:gridSpan w:val="9"/>
          </w:tcPr>
          <w:p>
            <w:pPr>
              <w:ind w:left="20"/>
              <w:spacing w:after="0" w:line="154" w:lineRule="exact"/>
              <w:rPr>
                <w:sz w:val="20"/>
                <w:szCs w:val="20"/>
                <w:color w:val="auto"/>
              </w:rPr>
            </w:pPr>
            <w:r>
              <w:rPr>
                <w:rFonts w:ascii="Arial" w:cs="Arial" w:eastAsia="Arial" w:hAnsi="Arial"/>
                <w:sz w:val="9"/>
                <w:szCs w:val="9"/>
                <w:b w:val="1"/>
                <w:bCs w:val="1"/>
                <w:color w:val="auto"/>
              </w:rPr>
              <w:t xml:space="preserve">​AMORTIZED ​  </w:t>
            </w:r>
            <w:r>
              <w:rPr>
                <w:rFonts w:ascii="Arial" w:cs="Arial" w:eastAsia="Arial" w:hAnsi="Arial"/>
                <w:sz w:val="17"/>
                <w:szCs w:val="17"/>
                <w:b w:val="1"/>
                <w:bCs w:val="1"/>
                <w:color w:val="auto"/>
                <w:vertAlign w:val="superscript"/>
              </w:rPr>
              <w:t>UNREALIZED</w:t>
            </w:r>
          </w:p>
        </w:tc>
        <w:tc>
          <w:tcPr>
            <w:tcW w:w="1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2000" w:type="dxa"/>
            <w:vAlign w:val="bottom"/>
            <w:gridSpan w:val="10"/>
          </w:tcPr>
          <w:p>
            <w:pPr>
              <w:ind w:left="20"/>
              <w:spacing w:after="0" w:line="154" w:lineRule="exact"/>
              <w:rPr>
                <w:sz w:val="20"/>
                <w:szCs w:val="20"/>
                <w:color w:val="auto"/>
              </w:rPr>
            </w:pPr>
            <w:r>
              <w:rPr>
                <w:rFonts w:ascii="Arial" w:cs="Arial" w:eastAsia="Arial" w:hAnsi="Arial"/>
                <w:sz w:val="9"/>
                <w:szCs w:val="9"/>
                <w:b w:val="1"/>
                <w:bCs w:val="1"/>
                <w:color w:val="auto"/>
              </w:rPr>
              <w:t xml:space="preserve">FAIR   AMORTIZED ​  </w:t>
            </w:r>
            <w:r>
              <w:rPr>
                <w:rFonts w:ascii="Arial" w:cs="Arial" w:eastAsia="Arial" w:hAnsi="Arial"/>
                <w:sz w:val="17"/>
                <w:szCs w:val="17"/>
                <w:b w:val="1"/>
                <w:bCs w:val="1"/>
                <w:color w:val="auto"/>
                <w:vertAlign w:val="superscript"/>
              </w:rPr>
              <w:t>UNREALIZED</w:t>
            </w:r>
          </w:p>
        </w:tc>
        <w:tc>
          <w:tcPr>
            <w:tcW w:w="1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ind w:right="62"/>
              <w:spacing w:after="0"/>
              <w:rPr>
                <w:sz w:val="20"/>
                <w:szCs w:val="20"/>
                <w:color w:val="auto"/>
              </w:rPr>
            </w:pPr>
            <w:r>
              <w:rPr>
                <w:rFonts w:ascii="Arial" w:cs="Arial" w:eastAsia="Arial" w:hAnsi="Arial"/>
                <w:sz w:val="10"/>
                <w:szCs w:val="10"/>
                <w:b w:val="1"/>
                <w:bCs w:val="1"/>
                <w:color w:val="auto"/>
              </w:rPr>
              <w:t>FAIR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left w:val="single" w:sz="8" w:color="auto"/>
            </w:tcBorders>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left w:val="single" w:sz="8" w:color="auto"/>
            </w:tcBorders>
            <w:gridSpan w:val="7"/>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440" w:type="dxa"/>
            <w:vAlign w:val="bottom"/>
          </w:tcPr>
          <w:p>
            <w:pPr>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Arial" w:cs="Arial" w:eastAsia="Arial" w:hAnsi="Arial"/>
                <w:sz w:val="10"/>
                <w:szCs w:val="10"/>
                <w:b w:val="1"/>
                <w:bCs w:val="1"/>
                <w:color w:val="auto"/>
              </w:rPr>
              <w:t>COST</w:t>
            </w:r>
          </w:p>
        </w:tc>
        <w:tc>
          <w:tcPr>
            <w:tcW w:w="1540" w:type="dxa"/>
            <w:vAlign w:val="bottom"/>
            <w:gridSpan w:val="9"/>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LOSSES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GAINS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VALUE </w:t>
            </w:r>
            <w:r>
              <w:rPr>
                <w:rFonts w:ascii="Arial" w:cs="Arial" w:eastAsia="Arial" w:hAnsi="Arial"/>
                <w:sz w:val="17"/>
                <w:szCs w:val="17"/>
                <w:b w:val="1"/>
                <w:bCs w:val="1"/>
                <w:color w:val="auto"/>
                <w:vertAlign w:val="subscript"/>
              </w:rPr>
              <w:t>​​</w:t>
            </w:r>
          </w:p>
        </w:tc>
        <w:tc>
          <w:tcPr>
            <w:tcW w:w="140" w:type="dxa"/>
            <w:vAlign w:val="bottom"/>
          </w:tcPr>
          <w:p>
            <w:pPr>
              <w:spacing w:after="0"/>
              <w:rPr>
                <w:sz w:val="13"/>
                <w:szCs w:val="13"/>
                <w:color w:val="auto"/>
              </w:rPr>
            </w:pPr>
          </w:p>
        </w:tc>
        <w:tc>
          <w:tcPr>
            <w:tcW w:w="540" w:type="dxa"/>
            <w:vAlign w:val="bottom"/>
          </w:tcPr>
          <w:p>
            <w:pPr>
              <w:jc w:val="right"/>
              <w:ind w:right="160"/>
              <w:spacing w:after="0"/>
              <w:rPr>
                <w:sz w:val="20"/>
                <w:szCs w:val="20"/>
                <w:color w:val="auto"/>
              </w:rPr>
            </w:pPr>
            <w:r>
              <w:rPr>
                <w:rFonts w:ascii="Arial" w:cs="Arial" w:eastAsia="Arial" w:hAnsi="Arial"/>
                <w:sz w:val="10"/>
                <w:szCs w:val="10"/>
                <w:b w:val="1"/>
                <w:bCs w:val="1"/>
                <w:color w:val="auto"/>
              </w:rPr>
              <w:t>COST</w:t>
            </w:r>
          </w:p>
        </w:tc>
        <w:tc>
          <w:tcPr>
            <w:tcW w:w="1500" w:type="dxa"/>
            <w:vAlign w:val="bottom"/>
            <w:gridSpan w:val="10"/>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LOSSES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GAINS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VALUE </w:t>
            </w:r>
            <w:r>
              <w:rPr>
                <w:rFonts w:ascii="Arial" w:cs="Arial" w:eastAsia="Arial" w:hAnsi="Arial"/>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440" w:type="dxa"/>
            <w:vAlign w:val="bottom"/>
            <w:shd w:val="clear" w:color="auto" w:fill="CCEEFF"/>
          </w:tcPr>
          <w:p>
            <w:pPr>
              <w:spacing w:after="0"/>
              <w:rPr>
                <w:sz w:val="20"/>
                <w:szCs w:val="20"/>
                <w:color w:val="auto"/>
              </w:rPr>
            </w:pPr>
            <w:r>
              <w:rPr>
                <w:rFonts w:ascii="Arial" w:cs="Arial" w:eastAsia="Arial" w:hAnsi="Arial"/>
                <w:sz w:val="12"/>
                <w:szCs w:val="12"/>
                <w:color w:val="auto"/>
              </w:rPr>
              <w:t>Money market funds</w:t>
            </w:r>
          </w:p>
        </w:tc>
        <w:tc>
          <w:tcPr>
            <w:tcW w:w="16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4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15,213</w:t>
            </w:r>
          </w:p>
        </w:tc>
        <w:tc>
          <w:tcPr>
            <w:tcW w:w="100" w:type="dxa"/>
            <w:vAlign w:val="bottom"/>
            <w:tcBorders>
              <w:left w:val="single" w:sz="8" w:color="CCEEFF"/>
            </w:tcBorders>
            <w:shd w:val="clear" w:color="auto" w:fill="CCEEFF"/>
          </w:tcPr>
          <w:p>
            <w:pPr>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40" w:type="dxa"/>
            <w:vAlign w:val="bottom"/>
            <w:shd w:val="clear" w:color="auto" w:fill="CCEEFF"/>
          </w:tcPr>
          <w:p>
            <w:pPr>
              <w:spacing w:after="0"/>
              <w:rPr>
                <w:sz w:val="15"/>
                <w:szCs w:val="15"/>
                <w:color w:val="auto"/>
              </w:rPr>
            </w:pPr>
          </w:p>
        </w:tc>
        <w:tc>
          <w:tcPr>
            <w:tcW w:w="1540" w:type="dxa"/>
            <w:vAlign w:val="bottom"/>
            <w:gridSpan w:val="8"/>
            <w:shd w:val="clear" w:color="auto" w:fill="CCEEFF"/>
          </w:tcPr>
          <w:p>
            <w:pPr>
              <w:jc w:val="right"/>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bscript"/>
              </w:rPr>
              <w:t>​​​​</w:t>
            </w:r>
            <w:r>
              <w:rPr>
                <w:rFonts w:ascii="Arial" w:cs="Arial" w:eastAsia="Arial" w:hAnsi="Arial"/>
                <w:sz w:val="11"/>
                <w:szCs w:val="11"/>
                <w:color w:val="auto"/>
              </w:rPr>
              <w:t>$      —</w:t>
            </w:r>
            <w:r>
              <w:rPr>
                <w:rFonts w:ascii="Arial" w:cs="Arial" w:eastAsia="Arial" w:hAnsi="Arial"/>
                <w:sz w:val="20"/>
                <w:szCs w:val="20"/>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15,213</w:t>
            </w:r>
            <w:r>
              <w:rPr>
                <w:rFonts w:ascii="Arial" w:cs="Arial" w:eastAsia="Arial" w:hAnsi="Arial"/>
                <w:sz w:val="20"/>
                <w:szCs w:val="20"/>
                <w:color w:val="auto"/>
                <w:vertAlign w:val="subscript"/>
              </w:rPr>
              <w:t>​​​</w:t>
            </w:r>
            <w:r>
              <w:rPr>
                <w:rFonts w:ascii="Arial" w:cs="Arial" w:eastAsia="Arial" w:hAnsi="Arial"/>
                <w:sz w:val="11"/>
                <w:szCs w:val="1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89,795</w:t>
            </w:r>
          </w:p>
        </w:tc>
        <w:tc>
          <w:tcPr>
            <w:tcW w:w="100" w:type="dxa"/>
            <w:vAlign w:val="bottom"/>
            <w:tcBorders>
              <w:left w:val="single" w:sz="8" w:color="CCEEFF"/>
            </w:tcBorders>
            <w:shd w:val="clear" w:color="auto" w:fill="CCEEFF"/>
          </w:tcPr>
          <w:p>
            <w:pPr>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40" w:type="dxa"/>
            <w:vAlign w:val="bottom"/>
            <w:shd w:val="clear" w:color="auto" w:fill="CCEEFF"/>
          </w:tcPr>
          <w:p>
            <w:pPr>
              <w:spacing w:after="0"/>
              <w:rPr>
                <w:sz w:val="15"/>
                <w:szCs w:val="15"/>
                <w:color w:val="auto"/>
              </w:rPr>
            </w:pPr>
          </w:p>
        </w:tc>
        <w:tc>
          <w:tcPr>
            <w:tcW w:w="1320" w:type="dxa"/>
            <w:vAlign w:val="bottom"/>
            <w:gridSpan w:val="7"/>
            <w:shd w:val="clear" w:color="auto" w:fill="CCEEFF"/>
          </w:tcPr>
          <w:p>
            <w:pPr>
              <w:jc w:val="right"/>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bscript"/>
              </w:rPr>
              <w:t>​​​​</w:t>
            </w:r>
            <w:r>
              <w:rPr>
                <w:rFonts w:ascii="Arial" w:cs="Arial" w:eastAsia="Arial" w:hAnsi="Arial"/>
                <w:sz w:val="11"/>
                <w:szCs w:val="11"/>
                <w:color w:val="auto"/>
              </w:rPr>
              <w:t>$      —</w:t>
            </w:r>
            <w:r>
              <w:rPr>
                <w:rFonts w:ascii="Arial" w:cs="Arial" w:eastAsia="Arial" w:hAnsi="Arial"/>
                <w:sz w:val="20"/>
                <w:szCs w:val="20"/>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89,795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440" w:type="dxa"/>
            <w:vAlign w:val="bottom"/>
          </w:tcPr>
          <w:p>
            <w:pPr>
              <w:ind w:left="120"/>
              <w:spacing w:after="0"/>
              <w:rPr>
                <w:sz w:val="20"/>
                <w:szCs w:val="20"/>
                <w:color w:val="auto"/>
              </w:rPr>
            </w:pPr>
            <w:r>
              <w:rPr>
                <w:rFonts w:ascii="Arial" w:cs="Arial" w:eastAsia="Arial" w:hAnsi="Arial"/>
                <w:sz w:val="12"/>
                <w:szCs w:val="12"/>
                <w:color w:val="auto"/>
              </w:rPr>
              <w:t>Cash equivalents</w:t>
            </w:r>
          </w:p>
        </w:tc>
        <w:tc>
          <w:tcPr>
            <w:tcW w:w="200" w:type="dxa"/>
            <w:vAlign w:val="bottom"/>
            <w:gridSpan w:val="3"/>
          </w:tcPr>
          <w:p>
            <w:pPr>
              <w:ind w:left="20"/>
              <w:spacing w:after="0"/>
              <w:rPr>
                <w:sz w:val="20"/>
                <w:szCs w:val="20"/>
                <w:color w:val="auto"/>
              </w:rPr>
            </w:pPr>
            <w:r>
              <w:rPr>
                <w:rFonts w:ascii="Arial" w:cs="Arial" w:eastAsia="Arial" w:hAnsi="Arial"/>
                <w:sz w:val="12"/>
                <w:szCs w:val="12"/>
                <w:color w:val="auto"/>
              </w:rPr>
              <w:t>​​​ ​</w:t>
            </w:r>
          </w:p>
        </w:tc>
        <w:tc>
          <w:tcPr>
            <w:tcW w:w="560" w:type="dxa"/>
            <w:vAlign w:val="bottom"/>
          </w:tcPr>
          <w:p>
            <w:pPr>
              <w:jc w:val="right"/>
              <w:spacing w:after="0"/>
              <w:rPr>
                <w:sz w:val="20"/>
                <w:szCs w:val="20"/>
                <w:color w:val="auto"/>
              </w:rPr>
            </w:pPr>
            <w:r>
              <w:rPr>
                <w:rFonts w:ascii="Arial" w:cs="Arial" w:eastAsia="Arial" w:hAnsi="Arial"/>
                <w:sz w:val="12"/>
                <w:szCs w:val="12"/>
                <w:color w:val="auto"/>
              </w:rPr>
              <w:t>15,213</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480" w:type="dxa"/>
            <w:vAlign w:val="bottom"/>
            <w:gridSpan w:val="2"/>
          </w:tcPr>
          <w:p>
            <w:pPr>
              <w:jc w:val="right"/>
              <w:ind w:right="11"/>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​15,213​​​</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89,795</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700" w:type="dxa"/>
            <w:vAlign w:val="bottom"/>
            <w:gridSpan w:val="4"/>
          </w:tcPr>
          <w:p>
            <w:pPr>
              <w:ind w:left="200"/>
              <w:spacing w:after="0"/>
              <w:rPr>
                <w:sz w:val="20"/>
                <w:szCs w:val="20"/>
                <w:color w:val="auto"/>
              </w:rPr>
            </w:pPr>
            <w:r>
              <w:rPr>
                <w:rFonts w:ascii="Arial" w:cs="Arial" w:eastAsia="Arial" w:hAnsi="Arial"/>
                <w:sz w:val="12"/>
                <w:szCs w:val="12"/>
                <w:color w:val="auto"/>
              </w:rPr>
              <w:t>—​​​​ ​</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 ​89,795​</w:t>
            </w: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Corporate debt securities</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w:t>
            </w:r>
          </w:p>
        </w:tc>
        <w:tc>
          <w:tcPr>
            <w:tcW w:w="5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shd w:val="clear" w:color="auto" w:fill="CCEEFF"/>
              </w:rPr>
              <w:t>21,094</w:t>
            </w:r>
          </w:p>
        </w:tc>
        <w:tc>
          <w:tcPr>
            <w:tcW w:w="10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w:t>
            </w:r>
          </w:p>
        </w:tc>
        <w:tc>
          <w:tcPr>
            <w:tcW w:w="480" w:type="dxa"/>
            <w:vAlign w:val="bottom"/>
            <w:tcBorders>
              <w:right w:val="single" w:sz="8" w:color="CCEEFF"/>
            </w:tcBorders>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shd w:val="clear" w:color="auto" w:fill="CCEEFF"/>
              </w:rPr>
              <w:t>(1)</w:t>
            </w:r>
          </w:p>
        </w:tc>
        <w:tc>
          <w:tcPr>
            <w:tcW w:w="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w:t>
            </w:r>
          </w:p>
        </w:tc>
        <w:tc>
          <w:tcPr>
            <w:tcW w:w="220" w:type="dxa"/>
            <w:vAlign w:val="bottom"/>
            <w:tcBorders>
              <w:right w:val="single" w:sz="8" w:color="CCEEFF"/>
            </w:tcBorders>
            <w:gridSpan w:val="2"/>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w:t>
            </w:r>
          </w:p>
        </w:tc>
        <w:tc>
          <w:tcPr>
            <w:tcW w:w="480" w:type="dxa"/>
            <w:vAlign w:val="bottom"/>
            <w:tcBorders>
              <w:right w:val="single" w:sz="8" w:color="CCEEFF"/>
            </w:tcBorders>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shd w:val="clear" w:color="auto" w:fill="CCEEFF"/>
              </w:rPr>
              <w:t>​21,093</w:t>
            </w:r>
          </w:p>
        </w:tc>
        <w:tc>
          <w:tcPr>
            <w:tcW w:w="1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shd w:val="clear" w:color="auto" w:fill="CCEEFF"/>
              </w:rPr>
              <w:t>​</w:t>
            </w:r>
          </w:p>
        </w:tc>
        <w:tc>
          <w:tcPr>
            <w:tcW w:w="5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shd w:val="clear" w:color="auto" w:fill="CCEEFF"/>
              </w:rPr>
              <w:t>2,002</w:t>
            </w:r>
          </w:p>
        </w:tc>
        <w:tc>
          <w:tcPr>
            <w:tcW w:w="10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w:t>
            </w:r>
          </w:p>
        </w:tc>
        <w:tc>
          <w:tcPr>
            <w:tcW w:w="320" w:type="dxa"/>
            <w:vAlign w:val="bottom"/>
            <w:shd w:val="clear" w:color="auto" w:fill="CCEEFF"/>
          </w:tcPr>
          <w:p>
            <w:pPr>
              <w:ind w:left="200"/>
              <w:spacing w:after="0" w:line="136" w:lineRule="exact"/>
              <w:rPr>
                <w:sz w:val="20"/>
                <w:szCs w:val="20"/>
                <w:color w:val="auto"/>
              </w:rPr>
            </w:pPr>
            <w:r>
              <w:rPr>
                <w:rFonts w:ascii="Arial" w:cs="Arial" w:eastAsia="Arial" w:hAnsi="Arial"/>
                <w:sz w:val="12"/>
                <w:szCs w:val="12"/>
                <w:color w:val="auto"/>
                <w:w w:val="82"/>
                <w:shd w:val="clear" w:color="auto" w:fill="CCEEFF"/>
              </w:rPr>
              <w:t>—</w:t>
            </w:r>
          </w:p>
        </w:tc>
        <w:tc>
          <w:tcPr>
            <w:tcW w:w="1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shd w:val="clear" w:color="auto" w:fill="CCEEFF"/>
              </w:rPr>
              <w:t>​</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2"/>
                <w:shd w:val="clear" w:color="auto" w:fill="CCEEFF"/>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shd w:val="clear" w:color="auto" w:fill="CCEEFF"/>
              </w:rPr>
              <w:t>​ 2,002</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1440" w:type="dxa"/>
            <w:vAlign w:val="bottom"/>
            <w:shd w:val="clear" w:color="auto" w:fill="CCEEFF"/>
          </w:tcPr>
          <w:p>
            <w:pPr>
              <w:spacing w:after="0"/>
              <w:rPr>
                <w:sz w:val="5"/>
                <w:szCs w:val="5"/>
                <w:color w:val="auto"/>
              </w:rPr>
            </w:pPr>
          </w:p>
        </w:tc>
        <w:tc>
          <w:tcPr>
            <w:tcW w:w="8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ind w:right="11"/>
              <w:spacing w:after="0" w:line="58" w:lineRule="exact"/>
              <w:rPr>
                <w:sz w:val="20"/>
                <w:szCs w:val="20"/>
                <w:color w:val="auto"/>
              </w:rPr>
            </w:pPr>
            <w:r>
              <w:rPr>
                <w:rFonts w:ascii="Arial" w:cs="Arial" w:eastAsia="Arial" w:hAnsi="Arial"/>
                <w:sz w:val="6"/>
                <w:szCs w:val="6"/>
                <w:color w:val="auto"/>
              </w:rPr>
              <w:t>​​​​</w:t>
            </w: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line="58" w:lineRule="exact"/>
              <w:rPr>
                <w:sz w:val="20"/>
                <w:szCs w:val="20"/>
                <w:color w:val="auto"/>
              </w:rPr>
            </w:pPr>
            <w:r>
              <w:rPr>
                <w:rFonts w:ascii="Arial" w:cs="Arial" w:eastAsia="Arial" w:hAnsi="Arial"/>
                <w:sz w:val="6"/>
                <w:szCs w:val="6"/>
                <w:color w:val="auto"/>
              </w:rPr>
              <w:t>​​​</w:t>
            </w:r>
          </w:p>
        </w:tc>
        <w:tc>
          <w:tcPr>
            <w:tcW w:w="40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40" w:type="dxa"/>
            <w:vAlign w:val="bottom"/>
          </w:tcPr>
          <w:p>
            <w:pPr>
              <w:ind w:left="120"/>
              <w:spacing w:after="0" w:line="115" w:lineRule="exact"/>
              <w:rPr>
                <w:sz w:val="20"/>
                <w:szCs w:val="20"/>
                <w:color w:val="auto"/>
              </w:rPr>
            </w:pPr>
            <w:r>
              <w:rPr>
                <w:rFonts w:ascii="Arial" w:cs="Arial" w:eastAsia="Arial" w:hAnsi="Arial"/>
                <w:sz w:val="12"/>
                <w:szCs w:val="12"/>
                <w:color w:val="auto"/>
              </w:rPr>
              <w:t>Short-term investments</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15" w:lineRule="exact"/>
              <w:rPr>
                <w:sz w:val="20"/>
                <w:szCs w:val="20"/>
                <w:color w:val="auto"/>
              </w:rPr>
            </w:pPr>
            <w:r>
              <w:rPr>
                <w:rFonts w:ascii="Arial" w:cs="Arial" w:eastAsia="Arial" w:hAnsi="Arial"/>
                <w:sz w:val="12"/>
                <w:szCs w:val="12"/>
                <w:color w:val="auto"/>
              </w:rPr>
              <w:t>21,094</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220"/>
              <w:spacing w:after="0" w:line="115" w:lineRule="exact"/>
              <w:rPr>
                <w:sz w:val="20"/>
                <w:szCs w:val="20"/>
                <w:color w:val="auto"/>
              </w:rPr>
            </w:pPr>
            <w:r>
              <w:rPr>
                <w:rFonts w:ascii="Arial" w:cs="Arial" w:eastAsia="Arial" w:hAnsi="Arial"/>
                <w:sz w:val="12"/>
                <w:szCs w:val="12"/>
                <w:color w:val="auto"/>
              </w:rPr>
              <w:t>(1)</w:t>
            </w:r>
          </w:p>
        </w:tc>
        <w:tc>
          <w:tcPr>
            <w:tcW w:w="22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220" w:type="dxa"/>
            <w:vAlign w:val="bottom"/>
            <w:gridSpan w:val="2"/>
          </w:tcPr>
          <w:p>
            <w:pPr>
              <w:spacing w:after="0" w:line="115" w:lineRule="exact"/>
              <w:rPr>
                <w:sz w:val="20"/>
                <w:szCs w:val="20"/>
                <w:color w:val="auto"/>
              </w:rPr>
            </w:pPr>
            <w:r>
              <w:rPr>
                <w:rFonts w:ascii="Arial" w:cs="Arial" w:eastAsia="Arial" w:hAnsi="Arial"/>
                <w:sz w:val="12"/>
                <w:szCs w:val="12"/>
                <w:color w:val="auto"/>
              </w:rPr>
              <w:t>—</w:t>
            </w:r>
          </w:p>
        </w:tc>
        <w:tc>
          <w:tcPr>
            <w:tcW w:w="48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​21,093</w:t>
            </w:r>
          </w:p>
        </w:tc>
        <w:tc>
          <w:tcPr>
            <w:tcW w:w="14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2"/>
                <w:szCs w:val="12"/>
                <w:color w:val="auto"/>
              </w:rPr>
              <w:t>2,002</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320" w:type="dxa"/>
            <w:vAlign w:val="bottom"/>
          </w:tcPr>
          <w:p>
            <w:pPr>
              <w:ind w:left="200"/>
              <w:spacing w:after="0" w:line="115" w:lineRule="exact"/>
              <w:rPr>
                <w:sz w:val="20"/>
                <w:szCs w:val="20"/>
                <w:color w:val="auto"/>
              </w:rPr>
            </w:pPr>
            <w:r>
              <w:rPr>
                <w:rFonts w:ascii="Arial" w:cs="Arial" w:eastAsia="Arial" w:hAnsi="Arial"/>
                <w:sz w:val="12"/>
                <w:szCs w:val="12"/>
                <w:color w:val="auto"/>
                <w:w w:val="82"/>
              </w:rPr>
              <w:t>—</w:t>
            </w:r>
          </w:p>
        </w:tc>
        <w:tc>
          <w:tcPr>
            <w:tcW w:w="18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20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120" w:type="dxa"/>
            <w:vAlign w:val="bottom"/>
          </w:tcPr>
          <w:p>
            <w:pPr>
              <w:spacing w:after="0" w:line="115" w:lineRule="exact"/>
              <w:rPr>
                <w:sz w:val="20"/>
                <w:szCs w:val="20"/>
                <w:color w:val="auto"/>
              </w:rPr>
            </w:pPr>
            <w:r>
              <w:rPr>
                <w:rFonts w:ascii="Arial" w:cs="Arial" w:eastAsia="Arial" w:hAnsi="Arial"/>
                <w:sz w:val="12"/>
                <w:szCs w:val="12"/>
                <w:color w:val="auto"/>
                <w:w w:val="82"/>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15" w:lineRule="exact"/>
              <w:rPr>
                <w:sz w:val="20"/>
                <w:szCs w:val="20"/>
                <w:color w:val="auto"/>
              </w:rPr>
            </w:pPr>
            <w:r>
              <w:rPr>
                <w:rFonts w:ascii="Arial" w:cs="Arial" w:eastAsia="Arial" w:hAnsi="Arial"/>
                <w:sz w:val="12"/>
                <w:szCs w:val="12"/>
                <w:color w:val="auto"/>
              </w:rPr>
              <w:t>​ 2,002</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14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jc w:val="right"/>
              <w:ind w:right="11"/>
              <w:spacing w:after="0" w:line="58"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line="58" w:lineRule="exact"/>
              <w:rPr>
                <w:sz w:val="20"/>
                <w:szCs w:val="20"/>
                <w:color w:val="auto"/>
              </w:rPr>
            </w:pPr>
            <w:r>
              <w:rPr>
                <w:rFonts w:ascii="Arial" w:cs="Arial" w:eastAsia="Arial" w:hAnsi="Arial"/>
                <w:sz w:val="6"/>
                <w:szCs w:val="6"/>
                <w:color w:val="auto"/>
              </w:rPr>
              <w:t>​​​</w:t>
            </w:r>
          </w:p>
        </w:tc>
        <w:tc>
          <w:tcPr>
            <w:tcW w:w="400" w:type="dxa"/>
            <w:vAlign w:val="bottom"/>
          </w:tcPr>
          <w:p>
            <w:pPr>
              <w:spacing w:after="0"/>
              <w:rPr>
                <w:sz w:val="5"/>
                <w:szCs w:val="5"/>
                <w:color w:val="auto"/>
              </w:rPr>
            </w:pPr>
          </w:p>
        </w:tc>
        <w:tc>
          <w:tcPr>
            <w:tcW w:w="8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Total fair value of financial</w:t>
            </w: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440" w:type="dxa"/>
            <w:vAlign w:val="bottom"/>
            <w:vMerge w:val="continue"/>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CEEFF"/>
          </w:tcPr>
          <w:p>
            <w:pPr>
              <w:spacing w:after="0"/>
              <w:rPr>
                <w:sz w:val="12"/>
                <w:szCs w:val="12"/>
                <w:color w:val="auto"/>
              </w:rPr>
            </w:pP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36,307</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w w:val="88"/>
              </w:rPr>
              <w:t>(1) $</w:t>
            </w:r>
          </w:p>
        </w:tc>
        <w:tc>
          <w:tcPr>
            <w:tcW w:w="2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4"/>
            <w:vMerge w:val="restart"/>
            <w:shd w:val="clear" w:color="auto" w:fill="CCEEFF"/>
          </w:tcPr>
          <w:p>
            <w:pPr>
              <w:spacing w:after="0"/>
              <w:rPr>
                <w:sz w:val="20"/>
                <w:szCs w:val="20"/>
                <w:color w:val="auto"/>
              </w:rPr>
            </w:pPr>
            <w:r>
              <w:rPr>
                <w:rFonts w:ascii="Arial" w:cs="Arial" w:eastAsia="Arial" w:hAnsi="Arial"/>
                <w:sz w:val="12"/>
                <w:szCs w:val="12"/>
                <w:color w:val="auto"/>
              </w:rPr>
              <w:t>— $36,306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91,797</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w w:val="82"/>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 $91,797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4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assets</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tcBorders>
              <w:left w:val="single" w:sz="8" w:color="CCEEFF"/>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right w:val="single" w:sz="8" w:color="CCEEFF"/>
            </w:tcBorders>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CCEEFF"/>
            </w:tcBorders>
            <w:gridSpan w:val="4"/>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4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tcBorders>
              <w:left w:val="single" w:sz="8" w:color="CCEEFF"/>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gridSpan w:val="3"/>
            <w:vMerge w:val="continue"/>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1440" w:type="dxa"/>
            <w:vAlign w:val="bottom"/>
            <w:vMerge w:val="continue"/>
            <w:shd w:val="clear" w:color="auto" w:fill="CCEEFF"/>
          </w:tcPr>
          <w:p>
            <w:pPr>
              <w:spacing w:after="0"/>
              <w:rPr>
                <w:sz w:val="5"/>
                <w:szCs w:val="5"/>
                <w:color w:val="auto"/>
              </w:rPr>
            </w:pPr>
          </w:p>
        </w:tc>
        <w:tc>
          <w:tcPr>
            <w:tcW w:w="8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ind w:right="11"/>
              <w:spacing w:after="0" w:line="49" w:lineRule="exact"/>
              <w:rPr>
                <w:sz w:val="20"/>
                <w:szCs w:val="20"/>
                <w:color w:val="auto"/>
              </w:rPr>
            </w:pPr>
            <w:r>
              <w:rPr>
                <w:rFonts w:ascii="Arial" w:cs="Arial" w:eastAsia="Arial" w:hAnsi="Arial"/>
                <w:sz w:val="5"/>
                <w:szCs w:val="5"/>
                <w:color w:val="auto"/>
              </w:rPr>
              <w:t>​​​​</w:t>
            </w: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80" w:type="dxa"/>
            <w:vAlign w:val="bottom"/>
            <w:gridSpan w:val="2"/>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4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-287655</wp:posOffset>
            </wp:positionV>
            <wp:extent cx="3048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-287655</wp:posOffset>
            </wp:positionV>
            <wp:extent cx="5524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245" cy="635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-287655</wp:posOffset>
            </wp:positionV>
            <wp:extent cx="43180"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3180"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-287655</wp:posOffset>
            </wp:positionV>
            <wp:extent cx="3048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-287655</wp:posOffset>
            </wp:positionV>
            <wp:extent cx="3048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-287655</wp:posOffset>
            </wp:positionV>
            <wp:extent cx="55245"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245" cy="63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-287655</wp:posOffset>
            </wp:positionV>
            <wp:extent cx="4318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318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-287655</wp:posOffset>
            </wp:positionV>
            <wp:extent cx="93916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39165" cy="6350"/>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-410845</wp:posOffset>
            </wp:positionV>
            <wp:extent cx="3048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-410845</wp:posOffset>
            </wp:positionV>
            <wp:extent cx="3048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-410845</wp:posOffset>
            </wp:positionV>
            <wp:extent cx="3048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-410845</wp:posOffset>
            </wp:positionV>
            <wp:extent cx="2476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-650240</wp:posOffset>
            </wp:positionV>
            <wp:extent cx="3048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-650240</wp:posOffset>
            </wp:positionV>
            <wp:extent cx="3048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-650240</wp:posOffset>
            </wp:positionV>
            <wp:extent cx="3048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-650240</wp:posOffset>
            </wp:positionV>
            <wp:extent cx="2476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-772795</wp:posOffset>
            </wp:positionV>
            <wp:extent cx="48895"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-772795</wp:posOffset>
            </wp:positionV>
            <wp:extent cx="48895"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4407535</wp:posOffset>
            </wp:positionH>
            <wp:positionV relativeFrom="paragraph">
              <wp:posOffset>-772795</wp:posOffset>
            </wp:positionV>
            <wp:extent cx="2476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-772795</wp:posOffset>
            </wp:positionV>
            <wp:extent cx="24765"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-772795</wp:posOffset>
            </wp:positionV>
            <wp:extent cx="24765"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-772795</wp:posOffset>
            </wp:positionV>
            <wp:extent cx="2476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-772795</wp:posOffset>
            </wp:positionV>
            <wp:extent cx="2476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-772795</wp:posOffset>
            </wp:positionV>
            <wp:extent cx="93345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33450" cy="6350"/>
                    </a:xfrm>
                    <a:prstGeom prst="rect">
                      <a:avLst/>
                    </a:prstGeom>
                    <a:noFill/>
                  </pic:spPr>
                </pic:pic>
              </a:graphicData>
            </a:graphic>
          </wp:anchor>
        </w:drawing>
      </w:r>
    </w:p>
    <w:p>
      <w:pPr>
        <w:spacing w:after="0" w:line="70" w:lineRule="exact"/>
        <w:rPr>
          <w:sz w:val="20"/>
          <w:szCs w:val="20"/>
          <w:color w:val="auto"/>
        </w:rPr>
      </w:pPr>
    </w:p>
    <w:p>
      <w:pPr>
        <w:ind w:left="1560" w:right="1779"/>
        <w:spacing w:after="0" w:line="308" w:lineRule="auto"/>
        <w:rPr>
          <w:sz w:val="20"/>
          <w:szCs w:val="20"/>
          <w:color w:val="auto"/>
        </w:rPr>
      </w:pPr>
      <w:r>
        <w:rPr>
          <w:rFonts w:ascii="Arial" w:cs="Arial" w:eastAsia="Arial" w:hAnsi="Arial"/>
          <w:sz w:val="12"/>
          <w:szCs w:val="12"/>
          <w:color w:val="auto"/>
        </w:rPr>
        <w:t>As of December 31, 2020 and 2021, the Company did not have any liabilities measured at fair value on a recurring basis.</w:t>
      </w:r>
    </w:p>
    <w:p>
      <w:pPr>
        <w:spacing w:after="0" w:line="5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There were no transfers in and out of Level 3 during the years ended December 31, 2020 and 2021.</w:t>
      </w:r>
    </w:p>
    <w:p>
      <w:pPr>
        <w:spacing w:after="0" w:line="123" w:lineRule="exact"/>
        <w:rPr>
          <w:sz w:val="20"/>
          <w:szCs w:val="20"/>
          <w:color w:val="auto"/>
        </w:rPr>
      </w:pPr>
    </w:p>
    <w:p>
      <w:pPr>
        <w:ind w:left="1560" w:right="1639"/>
        <w:spacing w:after="0" w:line="275" w:lineRule="auto"/>
        <w:rPr>
          <w:sz w:val="20"/>
          <w:szCs w:val="20"/>
          <w:color w:val="auto"/>
        </w:rPr>
      </w:pPr>
      <w:r>
        <w:rPr>
          <w:rFonts w:ascii="Arial" w:cs="Arial" w:eastAsia="Arial" w:hAnsi="Arial"/>
          <w:sz w:val="12"/>
          <w:szCs w:val="12"/>
          <w:color w:val="auto"/>
        </w:rPr>
        <w:t>Money market funds are included within Level 1 of the fair value hierarchy because they are valued using quoted market prices. Corporate debt securities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65" w:name="page266"/>
    <w:bookmarkEnd w:id="26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5. Term Loan</w:t>
      </w:r>
    </w:p>
    <w:p>
      <w:pPr>
        <w:spacing w:after="0" w:line="123" w:lineRule="exact"/>
        <w:rPr>
          <w:sz w:val="20"/>
          <w:szCs w:val="20"/>
          <w:color w:val="auto"/>
        </w:rPr>
      </w:pPr>
    </w:p>
    <w:p>
      <w:pPr>
        <w:ind w:left="1560" w:right="1679"/>
        <w:spacing w:after="0" w:line="274" w:lineRule="auto"/>
        <w:rPr>
          <w:sz w:val="20"/>
          <w:szCs w:val="20"/>
          <w:color w:val="auto"/>
        </w:rPr>
      </w:pPr>
      <w:r>
        <w:rPr>
          <w:rFonts w:ascii="Arial" w:cs="Arial" w:eastAsia="Arial" w:hAnsi="Arial"/>
          <w:sz w:val="12"/>
          <w:szCs w:val="12"/>
          <w:color w:val="auto"/>
        </w:rPr>
        <w:t>On August 4, 2020, the Company entered into a Loan and Security Agreement (the “SVB Agreement”) with Silicon Valley Bank (“SVB”) to raise up to $8.0 million in debt financing (“SVB Loan”) consisting of</w:t>
      </w:r>
    </w:p>
    <w:p>
      <w:pPr>
        <w:ind w:left="1560" w:right="1599"/>
        <w:spacing w:after="0" w:line="272" w:lineRule="auto"/>
        <w:rPr>
          <w:sz w:val="20"/>
          <w:szCs w:val="20"/>
          <w:color w:val="auto"/>
        </w:rPr>
      </w:pPr>
      <w:r>
        <w:rPr>
          <w:rFonts w:ascii="Arial" w:cs="Arial" w:eastAsia="Arial" w:hAnsi="Arial"/>
          <w:sz w:val="12"/>
          <w:szCs w:val="12"/>
          <w:color w:val="auto"/>
        </w:rPr>
        <w:t>$5.0 million available to draw on or before July 31, 2021 (“Tranche A”), and the option to draw up to an additional $3.0 million (“Tranche B”) on or before January 31, 2022, which is conditioned to initiation of a Phase 1 clinical trial on or before July 31, 2021, and nomination of a development candidate for a second asset on or prior to January 31, 2022, both of which the Company accomplished in May 2021. The Tranche B draw period was extended to July 31, 2022, upon the receipt of net cash proceeds in an amount of at least $50.0 million from the issuance and sale by the Company of its equity securities to investors and/or subordinated debt on or prior to January 31, 2022, which the Company accomplished in July 2021. The Company elected to allow the Tranche A financing to expire unused on July 31, 2021. To date, no amounts have been drawn under Tranche B.</w:t>
      </w:r>
    </w:p>
    <w:p>
      <w:pPr>
        <w:spacing w:after="0" w:line="7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SVB Loan bears interest at a floating rate equal to the greater of  (i) 0.25% below the Prime Rate and</w:t>
      </w:r>
    </w:p>
    <w:p>
      <w:pPr>
        <w:spacing w:after="0" w:line="23" w:lineRule="exact"/>
        <w:rPr>
          <w:sz w:val="20"/>
          <w:szCs w:val="20"/>
          <w:color w:val="auto"/>
        </w:rPr>
      </w:pPr>
    </w:p>
    <w:p>
      <w:pPr>
        <w:ind w:left="1560" w:right="1699" w:firstLine="5"/>
        <w:spacing w:after="0" w:line="269" w:lineRule="auto"/>
        <w:tabs>
          <w:tab w:leader="none" w:pos="173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3.0%. The SVB Loan is collateralized by substantially all of the Company’s assets, including cash, cash equivalents and short-term investments, accounts receivable, intellectual property and equipment. Repayment terms will be interest only through July 31, 2022, and then principal and interest through</w:t>
      </w:r>
    </w:p>
    <w:p>
      <w:pPr>
        <w:ind w:left="1560" w:right="1579"/>
        <w:spacing w:after="0" w:line="278" w:lineRule="auto"/>
        <w:rPr>
          <w:rFonts w:ascii="Arial" w:cs="Arial" w:eastAsia="Arial" w:hAnsi="Arial"/>
          <w:sz w:val="12"/>
          <w:szCs w:val="12"/>
          <w:color w:val="auto"/>
        </w:rPr>
      </w:pPr>
      <w:r>
        <w:rPr>
          <w:rFonts w:ascii="Arial" w:cs="Arial" w:eastAsia="Arial" w:hAnsi="Arial"/>
          <w:sz w:val="12"/>
          <w:szCs w:val="12"/>
          <w:color w:val="auto"/>
        </w:rPr>
        <w:t>June 30, 2024. The SVB Agreement includes customary restrictive covenants, financial covenants, events of default and other customary terms and conditions. As of December 31, 2021, the Company was in compliance with all the covenants contained in the SVB Agreement and no amounts had been drawn under the SVB Agreement.</w:t>
      </w:r>
    </w:p>
    <w:p>
      <w:pPr>
        <w:spacing w:after="0" w:line="80" w:lineRule="exact"/>
        <w:rPr>
          <w:sz w:val="20"/>
          <w:szCs w:val="20"/>
          <w:color w:val="auto"/>
        </w:rPr>
      </w:pPr>
    </w:p>
    <w:p>
      <w:pPr>
        <w:ind w:left="1560" w:right="1719"/>
        <w:spacing w:after="0" w:line="276" w:lineRule="auto"/>
        <w:rPr>
          <w:sz w:val="20"/>
          <w:szCs w:val="20"/>
          <w:color w:val="auto"/>
        </w:rPr>
      </w:pPr>
      <w:r>
        <w:rPr>
          <w:rFonts w:ascii="Arial" w:cs="Arial" w:eastAsia="Arial" w:hAnsi="Arial"/>
          <w:sz w:val="12"/>
          <w:szCs w:val="12"/>
          <w:color w:val="auto"/>
        </w:rPr>
        <w:t>In connection with the entering into the SVB Agreement, the Company issued SVB a warrant to purchase shares of its ordinary shares at an exercise price of  $0.48 per share (“SVB Warrant”). The SVB Warrant is immediately exercisable for 112,279 ordinary shares of the Company and could have been exercisable for an additional number of ordinary shares equal to 44,567 ordinary shares upon draw of Tranche A and 22,283 ordinary shares upon draw of Tranche B. The Tranche A shares expired on July 31, 2021, as the Company elected to allow the Tranche A financing to expire unused on July 31, 2021.</w:t>
      </w:r>
    </w:p>
    <w:p>
      <w:pPr>
        <w:spacing w:after="0" w:line="82"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6. Commitments and Contingencies</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44"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In January 2020, ShouTi Shanghai entered into a lease agreement to lease approximately 6,000 square feet of office space in Chamtime Plaza in Shanghai, China. The lease commenced on November 1, 2020, and was scheduled to expire on December 31, 2022. ShouTi Shanghai had an option to extend the lease term, however the renewal term and conditions were to be agreed to between ShouTi Shanghai and the landlord. For accounting purposes, the lease term was 26 months as it was not reasonably certain that the lease term would be extended. The total base lease payments over the lease term were $0.3 million. In connection with entering into new lease agreement in Chamtime Plaza in June 2021, the lease agreement was terminated early on October 31, 2021.</w:t>
      </w:r>
    </w:p>
    <w:p>
      <w:pPr>
        <w:spacing w:after="0" w:line="74" w:lineRule="exact"/>
        <w:rPr>
          <w:sz w:val="20"/>
          <w:szCs w:val="20"/>
          <w:color w:val="auto"/>
        </w:rPr>
      </w:pPr>
    </w:p>
    <w:p>
      <w:pPr>
        <w:ind w:left="1560" w:right="1639"/>
        <w:spacing w:after="0" w:line="276" w:lineRule="auto"/>
        <w:rPr>
          <w:sz w:val="20"/>
          <w:szCs w:val="20"/>
          <w:color w:val="auto"/>
        </w:rPr>
      </w:pPr>
      <w:r>
        <w:rPr>
          <w:rFonts w:ascii="Arial" w:cs="Arial" w:eastAsia="Arial" w:hAnsi="Arial"/>
          <w:sz w:val="12"/>
          <w:szCs w:val="12"/>
          <w:color w:val="auto"/>
        </w:rPr>
        <w:t>In June 2021, ShouTi Shanghai entered into a lease agreement to lease approximately 5,900 square feet of office space in Chamtime Plaza in Shanghai, China. The lease commenced on September 16, 2021 and expires on September 15, 2023. ShouTi Shanghai has an option to extend the lease term, however the renewal term and conditions should be agreed between ShouTi Shanghai and the landlord. For accounting purposes, the lease term is 26 months as it is not reasonably certain that the lease term will be extended. The total base lease payments over the lease term are $0.5 million.</w:t>
      </w:r>
    </w:p>
    <w:p>
      <w:pPr>
        <w:spacing w:after="0" w:line="82"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color w:val="auto"/>
        </w:rPr>
        <w:t>In November 2021, StructureTx US entered into a lease agreement to lease approximately 4,050 square feet of office spaces in South San Francisco, California. The lease commenced on November 11, 2021, and expires on October 31, 2023. The total base lease payments over the lease term are $0.3 million.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6" w:name="page267"/>
    <w:bookmarkEnd w:id="26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maturities of operating lease liabilities as of December 31, 2021,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gridSpan w:val="4"/>
          </w:tcPr>
          <w:p>
            <w:pPr>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3660" w:type="dxa"/>
            <w:vAlign w:val="bottom"/>
          </w:tcPr>
          <w:p>
            <w:pPr>
              <w:spacing w:after="0"/>
              <w:rPr>
                <w:sz w:val="20"/>
                <w:szCs w:val="20"/>
                <w:color w:val="auto"/>
              </w:rPr>
            </w:pPr>
            <w:r>
              <w:rPr>
                <w:rFonts w:ascii="Arial" w:cs="Arial" w:eastAsia="Arial" w:hAnsi="Arial"/>
                <w:sz w:val="10"/>
                <w:szCs w:val="10"/>
                <w:b w:val="1"/>
                <w:bCs w:val="1"/>
                <w:color w:val="auto"/>
              </w:rPr>
              <w:t>​</w:t>
            </w:r>
          </w:p>
        </w:tc>
        <w:tc>
          <w:tcPr>
            <w:tcW w:w="1360" w:type="dxa"/>
            <w:vAlign w:val="bottom"/>
          </w:tcPr>
          <w:p>
            <w:pPr>
              <w:ind w:left="1200"/>
              <w:spacing w:after="0"/>
              <w:rPr>
                <w:sz w:val="20"/>
                <w:szCs w:val="20"/>
                <w:color w:val="auto"/>
              </w:rPr>
            </w:pPr>
            <w:r>
              <w:rPr>
                <w:rFonts w:ascii="Arial" w:cs="Arial" w:eastAsia="Arial" w:hAnsi="Arial"/>
                <w:sz w:val="10"/>
                <w:szCs w:val="10"/>
                <w:b w:val="1"/>
                <w:bCs w:val="1"/>
                <w:color w:val="auto"/>
              </w:rPr>
              <w:t>​ ​</w:t>
            </w:r>
          </w:p>
        </w:tc>
        <w:tc>
          <w:tcPr>
            <w:tcW w:w="62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64"/>
        </w:trPr>
        <w:tc>
          <w:tcPr>
            <w:tcW w:w="3660" w:type="dxa"/>
            <w:vAlign w:val="bottom"/>
          </w:tcPr>
          <w:p>
            <w:pPr>
              <w:spacing w:after="0"/>
              <w:rPr>
                <w:sz w:val="20"/>
                <w:szCs w:val="20"/>
                <w:color w:val="auto"/>
              </w:rPr>
            </w:pPr>
            <w:r>
              <w:rPr>
                <w:rFonts w:ascii="Arial" w:cs="Arial" w:eastAsia="Arial" w:hAnsi="Arial"/>
                <w:sz w:val="12"/>
                <w:szCs w:val="12"/>
                <w:color w:val="auto"/>
              </w:rPr>
              <w:t>2022</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340" w:type="dxa"/>
            <w:vAlign w:val="bottom"/>
            <w:gridSpan w:val="2"/>
          </w:tcPr>
          <w:p>
            <w:pPr>
              <w:ind w:left="200"/>
              <w:spacing w:after="0"/>
              <w:rPr>
                <w:sz w:val="20"/>
                <w:szCs w:val="20"/>
                <w:color w:val="auto"/>
              </w:rPr>
            </w:pPr>
            <w:r>
              <w:rPr>
                <w:rFonts w:ascii="Arial" w:cs="Arial" w:eastAsia="Arial" w:hAnsi="Arial"/>
                <w:sz w:val="12"/>
                <w:szCs w:val="12"/>
                <w:color w:val="auto"/>
              </w:rPr>
              <w:t>​ $</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384</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660" w:type="dxa"/>
            <w:vAlign w:val="bottom"/>
          </w:tcPr>
          <w:p>
            <w:pPr>
              <w:spacing w:after="0"/>
              <w:rPr>
                <w:sz w:val="20"/>
                <w:szCs w:val="20"/>
                <w:color w:val="auto"/>
              </w:rPr>
            </w:pPr>
            <w:r>
              <w:rPr>
                <w:rFonts w:ascii="Arial" w:cs="Arial" w:eastAsia="Arial" w:hAnsi="Arial"/>
                <w:sz w:val="12"/>
                <w:szCs w:val="12"/>
                <w:color w:val="auto"/>
              </w:rPr>
              <w:t>2023</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240" w:type="dxa"/>
            <w:vAlign w:val="bottom"/>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 278</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660" w:type="dxa"/>
            <w:vAlign w:val="bottom"/>
          </w:tcPr>
          <w:p>
            <w:pPr>
              <w:spacing w:after="0"/>
              <w:rPr>
                <w:sz w:val="20"/>
                <w:szCs w:val="20"/>
                <w:color w:val="auto"/>
              </w:rPr>
            </w:pPr>
            <w:r>
              <w:rPr>
                <w:rFonts w:ascii="Arial" w:cs="Arial" w:eastAsia="Arial" w:hAnsi="Arial"/>
                <w:sz w:val="12"/>
                <w:szCs w:val="12"/>
                <w:color w:val="auto"/>
              </w:rPr>
              <w:t>Total undiscounted lease payments</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240" w:type="dxa"/>
            <w:vAlign w:val="bottom"/>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 662</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660" w:type="dxa"/>
            <w:vAlign w:val="bottom"/>
          </w:tcPr>
          <w:p>
            <w:pPr>
              <w:ind w:left="120"/>
              <w:spacing w:after="0"/>
              <w:rPr>
                <w:sz w:val="20"/>
                <w:szCs w:val="20"/>
                <w:color w:val="auto"/>
              </w:rPr>
            </w:pPr>
            <w:r>
              <w:rPr>
                <w:rFonts w:ascii="Arial" w:cs="Arial" w:eastAsia="Arial" w:hAnsi="Arial"/>
                <w:sz w:val="12"/>
                <w:szCs w:val="12"/>
                <w:color w:val="auto"/>
              </w:rPr>
              <w:t>Less: imputed interest</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240" w:type="dxa"/>
            <w:vAlign w:val="bottom"/>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  41</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660" w:type="dxa"/>
            <w:vAlign w:val="bottom"/>
          </w:tcPr>
          <w:p>
            <w:pPr>
              <w:spacing w:after="0"/>
              <w:rPr>
                <w:sz w:val="20"/>
                <w:szCs w:val="20"/>
                <w:color w:val="auto"/>
              </w:rPr>
            </w:pPr>
            <w:r>
              <w:rPr>
                <w:rFonts w:ascii="Arial" w:cs="Arial" w:eastAsia="Arial" w:hAnsi="Arial"/>
                <w:sz w:val="12"/>
                <w:szCs w:val="12"/>
                <w:color w:val="auto"/>
              </w:rPr>
              <w:t>Total operating lease liability</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240" w:type="dxa"/>
            <w:vAlign w:val="bottom"/>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 621</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660" w:type="dxa"/>
            <w:vAlign w:val="bottom"/>
          </w:tcPr>
          <w:p>
            <w:pPr>
              <w:ind w:left="120"/>
              <w:spacing w:after="0"/>
              <w:rPr>
                <w:sz w:val="20"/>
                <w:szCs w:val="20"/>
                <w:color w:val="auto"/>
              </w:rPr>
            </w:pPr>
            <w:r>
              <w:rPr>
                <w:rFonts w:ascii="Arial" w:cs="Arial" w:eastAsia="Arial" w:hAnsi="Arial"/>
                <w:sz w:val="12"/>
                <w:szCs w:val="12"/>
                <w:color w:val="auto"/>
              </w:rPr>
              <w:t>Less: current portion</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240" w:type="dxa"/>
            <w:vAlign w:val="bottom"/>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 349</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660" w:type="dxa"/>
            <w:vAlign w:val="bottom"/>
          </w:tcPr>
          <w:p>
            <w:pPr>
              <w:spacing w:after="0"/>
              <w:rPr>
                <w:sz w:val="20"/>
                <w:szCs w:val="20"/>
                <w:color w:val="auto"/>
              </w:rPr>
            </w:pPr>
            <w:r>
              <w:rPr>
                <w:rFonts w:ascii="Arial" w:cs="Arial" w:eastAsia="Arial" w:hAnsi="Arial"/>
                <w:sz w:val="12"/>
                <w:szCs w:val="12"/>
                <w:color w:val="auto"/>
              </w:rPr>
              <w:t>Operating lease liability, net of current portion</w:t>
            </w:r>
          </w:p>
        </w:tc>
        <w:tc>
          <w:tcPr>
            <w:tcW w:w="1360" w:type="dxa"/>
            <w:vAlign w:val="bottom"/>
          </w:tcPr>
          <w:p>
            <w:pPr>
              <w:ind w:left="1240"/>
              <w:spacing w:after="0"/>
              <w:rPr>
                <w:sz w:val="20"/>
                <w:szCs w:val="20"/>
                <w:color w:val="auto"/>
              </w:rPr>
            </w:pPr>
            <w:r>
              <w:rPr>
                <w:rFonts w:ascii="Arial" w:cs="Arial" w:eastAsia="Arial" w:hAnsi="Arial"/>
                <w:sz w:val="12"/>
                <w:szCs w:val="12"/>
                <w:color w:val="auto"/>
              </w:rPr>
              <w:t>​ ​</w:t>
            </w:r>
          </w:p>
        </w:tc>
        <w:tc>
          <w:tcPr>
            <w:tcW w:w="340" w:type="dxa"/>
            <w:vAlign w:val="bottom"/>
            <w:gridSpan w:val="2"/>
          </w:tcPr>
          <w:p>
            <w:pPr>
              <w:ind w:left="200"/>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perscript"/>
              </w:rPr>
              <w:t>$</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272</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6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733165" cy="135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733165" cy="135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-680720</wp:posOffset>
            </wp:positionV>
            <wp:extent cx="3733165" cy="1168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-920115</wp:posOffset>
            </wp:positionV>
            <wp:extent cx="3733165" cy="1168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70" w:lineRule="exact"/>
        <w:rPr>
          <w:sz w:val="20"/>
          <w:szCs w:val="20"/>
          <w:color w:val="auto"/>
        </w:rPr>
      </w:pPr>
    </w:p>
    <w:p>
      <w:pPr>
        <w:ind w:left="1560" w:right="1599"/>
        <w:spacing w:after="0" w:line="275" w:lineRule="auto"/>
        <w:rPr>
          <w:sz w:val="20"/>
          <w:szCs w:val="20"/>
          <w:color w:val="auto"/>
        </w:rPr>
      </w:pPr>
      <w:r>
        <w:rPr>
          <w:rFonts w:ascii="Arial" w:cs="Arial" w:eastAsia="Arial" w:hAnsi="Arial"/>
          <w:sz w:val="12"/>
          <w:szCs w:val="12"/>
          <w:color w:val="auto"/>
        </w:rPr>
        <w:t>Operating lease cost was $0.2 million and $0.5 million for the years ended December 31, 2020 and 2021, respectively, including $0.1 million and $0.2 million short-term lease costs for the years ended December 31, 2020 and 2021, respectively. As of December 31, 2021, the weighted average remaining lease term was 1.8 years, and the weighted average discount rate used to measure the lease liability for such operating leases upon recognition was 7.9%. During the years ended December 31, 2020 and 2021, cash paid for amounts included in operating lease liabilities of  $0.1 million and $0.2 million, respectively, was included in cash flows from operating activities on the consolidated statements of cash flows.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Indemnification Agreements</w:t>
      </w:r>
    </w:p>
    <w:p>
      <w:pPr>
        <w:spacing w:after="0" w:line="4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December 31, 2020 and 2021, the Company did not have any material indemnification claims that were probable or reasonably possible and consequently had not recorded related liabilities.</w:t>
      </w:r>
    </w:p>
    <w:p>
      <w:pPr>
        <w:spacing w:after="0" w:line="28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44" w:lineRule="exact"/>
        <w:rPr>
          <w:sz w:val="20"/>
          <w:szCs w:val="20"/>
          <w:color w:val="auto"/>
        </w:rPr>
      </w:pPr>
    </w:p>
    <w:p>
      <w:pPr>
        <w:jc w:val="both"/>
        <w:ind w:left="1560" w:right="1619"/>
        <w:spacing w:after="0" w:line="288" w:lineRule="auto"/>
        <w:rPr>
          <w:sz w:val="20"/>
          <w:szCs w:val="20"/>
          <w:color w:val="auto"/>
        </w:rPr>
      </w:pPr>
      <w:r>
        <w:rPr>
          <w:rFonts w:ascii="Arial" w:cs="Arial" w:eastAsia="Arial" w:hAnsi="Arial"/>
          <w:sz w:val="12"/>
          <w:szCs w:val="12"/>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7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7. Redeemable Convertible Preferred Shares</w:t>
      </w:r>
    </w:p>
    <w:p>
      <w:pPr>
        <w:spacing w:after="0" w:line="113"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Under the Company’s Memorandum and Articles of Association, as amended, the Company’s redeemable convertible preferred shares are issuable in series. The Company’s board of directors is authorized to determine the rights, preferences, privileges and terms of each series.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7" w:name="page268"/>
    <w:bookmarkEnd w:id="26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819"/>
        <w:spacing w:after="0" w:line="308" w:lineRule="auto"/>
        <w:rPr>
          <w:sz w:val="20"/>
          <w:szCs w:val="20"/>
          <w:color w:val="auto"/>
        </w:rPr>
      </w:pPr>
      <w:r>
        <w:rPr>
          <w:rFonts w:ascii="Arial" w:cs="Arial" w:eastAsia="Arial" w:hAnsi="Arial"/>
          <w:sz w:val="12"/>
          <w:szCs w:val="12"/>
          <w:color w:val="auto"/>
        </w:rPr>
        <w:t>Redeemable convertible preferred shares consisted of the following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 ​</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SHARES ISSUED</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4"/>
          </w:tcPr>
          <w:p>
            <w:pPr>
              <w:jc w:val="right"/>
              <w:ind w:right="208"/>
              <w:spacing w:after="0"/>
              <w:rPr>
                <w:sz w:val="20"/>
                <w:szCs w:val="20"/>
                <w:color w:val="auto"/>
              </w:rPr>
            </w:pPr>
            <w:r>
              <w:rPr>
                <w:rFonts w:ascii="Arial" w:cs="Arial" w:eastAsia="Arial" w:hAnsi="Arial"/>
                <w:sz w:val="10"/>
                <w:szCs w:val="10"/>
                <w:b w:val="1"/>
                <w:bCs w:val="1"/>
                <w:color w:val="auto"/>
              </w:rPr>
              <w:t>ORIGINAL</w:t>
            </w:r>
          </w:p>
        </w:tc>
        <w:tc>
          <w:tcPr>
            <w:tcW w:w="860" w:type="dxa"/>
            <w:vAlign w:val="bottom"/>
          </w:tcPr>
          <w:p>
            <w:pPr>
              <w:jc w:val="center"/>
              <w:ind w:right="2"/>
              <w:spacing w:after="0"/>
              <w:rPr>
                <w:sz w:val="20"/>
                <w:szCs w:val="20"/>
                <w:color w:val="auto"/>
              </w:rPr>
            </w:pPr>
            <w:r>
              <w:rPr>
                <w:rFonts w:ascii="Arial" w:cs="Arial" w:eastAsia="Arial" w:hAnsi="Arial"/>
                <w:sz w:val="10"/>
                <w:szCs w:val="10"/>
                <w:b w:val="1"/>
                <w:bCs w:val="1"/>
                <w:color w:val="auto"/>
              </w:rPr>
              <w:t>AND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rPr>
              <w:t>LIQUIDATION</w:t>
            </w:r>
          </w:p>
        </w:tc>
        <w:tc>
          <w:tcPr>
            <w:tcW w:w="40" w:type="dxa"/>
            <w:vAlign w:val="bottom"/>
          </w:tcPr>
          <w:p>
            <w:pPr>
              <w:spacing w:after="0"/>
              <w:rPr>
                <w:sz w:val="11"/>
                <w:szCs w:val="11"/>
                <w:color w:val="auto"/>
              </w:rPr>
            </w:pPr>
          </w:p>
        </w:tc>
      </w:t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SERIES</w:t>
            </w:r>
          </w:p>
        </w:tc>
        <w:tc>
          <w:tcPr>
            <w:tcW w:w="2660" w:type="dxa"/>
            <w:vAlign w:val="bottom"/>
            <w:gridSpan w:val="10"/>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AUTHORIZED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ISSUE PRICE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OUTSTANDING</w:t>
            </w:r>
          </w:p>
        </w:tc>
        <w:tc>
          <w:tcPr>
            <w:tcW w:w="1320" w:type="dxa"/>
            <w:vAlign w:val="bottom"/>
            <w:gridSpan w:val="10"/>
          </w:tcPr>
          <w:p>
            <w:pPr>
              <w:ind w:left="4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CARRYING VALUE </w:t>
            </w:r>
            <w:r>
              <w:rPr>
                <w:rFonts w:ascii="Arial" w:cs="Arial" w:eastAsia="Arial" w:hAnsi="Arial"/>
                <w:sz w:val="17"/>
                <w:szCs w:val="17"/>
                <w:b w:val="1"/>
                <w:bCs w:val="1"/>
                <w:color w:val="auto"/>
                <w:vertAlign w:val="subscript"/>
              </w:rPr>
              <w:t>​ ​</w:t>
            </w:r>
          </w:p>
        </w:tc>
        <w:tc>
          <w:tcPr>
            <w:tcW w:w="80" w:type="dxa"/>
            <w:vAlign w:val="bottom"/>
          </w:tcPr>
          <w:p>
            <w:pPr>
              <w:spacing w:after="0"/>
              <w:rPr>
                <w:sz w:val="13"/>
                <w:szCs w:val="13"/>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VALUE</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1260" w:type="dxa"/>
            <w:vAlign w:val="bottom"/>
          </w:tcPr>
          <w:p>
            <w:pPr>
              <w:spacing w:after="0"/>
              <w:rPr>
                <w:sz w:val="20"/>
                <w:szCs w:val="20"/>
                <w:color w:val="auto"/>
              </w:rPr>
            </w:pPr>
            <w:r>
              <w:rPr>
                <w:rFonts w:ascii="Arial" w:cs="Arial" w:eastAsia="Arial" w:hAnsi="Arial"/>
                <w:sz w:val="12"/>
                <w:szCs w:val="12"/>
                <w:color w:val="auto"/>
              </w:rPr>
              <w:t>A</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80" w:type="dxa"/>
            <w:vAlign w:val="bottom"/>
            <w:gridSpan w:val="4"/>
          </w:tcPr>
          <w:p>
            <w:pPr>
              <w:ind w:left="40"/>
              <w:spacing w:after="0"/>
              <w:rPr>
                <w:sz w:val="20"/>
                <w:szCs w:val="20"/>
                <w:color w:val="auto"/>
              </w:rPr>
            </w:pPr>
            <w:r>
              <w:rPr>
                <w:rFonts w:ascii="Arial" w:cs="Arial" w:eastAsia="Arial" w:hAnsi="Arial"/>
                <w:sz w:val="12"/>
                <w:szCs w:val="12"/>
                <w:color w:val="auto"/>
              </w:rPr>
              <w:t>19,200,000​​​ ​$</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1.6667 ​​​</w:t>
            </w: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19,200,000</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300" w:type="dxa"/>
            <w:vAlign w:val="bottom"/>
            <w:gridSpan w:val="3"/>
          </w:tcPr>
          <w:p>
            <w:pPr>
              <w:ind w:left="80"/>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32,001</w:t>
            </w:r>
          </w:p>
        </w:tc>
        <w:tc>
          <w:tcPr>
            <w:tcW w:w="360" w:type="dxa"/>
            <w:vAlign w:val="bottom"/>
            <w:gridSpan w:val="5"/>
          </w:tcPr>
          <w:p>
            <w:pPr>
              <w:ind w:left="40"/>
              <w:spacing w:after="0"/>
              <w:rPr>
                <w:sz w:val="20"/>
                <w:szCs w:val="20"/>
                <w:color w:val="auto"/>
              </w:rPr>
            </w:pPr>
            <w:r>
              <w:rPr>
                <w:rFonts w:ascii="Arial" w:cs="Arial" w:eastAsia="Arial" w:hAnsi="Arial"/>
                <w:sz w:val="12"/>
                <w:szCs w:val="12"/>
                <w:color w:val="auto"/>
              </w:rPr>
              <w:t>​ ​​ ​$</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32,001 ​​</w:t>
            </w:r>
          </w:p>
        </w:tc>
      </w:tr>
      <w:tr>
        <w:trPr>
          <w:trHeight w:val="193"/>
        </w:trPr>
        <w:tc>
          <w:tcPr>
            <w:tcW w:w="1260" w:type="dxa"/>
            <w:vAlign w:val="bottom"/>
          </w:tcPr>
          <w:p>
            <w:pPr>
              <w:spacing w:after="0"/>
              <w:rPr>
                <w:sz w:val="20"/>
                <w:szCs w:val="20"/>
                <w:color w:val="auto"/>
              </w:rPr>
            </w:pPr>
            <w:r>
              <w:rPr>
                <w:rFonts w:ascii="Arial" w:cs="Arial" w:eastAsia="Arial" w:hAnsi="Arial"/>
                <w:sz w:val="12"/>
                <w:szCs w:val="12"/>
                <w:color w:val="auto"/>
              </w:rPr>
              <w:t>A+</w:t>
            </w:r>
          </w:p>
        </w:tc>
        <w:tc>
          <w:tcPr>
            <w:tcW w:w="180" w:type="dxa"/>
            <w:vAlign w:val="bottom"/>
            <w:gridSpan w:val="2"/>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820" w:type="dxa"/>
            <w:vAlign w:val="bottom"/>
            <w:gridSpan w:val="3"/>
          </w:tcPr>
          <w:p>
            <w:pPr>
              <w:ind w:left="40"/>
              <w:spacing w:after="0" w:line="193" w:lineRule="exact"/>
              <w:rPr>
                <w:sz w:val="20"/>
                <w:szCs w:val="20"/>
                <w:color w:val="auto"/>
              </w:rPr>
            </w:pPr>
            <w:r>
              <w:rPr>
                <w:rFonts w:ascii="Arial" w:cs="Arial" w:eastAsia="Arial" w:hAnsi="Arial"/>
                <w:sz w:val="12"/>
                <w:szCs w:val="12"/>
                <w:color w:val="auto"/>
              </w:rPr>
              <w:t>12,799,681</w:t>
            </w:r>
            <w:r>
              <w:rPr>
                <w:rFonts w:ascii="Arial" w:cs="Arial" w:eastAsia="Arial" w:hAnsi="Arial"/>
                <w:sz w:val="22"/>
                <w:szCs w:val="22"/>
                <w:color w:val="auto"/>
                <w:vertAlign w:val="subscript"/>
              </w:rPr>
              <w:t>​​​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 xml:space="preserve">2.0313 </w:t>
            </w:r>
            <w:r>
              <w:rPr>
                <w:rFonts w:ascii="Arial" w:cs="Arial" w:eastAsia="Arial" w:hAnsi="Arial"/>
                <w:sz w:val="22"/>
                <w:szCs w:val="22"/>
                <w:color w:val="auto"/>
                <w:vertAlign w:val="subscript"/>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12,799,681</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26,000</w:t>
            </w:r>
          </w:p>
        </w:tc>
        <w:tc>
          <w:tcPr>
            <w:tcW w:w="280" w:type="dxa"/>
            <w:vAlign w:val="bottom"/>
            <w:gridSpan w:val="4"/>
          </w:tcPr>
          <w:p>
            <w:pPr>
              <w:ind w:left="40"/>
              <w:spacing w:after="0"/>
              <w:rPr>
                <w:sz w:val="20"/>
                <w:szCs w:val="20"/>
                <w:color w:val="auto"/>
              </w:rPr>
            </w:pPr>
            <w:r>
              <w:rPr>
                <w:rFonts w:ascii="Arial" w:cs="Arial" w:eastAsia="Arial" w:hAnsi="Arial"/>
                <w:sz w:val="12"/>
                <w:szCs w:val="12"/>
                <w:color w:val="auto"/>
              </w:rPr>
              <w:t>​ ​​ ​</w:t>
            </w:r>
          </w:p>
        </w:tc>
        <w:tc>
          <w:tcPr>
            <w:tcW w:w="80" w:type="dxa"/>
            <w:vAlign w:val="bottom"/>
          </w:tcPr>
          <w:p>
            <w:pPr>
              <w:ind w:left="4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 xml:space="preserve">26,000 </w:t>
            </w:r>
            <w:r>
              <w:rPr>
                <w:rFonts w:ascii="Arial" w:cs="Arial" w:eastAsia="Arial" w:hAnsi="Arial"/>
                <w:sz w:val="22"/>
                <w:szCs w:val="22"/>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260" w:type="dxa"/>
            <w:vAlign w:val="bottom"/>
          </w:tcPr>
          <w:p>
            <w:pPr>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20" w:type="dxa"/>
            <w:vAlign w:val="bottom"/>
            <w:gridSpan w:val="3"/>
          </w:tcPr>
          <w:p>
            <w:pPr>
              <w:ind w:left="40"/>
              <w:spacing w:after="0" w:line="173" w:lineRule="exact"/>
              <w:rPr>
                <w:sz w:val="20"/>
                <w:szCs w:val="20"/>
                <w:color w:val="auto"/>
              </w:rPr>
            </w:pPr>
            <w:r>
              <w:rPr>
                <w:rFonts w:ascii="Arial" w:cs="Arial" w:eastAsia="Arial" w:hAnsi="Arial"/>
                <w:sz w:val="11"/>
                <w:szCs w:val="11"/>
                <w:color w:val="auto"/>
              </w:rPr>
              <w:t>31,999,681</w:t>
            </w:r>
            <w:r>
              <w:rPr>
                <w:rFonts w:ascii="Arial" w:cs="Arial" w:eastAsia="Arial" w:hAnsi="Arial"/>
                <w:sz w:val="20"/>
                <w:szCs w:val="20"/>
                <w:color w:val="auto"/>
                <w:vertAlign w:val="subscript"/>
              </w:rPr>
              <w:t>​​​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31,999,681</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300" w:type="dxa"/>
            <w:vAlign w:val="bottom"/>
            <w:gridSpan w:val="3"/>
          </w:tcPr>
          <w:p>
            <w:pPr>
              <w:ind w:left="80"/>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perscript"/>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58,001</w:t>
            </w:r>
          </w:p>
        </w:tc>
        <w:tc>
          <w:tcPr>
            <w:tcW w:w="360" w:type="dxa"/>
            <w:vAlign w:val="bottom"/>
            <w:gridSpan w:val="5"/>
          </w:tcPr>
          <w:p>
            <w:pPr>
              <w:ind w:left="40"/>
              <w:spacing w:after="0" w:line="173" w:lineRule="exact"/>
              <w:rPr>
                <w:sz w:val="20"/>
                <w:szCs w:val="20"/>
                <w:color w:val="auto"/>
              </w:rPr>
            </w:pPr>
            <w:r>
              <w:rPr>
                <w:rFonts w:ascii="Arial" w:cs="Arial" w:eastAsia="Arial" w:hAnsi="Arial"/>
                <w:sz w:val="11"/>
                <w:szCs w:val="11"/>
                <w:color w:val="auto"/>
              </w:rPr>
              <w:t>​ ​​ ​</w:t>
            </w:r>
            <w:r>
              <w:rPr>
                <w:rFonts w:ascii="Arial" w:cs="Arial" w:eastAsia="Arial" w:hAnsi="Arial"/>
                <w:sz w:val="20"/>
                <w:szCs w:val="20"/>
                <w:color w:val="auto"/>
                <w:vertAlign w:val="superscript"/>
              </w:rPr>
              <w:t>$</w:t>
            </w:r>
          </w:p>
        </w:tc>
        <w:tc>
          <w:tcPr>
            <w:tcW w:w="60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 xml:space="preserve">58,001 </w:t>
            </w:r>
            <w:r>
              <w:rPr>
                <w:rFonts w:ascii="Arial" w:cs="Arial" w:eastAsia="Arial" w:hAnsi="Arial"/>
                <w:sz w:val="20"/>
                <w:szCs w:val="20"/>
                <w:color w:val="auto"/>
                <w:vertAlign w:val="subscript"/>
              </w:rPr>
              <w:t>​​</w:t>
            </w:r>
          </w:p>
        </w:tc>
      </w:tr>
      <w:tr>
        <w:trPr>
          <w:trHeight w:val="77"/>
        </w:trPr>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6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5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96"/>
        </w:trPr>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4"/>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 ​</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rPr>
              <w:t>DECEMBER 31, 2021</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SHARES ISSUED</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4"/>
          </w:tcPr>
          <w:p>
            <w:pPr>
              <w:jc w:val="right"/>
              <w:ind w:right="208"/>
              <w:spacing w:after="0"/>
              <w:rPr>
                <w:sz w:val="20"/>
                <w:szCs w:val="20"/>
                <w:color w:val="auto"/>
              </w:rPr>
            </w:pPr>
            <w:r>
              <w:rPr>
                <w:rFonts w:ascii="Arial" w:cs="Arial" w:eastAsia="Arial" w:hAnsi="Arial"/>
                <w:sz w:val="10"/>
                <w:szCs w:val="10"/>
                <w:b w:val="1"/>
                <w:bCs w:val="1"/>
                <w:color w:val="auto"/>
              </w:rPr>
              <w:t>ORIGINAL</w:t>
            </w:r>
          </w:p>
        </w:tc>
        <w:tc>
          <w:tcPr>
            <w:tcW w:w="860" w:type="dxa"/>
            <w:vAlign w:val="bottom"/>
          </w:tcPr>
          <w:p>
            <w:pPr>
              <w:jc w:val="center"/>
              <w:ind w:right="2"/>
              <w:spacing w:after="0"/>
              <w:rPr>
                <w:sz w:val="20"/>
                <w:szCs w:val="20"/>
                <w:color w:val="auto"/>
              </w:rPr>
            </w:pPr>
            <w:r>
              <w:rPr>
                <w:rFonts w:ascii="Arial" w:cs="Arial" w:eastAsia="Arial" w:hAnsi="Arial"/>
                <w:sz w:val="10"/>
                <w:szCs w:val="10"/>
                <w:b w:val="1"/>
                <w:bCs w:val="1"/>
                <w:color w:val="auto"/>
              </w:rPr>
              <w:t>AND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rPr>
              <w:t>LIQUIDATION</w:t>
            </w:r>
          </w:p>
        </w:tc>
        <w:tc>
          <w:tcPr>
            <w:tcW w:w="40" w:type="dxa"/>
            <w:vAlign w:val="bottom"/>
          </w:tcPr>
          <w:p>
            <w:pPr>
              <w:spacing w:after="0"/>
              <w:rPr>
                <w:sz w:val="11"/>
                <w:szCs w:val="11"/>
                <w:color w:val="auto"/>
              </w:rPr>
            </w:pPr>
          </w:p>
        </w:tc>
      </w:t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SERIES</w:t>
            </w:r>
          </w:p>
        </w:tc>
        <w:tc>
          <w:tcPr>
            <w:tcW w:w="2660" w:type="dxa"/>
            <w:vAlign w:val="bottom"/>
            <w:gridSpan w:val="10"/>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AUTHORIZED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ISSUE PRICE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OUTSTANDING</w:t>
            </w:r>
          </w:p>
        </w:tc>
        <w:tc>
          <w:tcPr>
            <w:tcW w:w="1320" w:type="dxa"/>
            <w:vAlign w:val="bottom"/>
            <w:gridSpan w:val="10"/>
          </w:tcPr>
          <w:p>
            <w:pPr>
              <w:ind w:left="4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CARRYING VALUE </w:t>
            </w:r>
            <w:r>
              <w:rPr>
                <w:rFonts w:ascii="Arial" w:cs="Arial" w:eastAsia="Arial" w:hAnsi="Arial"/>
                <w:sz w:val="17"/>
                <w:szCs w:val="17"/>
                <w:b w:val="1"/>
                <w:bCs w:val="1"/>
                <w:color w:val="auto"/>
                <w:vertAlign w:val="subscript"/>
              </w:rPr>
              <w:t>​ ​</w:t>
            </w:r>
          </w:p>
        </w:tc>
        <w:tc>
          <w:tcPr>
            <w:tcW w:w="80" w:type="dxa"/>
            <w:vAlign w:val="bottom"/>
          </w:tcPr>
          <w:p>
            <w:pPr>
              <w:spacing w:after="0"/>
              <w:rPr>
                <w:sz w:val="13"/>
                <w:szCs w:val="13"/>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VALUE</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A</w:t>
            </w: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8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19,200,000​​​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1.6667 ​​​</w:t>
            </w: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19,200,000</w:t>
            </w:r>
          </w:p>
        </w:tc>
        <w:tc>
          <w:tcPr>
            <w:tcW w:w="1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w w:val="99"/>
              </w:rPr>
              <w:t>​ $</w:t>
            </w:r>
          </w:p>
        </w:tc>
        <w:tc>
          <w:tcPr>
            <w:tcW w:w="1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32,001</w:t>
            </w:r>
          </w:p>
        </w:tc>
        <w:tc>
          <w:tcPr>
            <w:tcW w:w="28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32,001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1260" w:type="dxa"/>
            <w:vAlign w:val="bottom"/>
          </w:tcPr>
          <w:p>
            <w:pPr>
              <w:spacing w:after="0"/>
              <w:rPr>
                <w:sz w:val="20"/>
                <w:szCs w:val="20"/>
                <w:color w:val="auto"/>
              </w:rPr>
            </w:pPr>
            <w:r>
              <w:rPr>
                <w:rFonts w:ascii="Arial" w:cs="Arial" w:eastAsia="Arial" w:hAnsi="Arial"/>
                <w:sz w:val="12"/>
                <w:szCs w:val="12"/>
                <w:color w:val="auto"/>
              </w:rPr>
              <w:t>A+</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3"/>
          </w:tcPr>
          <w:p>
            <w:pPr>
              <w:ind w:left="40"/>
              <w:spacing w:after="0"/>
              <w:rPr>
                <w:sz w:val="20"/>
                <w:szCs w:val="20"/>
                <w:color w:val="auto"/>
              </w:rPr>
            </w:pPr>
            <w:r>
              <w:rPr>
                <w:rFonts w:ascii="Arial" w:cs="Arial" w:eastAsia="Arial" w:hAnsi="Arial"/>
                <w:sz w:val="12"/>
                <w:szCs w:val="12"/>
                <w:color w:val="auto"/>
              </w:rPr>
              <w:t>12,799,681​​​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2.0313 ​​​</w:t>
            </w: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12,799,681</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26,000</w:t>
            </w:r>
          </w:p>
        </w:tc>
        <w:tc>
          <w:tcPr>
            <w:tcW w:w="280" w:type="dxa"/>
            <w:vAlign w:val="bottom"/>
            <w:gridSpan w:val="4"/>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26,000​</w:t>
            </w:r>
          </w:p>
        </w:tc>
      </w:tr>
      <w:tr>
        <w:trPr>
          <w:trHeight w:val="184"/>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B</w:t>
            </w: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24,701,732​​​ ​</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4.0483 ​​​</w:t>
            </w: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24,701,732</w:t>
            </w:r>
          </w:p>
        </w:tc>
        <w:tc>
          <w:tcPr>
            <w:tcW w:w="1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100,000</w:t>
            </w:r>
          </w:p>
        </w:tc>
        <w:tc>
          <w:tcPr>
            <w:tcW w:w="28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2"/>
                <w:szCs w:val="12"/>
                <w:color w:val="auto"/>
              </w:rPr>
              <w:t>B-1</w:t>
            </w:r>
          </w:p>
        </w:tc>
        <w:tc>
          <w:tcPr>
            <w:tcW w:w="180" w:type="dxa"/>
            <w:vAlign w:val="bottom"/>
            <w:gridSpan w:val="2"/>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820" w:type="dxa"/>
            <w:vAlign w:val="bottom"/>
            <w:gridSpan w:val="3"/>
          </w:tcPr>
          <w:p>
            <w:pPr>
              <w:ind w:left="100"/>
              <w:spacing w:after="0" w:line="193" w:lineRule="exact"/>
              <w:rPr>
                <w:sz w:val="20"/>
                <w:szCs w:val="20"/>
                <w:color w:val="auto"/>
              </w:rPr>
            </w:pPr>
            <w:r>
              <w:rPr>
                <w:rFonts w:ascii="Arial" w:cs="Arial" w:eastAsia="Arial" w:hAnsi="Arial"/>
                <w:sz w:val="12"/>
                <w:szCs w:val="12"/>
                <w:color w:val="auto"/>
              </w:rPr>
              <w:t>2,161,402</w:t>
            </w:r>
            <w:r>
              <w:rPr>
                <w:rFonts w:ascii="Arial" w:cs="Arial" w:eastAsia="Arial" w:hAnsi="Arial"/>
                <w:sz w:val="22"/>
                <w:szCs w:val="22"/>
                <w:color w:val="auto"/>
                <w:vertAlign w:val="subscript"/>
              </w:rPr>
              <w:t>​​​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 xml:space="preserve">3.2386 </w:t>
            </w:r>
            <w:r>
              <w:rPr>
                <w:rFonts w:ascii="Arial" w:cs="Arial" w:eastAsia="Arial" w:hAnsi="Arial"/>
                <w:sz w:val="22"/>
                <w:szCs w:val="22"/>
                <w:color w:val="auto"/>
                <w:vertAlign w:val="subscript"/>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2,161,402</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8,959</w:t>
            </w:r>
          </w:p>
        </w:tc>
        <w:tc>
          <w:tcPr>
            <w:tcW w:w="280" w:type="dxa"/>
            <w:vAlign w:val="bottom"/>
            <w:gridSpan w:val="4"/>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7,000</w:t>
            </w:r>
            <w:r>
              <w:rPr>
                <w:rFonts w:ascii="Arial" w:cs="Arial" w:eastAsia="Arial" w:hAnsi="Arial"/>
                <w:sz w:val="22"/>
                <w:szCs w:val="22"/>
                <w:color w:val="auto"/>
                <w:vertAlign w:val="subscript"/>
              </w:rPr>
              <w:t>​</w:t>
            </w:r>
          </w:p>
        </w:tc>
      </w:tr>
      <w:tr>
        <w:trPr>
          <w:trHeight w:val="20"/>
        </w:trPr>
        <w:tc>
          <w:tcPr>
            <w:tcW w:w="12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gridSpan w:val="2"/>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gridSpan w:val="2"/>
            <w:shd w:val="clear" w:color="auto" w:fill="CCEEFF"/>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20" w:type="dxa"/>
            <w:vAlign w:val="bottom"/>
            <w:gridSpan w:val="3"/>
            <w:shd w:val="clear" w:color="auto" w:fill="CCEEFF"/>
          </w:tcPr>
          <w:p>
            <w:pPr>
              <w:ind w:left="40"/>
              <w:spacing w:after="0" w:line="173" w:lineRule="exact"/>
              <w:rPr>
                <w:sz w:val="20"/>
                <w:szCs w:val="20"/>
                <w:color w:val="auto"/>
              </w:rPr>
            </w:pPr>
            <w:r>
              <w:rPr>
                <w:rFonts w:ascii="Arial" w:cs="Arial" w:eastAsia="Arial" w:hAnsi="Arial"/>
                <w:sz w:val="11"/>
                <w:szCs w:val="11"/>
                <w:color w:val="auto"/>
              </w:rPr>
              <w:t>58,862,815</w:t>
            </w:r>
            <w:r>
              <w:rPr>
                <w:rFonts w:ascii="Arial" w:cs="Arial" w:eastAsia="Arial" w:hAnsi="Arial"/>
                <w:sz w:val="20"/>
                <w:szCs w:val="20"/>
                <w:color w:val="auto"/>
                <w:vertAlign w:val="subscript"/>
              </w:rPr>
              <w:t>​​​ ​</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3"/>
            <w:shd w:val="clear" w:color="auto" w:fill="CCEEFF"/>
          </w:tcPr>
          <w:p>
            <w:pPr>
              <w:jc w:val="right"/>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58,862,815</w:t>
            </w:r>
          </w:p>
        </w:tc>
        <w:tc>
          <w:tcPr>
            <w:tcW w:w="1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gridSpan w:val="2"/>
            <w:shd w:val="clear" w:color="auto" w:fill="CCEEFF"/>
          </w:tcPr>
          <w:p>
            <w:pPr>
              <w:ind w:left="4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14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166,960</w:t>
            </w:r>
          </w:p>
        </w:tc>
        <w:tc>
          <w:tcPr>
            <w:tcW w:w="280" w:type="dxa"/>
            <w:vAlign w:val="bottom"/>
            <w:gridSpan w:val="4"/>
            <w:shd w:val="clear" w:color="auto" w:fill="CCEEFF"/>
          </w:tcPr>
          <w:p>
            <w:pPr>
              <w:ind w:left="4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165,001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126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48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8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5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-1411605</wp:posOffset>
            </wp:positionV>
            <wp:extent cx="3733165" cy="135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733165" cy="135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-1651000</wp:posOffset>
            </wp:positionV>
            <wp:extent cx="3733165" cy="1168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-201930</wp:posOffset>
            </wp:positionV>
            <wp:extent cx="15367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3670" cy="635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-201930</wp:posOffset>
            </wp:positionV>
            <wp:extent cx="14732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4732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1909445"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909445" cy="635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-675005</wp:posOffset>
            </wp:positionV>
            <wp:extent cx="61595"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-675005</wp:posOffset>
            </wp:positionV>
            <wp:extent cx="6159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-675005</wp:posOffset>
            </wp:positionV>
            <wp:extent cx="6159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-675005</wp:posOffset>
            </wp:positionV>
            <wp:extent cx="6159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-675005</wp:posOffset>
            </wp:positionV>
            <wp:extent cx="6159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1595" cy="6350"/>
                    </a:xfrm>
                    <a:prstGeom prst="rect">
                      <a:avLst/>
                    </a:prstGeom>
                    <a:noFill/>
                  </pic:spPr>
                </pic:pic>
              </a:graphicData>
            </a:graphic>
          </wp:anchor>
        </w:drawing>
      </w:r>
    </w:p>
    <w:p>
      <w:pPr>
        <w:spacing w:after="0" w:line="70" w:lineRule="exact"/>
        <w:rPr>
          <w:sz w:val="20"/>
          <w:szCs w:val="20"/>
          <w:color w:val="auto"/>
        </w:rPr>
      </w:pPr>
    </w:p>
    <w:p>
      <w:pPr>
        <w:ind w:left="1560" w:right="1639"/>
        <w:spacing w:after="0" w:line="308" w:lineRule="auto"/>
        <w:rPr>
          <w:sz w:val="20"/>
          <w:szCs w:val="20"/>
          <w:color w:val="auto"/>
        </w:rPr>
      </w:pPr>
      <w:r>
        <w:rPr>
          <w:rFonts w:ascii="Arial" w:cs="Arial" w:eastAsia="Arial" w:hAnsi="Arial"/>
          <w:sz w:val="12"/>
          <w:szCs w:val="12"/>
          <w:color w:val="auto"/>
        </w:rPr>
        <w:t>The original issuance price in the table above reflects the stated issuance price per the respective purchase agreements.</w:t>
      </w:r>
    </w:p>
    <w:p>
      <w:pPr>
        <w:spacing w:after="0" w:line="10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A Redeemable Convertible Preferred Shares</w:t>
      </w:r>
    </w:p>
    <w:p>
      <w:pPr>
        <w:spacing w:after="0" w:line="44" w:lineRule="exact"/>
        <w:rPr>
          <w:sz w:val="20"/>
          <w:szCs w:val="20"/>
          <w:color w:val="auto"/>
        </w:rPr>
      </w:pPr>
    </w:p>
    <w:p>
      <w:pPr>
        <w:ind w:left="1560" w:right="1659"/>
        <w:spacing w:after="0" w:line="282" w:lineRule="auto"/>
        <w:rPr>
          <w:sz w:val="20"/>
          <w:szCs w:val="20"/>
          <w:color w:val="auto"/>
        </w:rPr>
      </w:pPr>
      <w:r>
        <w:rPr>
          <w:rFonts w:ascii="Arial" w:cs="Arial" w:eastAsia="Arial" w:hAnsi="Arial"/>
          <w:sz w:val="12"/>
          <w:szCs w:val="12"/>
          <w:color w:val="auto"/>
        </w:rPr>
        <w:t>In April 2019, the Company entered into a Series A redeemable convertible preferred shares purchase agreement with certain investors to issue and sell 9,600,000 shares of its Series A redeemable convertible preferred shares at a price of  $1.6667 per share (the “Series A Purchase Price”) for total gross proceeds of $16.0 million. The issuance costs were $0.3 million.</w:t>
      </w:r>
    </w:p>
    <w:p>
      <w:pPr>
        <w:spacing w:after="0" w:line="77" w:lineRule="exact"/>
        <w:rPr>
          <w:sz w:val="20"/>
          <w:szCs w:val="20"/>
          <w:color w:val="auto"/>
        </w:rPr>
      </w:pPr>
    </w:p>
    <w:p>
      <w:pPr>
        <w:ind w:left="1560" w:right="1679"/>
        <w:spacing w:after="0" w:line="282" w:lineRule="auto"/>
        <w:rPr>
          <w:sz w:val="20"/>
          <w:szCs w:val="20"/>
          <w:color w:val="auto"/>
        </w:rPr>
      </w:pPr>
      <w:r>
        <w:rPr>
          <w:rFonts w:ascii="Arial" w:cs="Arial" w:eastAsia="Arial" w:hAnsi="Arial"/>
          <w:sz w:val="12"/>
          <w:szCs w:val="12"/>
          <w:color w:val="auto"/>
        </w:rPr>
        <w:t>The purchase agreement also provided for the issuance and sale to investors of an additional 9,600,000 Series A redeemable convertible preferred shares at the Series A Purchase Price upon achieving certain operational milestones (the “Milestone Closing”) around the selection of targeted programs and progress of certain candidate programs.</w:t>
      </w:r>
    </w:p>
    <w:p>
      <w:pPr>
        <w:spacing w:after="0" w:line="67" w:lineRule="exact"/>
        <w:rPr>
          <w:sz w:val="20"/>
          <w:szCs w:val="20"/>
          <w:color w:val="auto"/>
        </w:rPr>
      </w:pPr>
    </w:p>
    <w:p>
      <w:pPr>
        <w:ind w:left="1560" w:right="1579"/>
        <w:spacing w:after="0" w:line="282" w:lineRule="auto"/>
        <w:rPr>
          <w:sz w:val="20"/>
          <w:szCs w:val="20"/>
          <w:color w:val="auto"/>
        </w:rPr>
      </w:pPr>
      <w:r>
        <w:rPr>
          <w:rFonts w:ascii="Arial" w:cs="Arial" w:eastAsia="Arial" w:hAnsi="Arial"/>
          <w:sz w:val="12"/>
          <w:szCs w:val="12"/>
          <w:color w:val="auto"/>
        </w:rPr>
        <w:t>The issuance of Series A redeemable convertible preferred shares was recorded at the amount of proceeds received less issuance costs and the amounts allocated to the Milestone Closing liability (“redeemable convertible preferred shares tranche liability”). During the year ended December 31, 2019, the carrying value of the redeemable convertible preferred shares was adjusted to equal to its redemption value.</w:t>
      </w:r>
    </w:p>
    <w:p>
      <w:pPr>
        <w:spacing w:after="0" w:line="77" w:lineRule="exact"/>
        <w:rPr>
          <w:sz w:val="20"/>
          <w:szCs w:val="20"/>
          <w:color w:val="auto"/>
        </w:rPr>
      </w:pPr>
    </w:p>
    <w:p>
      <w:pPr>
        <w:ind w:left="1560" w:right="1879"/>
        <w:spacing w:after="0" w:line="288" w:lineRule="auto"/>
        <w:rPr>
          <w:sz w:val="20"/>
          <w:szCs w:val="20"/>
          <w:color w:val="auto"/>
        </w:rPr>
      </w:pPr>
      <w:r>
        <w:rPr>
          <w:rFonts w:ascii="Arial" w:cs="Arial" w:eastAsia="Arial" w:hAnsi="Arial"/>
          <w:sz w:val="12"/>
          <w:szCs w:val="12"/>
          <w:color w:val="auto"/>
        </w:rPr>
        <w:t>The Milestone Closing occurred on December 9, 2019, and the Company issued 9,600,000 Series A redeemable convertible preferred shares at $1.6667 per share for gross proceeds of  $16.0 million. The redeemable convertible preferred shares tranche liability was settled upon the Milestone Closing.</w:t>
      </w:r>
    </w:p>
    <w:p>
      <w:pPr>
        <w:spacing w:after="0" w:line="11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A+ Redeemable Convertible Preferred Shares</w:t>
      </w:r>
    </w:p>
    <w:p>
      <w:pPr>
        <w:spacing w:after="0" w:line="44" w:lineRule="exact"/>
        <w:rPr>
          <w:sz w:val="20"/>
          <w:szCs w:val="20"/>
          <w:color w:val="auto"/>
        </w:rPr>
      </w:pPr>
    </w:p>
    <w:p>
      <w:pPr>
        <w:ind w:left="1560" w:right="1639"/>
        <w:spacing w:after="0" w:line="282" w:lineRule="auto"/>
        <w:rPr>
          <w:sz w:val="20"/>
          <w:szCs w:val="20"/>
          <w:color w:val="auto"/>
        </w:rPr>
      </w:pPr>
      <w:r>
        <w:rPr>
          <w:rFonts w:ascii="Arial" w:cs="Arial" w:eastAsia="Arial" w:hAnsi="Arial"/>
          <w:sz w:val="12"/>
          <w:szCs w:val="12"/>
          <w:color w:val="auto"/>
        </w:rPr>
        <w:t>In March 2020, the Company entered into a Series A+ redeemable convertible preferred shares purchase agreement with certain investors to issue and sell 12,799,681 shares of its Series A+ redeemable convertible preferred shares at a price of  $2.0313 per share (the “Series A+ Purchase Price”) for total gross proceeds of  $26.0 million. The issuance costs were $0.2 million.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8" w:name="page269"/>
    <w:bookmarkEnd w:id="26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66" w:lineRule="exact"/>
        <w:rPr>
          <w:sz w:val="20"/>
          <w:szCs w:val="20"/>
          <w:color w:val="auto"/>
        </w:rPr>
      </w:pPr>
    </w:p>
    <w:p>
      <w:pPr>
        <w:ind w:left="1560" w:right="1599"/>
        <w:spacing w:after="0" w:line="280" w:lineRule="auto"/>
        <w:rPr>
          <w:sz w:val="20"/>
          <w:szCs w:val="20"/>
          <w:color w:val="auto"/>
        </w:rPr>
      </w:pPr>
      <w:r>
        <w:rPr>
          <w:rFonts w:ascii="Arial" w:cs="Arial" w:eastAsia="Arial" w:hAnsi="Arial"/>
          <w:sz w:val="12"/>
          <w:szCs w:val="12"/>
          <w:color w:val="auto"/>
        </w:rPr>
        <w:t>The issuance of Series A+ redeemable convertible preferred shares was recorded at the amount of proceeds received less issuance costs. During the year ended December 31, 2020, the carrying value of the redeemable convertible preferred shares was adjusted to equal to its redemption value.</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B Redeemable Convertible Preferred Shares</w:t>
      </w:r>
    </w:p>
    <w:p>
      <w:pPr>
        <w:spacing w:after="0" w:line="34" w:lineRule="exact"/>
        <w:rPr>
          <w:sz w:val="20"/>
          <w:szCs w:val="20"/>
          <w:color w:val="auto"/>
        </w:rPr>
      </w:pPr>
    </w:p>
    <w:p>
      <w:pPr>
        <w:ind w:left="1560" w:right="1639"/>
        <w:spacing w:after="0" w:line="271" w:lineRule="auto"/>
        <w:rPr>
          <w:sz w:val="20"/>
          <w:szCs w:val="20"/>
          <w:color w:val="auto"/>
        </w:rPr>
      </w:pPr>
      <w:r>
        <w:rPr>
          <w:rFonts w:ascii="Arial" w:cs="Arial" w:eastAsia="Arial" w:hAnsi="Arial"/>
          <w:sz w:val="12"/>
          <w:szCs w:val="12"/>
          <w:color w:val="auto"/>
        </w:rPr>
        <w:t>In July 2021, the Company entered into a Series B redeemable convertible preferred shares purchase agreement with certain investors to issue and sell 24,701,732 shares of its Series B redeemable convertible preferred shares at a price of  $4.0483 per share (the “Series B Purchase Price”) for total gross proceeds of $100.0 million. The issuance costs were $3.6 million.</w:t>
      </w:r>
    </w:p>
    <w:p>
      <w:pPr>
        <w:spacing w:after="0" w:line="73"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The issuance of Series B redeemable convertible preferred shares was recorded at the amount of proceeds received less issuance costs. During the year ended December 31, 2021, the carrying value of the redeemable convertible preferred shares was adjusted to equal to its redemption value.</w:t>
      </w:r>
    </w:p>
    <w:p>
      <w:pPr>
        <w:spacing w:after="0" w:line="68" w:lineRule="exact"/>
        <w:rPr>
          <w:sz w:val="20"/>
          <w:szCs w:val="20"/>
          <w:color w:val="auto"/>
        </w:rPr>
      </w:pPr>
    </w:p>
    <w:p>
      <w:pPr>
        <w:ind w:left="1560" w:right="1599"/>
        <w:spacing w:after="0" w:line="260" w:lineRule="auto"/>
        <w:rPr>
          <w:sz w:val="20"/>
          <w:szCs w:val="20"/>
          <w:color w:val="auto"/>
        </w:rPr>
      </w:pPr>
      <w:r>
        <w:rPr>
          <w:rFonts w:ascii="Arial" w:cs="Arial" w:eastAsia="Arial" w:hAnsi="Arial"/>
          <w:sz w:val="12"/>
          <w:szCs w:val="12"/>
          <w:color w:val="auto"/>
        </w:rPr>
        <w:t>In July 2021, the Company executed letter agreements with one of the investors and its affiliates granting them the right to purchase a certain number of the Company’s ordinary shares equal to the product of  (i) the total number of ordinary shares of the Company being sold in the Company’s first firm committed underwritten public offering of the capital stock of the Company (the “IPO”), and (ii) aggregate percentage ownership of the capital stock of the Company of the investor and its affiliates (the “IPO Participation Right”). The ordinary shares offered to the investor and its affiliates shall be offered on the same terms and price at which such ordinary shares are being offered to the public pursuant to the Company’s IPO. The purchase price of ordinary shares will be the fair value at the time of purchase as it will represent the fair value of the Company’s ordinary shares at the time of the IPO. IPO Participation Right has no fair value as it represents a right, not obligation, to purchase additional securities at fair value.</w:t>
      </w:r>
    </w:p>
    <w:p>
      <w:pPr>
        <w:spacing w:after="0" w:line="81" w:lineRule="exact"/>
        <w:rPr>
          <w:sz w:val="20"/>
          <w:szCs w:val="20"/>
          <w:color w:val="auto"/>
        </w:rPr>
      </w:pPr>
    </w:p>
    <w:p>
      <w:pPr>
        <w:ind w:left="1560" w:right="1919"/>
        <w:spacing w:after="0" w:line="280" w:lineRule="auto"/>
        <w:rPr>
          <w:sz w:val="20"/>
          <w:szCs w:val="20"/>
          <w:color w:val="auto"/>
        </w:rPr>
      </w:pPr>
      <w:r>
        <w:rPr>
          <w:rFonts w:ascii="Arial" w:cs="Arial" w:eastAsia="Arial" w:hAnsi="Arial"/>
          <w:sz w:val="12"/>
          <w:szCs w:val="12"/>
          <w:color w:val="auto"/>
        </w:rPr>
        <w:t>In April 2022, the Company issued and sold an additional 8,155,272 shares of its Series B redeemable convertible preferred shares for gross proceeds of  $33.0 million, pari-passu with the other Series B shareholders.</w:t>
      </w:r>
    </w:p>
    <w:p>
      <w:pPr>
        <w:spacing w:after="0" w:line="11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Series B-1 Redeemable Convertible Preferred Shares</w:t>
      </w:r>
    </w:p>
    <w:p>
      <w:pPr>
        <w:spacing w:after="0" w:line="34" w:lineRule="exact"/>
        <w:rPr>
          <w:sz w:val="20"/>
          <w:szCs w:val="20"/>
          <w:color w:val="auto"/>
        </w:rPr>
      </w:pPr>
    </w:p>
    <w:p>
      <w:pPr>
        <w:ind w:left="1560" w:right="1739"/>
        <w:spacing w:after="0" w:line="270" w:lineRule="auto"/>
        <w:rPr>
          <w:sz w:val="20"/>
          <w:szCs w:val="20"/>
          <w:color w:val="auto"/>
        </w:rPr>
      </w:pPr>
      <w:r>
        <w:rPr>
          <w:rFonts w:ascii="Arial" w:cs="Arial" w:eastAsia="Arial" w:hAnsi="Arial"/>
          <w:sz w:val="12"/>
          <w:szCs w:val="12"/>
          <w:color w:val="auto"/>
        </w:rPr>
        <w:t>In December 2021, the Company entered into a share exchange agreement with other investors of Series Seed redeemable convertible preferred shares of Basecamp. The Company issued 2,161,402 Series B-1 redeemable convertible preferred shares to the other investors of Series Seed redeemable convertible preferred shares of Basecamp to acquire the 7,000,000 Series Seed redeemable convertible preferred shares of Basecamp held by the other investors. The issuance costs were $0.1 million.</w:t>
      </w:r>
    </w:p>
    <w:p>
      <w:pPr>
        <w:spacing w:after="0" w:line="75" w:lineRule="exact"/>
        <w:rPr>
          <w:sz w:val="20"/>
          <w:szCs w:val="20"/>
          <w:color w:val="auto"/>
        </w:rPr>
      </w:pPr>
    </w:p>
    <w:p>
      <w:pPr>
        <w:ind w:left="1560" w:right="1659"/>
        <w:spacing w:after="0" w:line="266" w:lineRule="auto"/>
        <w:rPr>
          <w:sz w:val="20"/>
          <w:szCs w:val="20"/>
          <w:color w:val="auto"/>
        </w:rPr>
      </w:pPr>
      <w:r>
        <w:rPr>
          <w:rFonts w:ascii="Arial" w:cs="Arial" w:eastAsia="Arial" w:hAnsi="Arial"/>
          <w:sz w:val="12"/>
          <w:szCs w:val="12"/>
          <w:color w:val="auto"/>
        </w:rPr>
        <w:t>The issuance of Series B-1 redeemable convertible preferred shares was recorded at the fair value of the amount of Series B -1 redeemable convertible preferred shares. The fair value of Series B-1 redeemable convertible shares was determined by management with input from third-party valuation specialists. During the year ended December 31, 2021, the carrying value of the redeemable convertible preferred shares was adjusted to equal to its redemption value.</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Rights, Preferences and Privileges</w:t>
      </w:r>
    </w:p>
    <w:p>
      <w:pPr>
        <w:spacing w:after="0" w:line="34" w:lineRule="exact"/>
        <w:rPr>
          <w:sz w:val="20"/>
          <w:szCs w:val="20"/>
          <w:color w:val="auto"/>
        </w:rPr>
      </w:pPr>
    </w:p>
    <w:p>
      <w:pPr>
        <w:ind w:left="1560" w:right="1819"/>
        <w:spacing w:after="0" w:line="304" w:lineRule="auto"/>
        <w:rPr>
          <w:sz w:val="20"/>
          <w:szCs w:val="20"/>
          <w:color w:val="auto"/>
        </w:rPr>
      </w:pPr>
      <w:r>
        <w:rPr>
          <w:rFonts w:ascii="Arial" w:cs="Arial" w:eastAsia="Arial" w:hAnsi="Arial"/>
          <w:sz w:val="12"/>
          <w:szCs w:val="12"/>
          <w:color w:val="auto"/>
        </w:rPr>
        <w:t>The rights, preferences and privileges of the Company’s redeemable convertible preferred shares are as follows:</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Voting Rights</w:t>
      </w:r>
    </w:p>
    <w:p>
      <w:pPr>
        <w:spacing w:after="0" w:line="92" w:lineRule="exact"/>
        <w:rPr>
          <w:sz w:val="20"/>
          <w:szCs w:val="20"/>
          <w:color w:val="auto"/>
        </w:rPr>
      </w:pPr>
    </w:p>
    <w:p>
      <w:pPr>
        <w:ind w:left="1560" w:right="1699"/>
        <w:spacing w:after="0" w:line="272" w:lineRule="auto"/>
        <w:rPr>
          <w:sz w:val="20"/>
          <w:szCs w:val="20"/>
          <w:color w:val="auto"/>
        </w:rPr>
      </w:pPr>
      <w:r>
        <w:rPr>
          <w:rFonts w:ascii="Arial" w:cs="Arial" w:eastAsia="Arial" w:hAnsi="Arial"/>
          <w:sz w:val="12"/>
          <w:szCs w:val="12"/>
          <w:color w:val="auto"/>
        </w:rPr>
        <w:t>Each share of redeemable convertible preferred share has the same voting rights as the number of shares of ordinary shares into which it is convertible and votes together with the holders of ordinary shares as a single class.</w:t>
      </w:r>
    </w:p>
    <w:p>
      <w:pPr>
        <w:spacing w:after="0" w:line="72" w:lineRule="exact"/>
        <w:rPr>
          <w:sz w:val="20"/>
          <w:szCs w:val="20"/>
          <w:color w:val="auto"/>
        </w:rPr>
      </w:pPr>
    </w:p>
    <w:p>
      <w:pPr>
        <w:ind w:left="1560" w:right="1639"/>
        <w:spacing w:after="0" w:line="270" w:lineRule="auto"/>
        <w:rPr>
          <w:sz w:val="20"/>
          <w:szCs w:val="20"/>
          <w:color w:val="auto"/>
        </w:rPr>
      </w:pPr>
      <w:r>
        <w:rPr>
          <w:rFonts w:ascii="Arial" w:cs="Arial" w:eastAsia="Arial" w:hAnsi="Arial"/>
          <w:sz w:val="12"/>
          <w:szCs w:val="12"/>
          <w:color w:val="auto"/>
        </w:rPr>
        <w:t>The holders of shares of Series B redeemable convertible preferred shares shall be entitled, voting separately as a single class, to elect two directors of the Company (the “Series B Directors”). The holders of Series A+ redeemable convertible preferred shares shall be entitled, voting separately as a single class, to elect two directors of the Company (the “Series A+ Directors”). The holders of Series A redeemable convertible preferred</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9" w:name="page270"/>
    <w:bookmarkEnd w:id="26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639"/>
        <w:spacing w:after="0" w:line="283" w:lineRule="auto"/>
        <w:rPr>
          <w:sz w:val="20"/>
          <w:szCs w:val="20"/>
          <w:color w:val="auto"/>
        </w:rPr>
      </w:pPr>
      <w:r>
        <w:rPr>
          <w:rFonts w:ascii="Arial" w:cs="Arial" w:eastAsia="Arial" w:hAnsi="Arial"/>
          <w:sz w:val="12"/>
          <w:szCs w:val="12"/>
          <w:color w:val="auto"/>
        </w:rPr>
        <w:t>shares shall be entitled, voting separately as a single class, to elect two directors of the Company (the “Series A Directors”). The holders of ordinary shares shall be entitled, voting separately as a single class, to elect two directors of the Company. The holders of ordinary shares and redeemable convertible preferred shares shall be entitled, voting together, to elect the remaining directors of the Company.​</w:t>
      </w:r>
    </w:p>
    <w:p>
      <w:pPr>
        <w:spacing w:after="0" w:line="11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Dividends</w:t>
      </w:r>
    </w:p>
    <w:p>
      <w:pPr>
        <w:spacing w:after="0" w:line="92"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 xml:space="preserve">Holders of outstanding redeemable convertible preferred shares are entitled on a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basis, to participate ratably (on an as if converted to ordinary shares basis) in the payment of any dividends when, as and if declared by the board of directors on the ordinary shares. Dividends are noncumulative, and none were declared as of December 31, 2020 and 2021.</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Liquidation</w:t>
      </w:r>
    </w:p>
    <w:p>
      <w:pPr>
        <w:spacing w:after="0" w:line="92"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In the event of any liquidation, dissolution or winding up of the Company, or deemed liquidation event, either voluntary or involuntary (“Liquidation”), the holders of Series B-1 and Series B redeemable convertible preferred shares shall be entitled to receive, prior and in preference to any distribution of any of the assets of the Company to the holders of Series A+ and Series A redeemable convertible preferred shares and ordinary shares, an amount equal to $3.2386 per share and $4.0483 per share, respectively, plus all declared but unpaid dividends.</w:t>
      </w:r>
    </w:p>
    <w:p>
      <w:pPr>
        <w:spacing w:after="0" w:line="82"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If, upon the occurrence of the Liquidation, the assets and funds thus distributed among the holders of Series B-1 and Series B redeemable convertible preferred shares shall be insufficient to permit the payment to such holders of the full amounts, then the entire assets and funds of the Company legally available for distribution shall be distributed ratably among the holders of Series B-1 and Series B redeemable convertible preferred shares in proportion to the preferential amount each such holder is otherwise entitled to receive.</w:t>
      </w:r>
    </w:p>
    <w:p>
      <w:pPr>
        <w:spacing w:after="0" w:line="71"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After the payment to the holders of Series B-1 and Series B redeemable convertible preferred shares of the full preferential amounts specified above, the holders of Series A+ and Series A redeemable convertible preferred shares shall be entitled to receive, prior and in preference to any distribution of any of the assets of the Company to the holders of ordinary shares, an amount equal to $2.0313 per share and $1.6667 per share, respectively, plus all declared but unpaid dividends.</w:t>
      </w:r>
    </w:p>
    <w:p>
      <w:pPr>
        <w:spacing w:after="0" w:line="81"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If, upon the occurrence of the Liquidation, the assets and funds thus distributed among the holders of Series A+ and Series A redeemable convertible preferred shares shall be insufficient to permit the payment to such holders of the full amounts, then the entire assets and funds of the Company legally available for distribution shall be distributed ratably among the holders of Series A+ and Series A redeemable convertible preferred shares in proportion to the preferential amount each such holder is otherwise entitled to receive.</w:t>
      </w:r>
    </w:p>
    <w:p>
      <w:pPr>
        <w:spacing w:after="0" w:line="81" w:lineRule="exact"/>
        <w:rPr>
          <w:sz w:val="20"/>
          <w:szCs w:val="20"/>
          <w:color w:val="auto"/>
        </w:rPr>
      </w:pPr>
    </w:p>
    <w:p>
      <w:pPr>
        <w:ind w:left="1560" w:right="1659"/>
        <w:spacing w:after="0" w:line="275" w:lineRule="auto"/>
        <w:rPr>
          <w:sz w:val="20"/>
          <w:szCs w:val="20"/>
          <w:color w:val="auto"/>
        </w:rPr>
      </w:pPr>
      <w:r>
        <w:rPr>
          <w:rFonts w:ascii="Arial" w:cs="Arial" w:eastAsia="Arial" w:hAnsi="Arial"/>
          <w:sz w:val="12"/>
          <w:szCs w:val="12"/>
          <w:color w:val="auto"/>
        </w:rPr>
        <w:t>After the payment to the holders of redeemable convertible preferred shares of the full preferential amounts specified above, the remaining assets of the Company available for distribution to shareholders shall be distributed among the holders of ordinary shares and redeemable convertible preferred shares pro rata based on the number of shares held by each such holder if all shares of each such series of redeemable convertible preferred shares were converted to ordinary shares until such time as the aggregate amount distributed to the holders of redeemable convertible preferred shares is equal to three times the applicable original issue price per redeemable convertible preferred shares then held by them.</w:t>
      </w:r>
    </w:p>
    <w:p>
      <w:pPr>
        <w:spacing w:after="0" w:line="73" w:lineRule="exact"/>
        <w:rPr>
          <w:sz w:val="20"/>
          <w:szCs w:val="20"/>
          <w:color w:val="auto"/>
        </w:rPr>
      </w:pPr>
    </w:p>
    <w:p>
      <w:pPr>
        <w:ind w:left="1560" w:right="1699"/>
        <w:spacing w:after="0" w:line="282" w:lineRule="auto"/>
        <w:rPr>
          <w:sz w:val="20"/>
          <w:szCs w:val="20"/>
          <w:color w:val="auto"/>
        </w:rPr>
      </w:pPr>
      <w:r>
        <w:rPr>
          <w:rFonts w:ascii="Arial" w:cs="Arial" w:eastAsia="Arial" w:hAnsi="Arial"/>
          <w:sz w:val="12"/>
          <w:szCs w:val="12"/>
          <w:color w:val="auto"/>
        </w:rPr>
        <w:t>After the payment to the holders of ordinary shares and redeemable convertible preferred shares of the full amounts specified above, all of the remaining assets of the Company available for distribution to shareholders shall be distributed among the holders of ordinary shares pro rata based on the number of shares of ordinary shares held by each such holder.</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Conversion</w:t>
      </w:r>
    </w:p>
    <w:p>
      <w:pPr>
        <w:spacing w:after="0" w:line="92" w:lineRule="exact"/>
        <w:rPr>
          <w:sz w:val="20"/>
          <w:szCs w:val="20"/>
          <w:color w:val="auto"/>
        </w:rPr>
      </w:pPr>
    </w:p>
    <w:p>
      <w:pPr>
        <w:jc w:val="both"/>
        <w:ind w:left="1560" w:right="1859"/>
        <w:spacing w:after="0" w:line="288" w:lineRule="auto"/>
        <w:rPr>
          <w:sz w:val="20"/>
          <w:szCs w:val="20"/>
          <w:color w:val="auto"/>
        </w:rPr>
      </w:pPr>
      <w:r>
        <w:rPr>
          <w:rFonts w:ascii="Arial" w:cs="Arial" w:eastAsia="Arial" w:hAnsi="Arial"/>
          <w:sz w:val="12"/>
          <w:szCs w:val="12"/>
          <w:color w:val="auto"/>
        </w:rPr>
        <w:t>Each share of redeemable convertible preferred share is convertible, at the option of the holder, into the number of fully-paid and non-assessable ordinary shares that result from dividing the applicable original issue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0" w:name="page271"/>
    <w:bookmarkEnd w:id="27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799"/>
        <w:spacing w:after="0" w:line="328" w:lineRule="auto"/>
        <w:rPr>
          <w:sz w:val="20"/>
          <w:szCs w:val="20"/>
          <w:color w:val="auto"/>
        </w:rPr>
      </w:pPr>
      <w:r>
        <w:rPr>
          <w:rFonts w:ascii="Arial" w:cs="Arial" w:eastAsia="Arial" w:hAnsi="Arial"/>
          <w:sz w:val="12"/>
          <w:szCs w:val="12"/>
          <w:color w:val="auto"/>
        </w:rPr>
        <w:t>price per share by the applicable conversion price per share at the time of conversion. Redeemable convertible preferred shares are convertible into the Company’s ordinary shares on a one-for-one basis.​</w:t>
      </w:r>
    </w:p>
    <w:p>
      <w:pPr>
        <w:spacing w:after="0" w:line="164"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Each redeemable convertible preferred share is convertible into ordinary shares automatically immediately upon the earlier of  (i) the Company’s consummation of an initial public offering of the ordinary shares on an internationally recognized stock exchange (which may include, without limitation, the Hong Kong Exchange, the New York Stock Exchange or the Nasdaq Stock Market, but which shall not include the National Equities Exchange and Quotations of China) at a public offering price per share price that implies a market capitalization of the Company immediately prior to the offering of not less than $400.0 million, and having an aggregate offering amount of not less than $60.0 million (a “Qualified IPO”), or (ii) the Company’s receipt of a written request for such conversion from the holders of the majority of the then outstanding redeemable convertible preferred shares on an as-converted to ordinary shares basis.</w:t>
      </w:r>
    </w:p>
    <w:p>
      <w:pPr>
        <w:spacing w:after="0" w:line="33"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Redemption</w:t>
      </w:r>
    </w:p>
    <w:p>
      <w:pPr>
        <w:spacing w:after="0" w:line="34" w:lineRule="exact"/>
        <w:rPr>
          <w:sz w:val="20"/>
          <w:szCs w:val="20"/>
          <w:color w:val="auto"/>
        </w:rPr>
      </w:pPr>
    </w:p>
    <w:p>
      <w:pPr>
        <w:ind w:left="1560" w:right="1599"/>
        <w:spacing w:after="0" w:line="263" w:lineRule="auto"/>
        <w:rPr>
          <w:sz w:val="20"/>
          <w:szCs w:val="20"/>
          <w:color w:val="auto"/>
        </w:rPr>
      </w:pPr>
      <w:r>
        <w:rPr>
          <w:rFonts w:ascii="Arial" w:cs="Arial" w:eastAsia="Arial" w:hAnsi="Arial"/>
          <w:sz w:val="12"/>
          <w:szCs w:val="12"/>
          <w:color w:val="auto"/>
        </w:rPr>
        <w:t>The redeemable convertible preferred shares are recorded within mezzanine equity because they will become redeemable at the option of the shareholders upon the occurrence of certain deemed liquidation events that are considered not solely within the Company’s control on or after April 29, 2026. The Company made an accounting policy election to recognize changes in the redemption value of redeemable convertible preferred shares immediately as they occur and adjust the carrying value of redeemable convertible preferred shares to equal it to its redemption value at the end of each reporting period.</w:t>
      </w:r>
    </w:p>
    <w:p>
      <w:pPr>
        <w:spacing w:after="0" w:line="8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8. Basecamp Bio Inc.</w:t>
      </w:r>
    </w:p>
    <w:p>
      <w:pPr>
        <w:spacing w:after="0" w:line="113" w:lineRule="exact"/>
        <w:rPr>
          <w:sz w:val="20"/>
          <w:szCs w:val="20"/>
          <w:color w:val="auto"/>
        </w:rPr>
      </w:pPr>
    </w:p>
    <w:p>
      <w:pPr>
        <w:ind w:left="1560" w:right="1579"/>
        <w:spacing w:after="0" w:line="259" w:lineRule="auto"/>
        <w:rPr>
          <w:sz w:val="20"/>
          <w:szCs w:val="20"/>
          <w:color w:val="auto"/>
        </w:rPr>
      </w:pPr>
      <w:r>
        <w:rPr>
          <w:rFonts w:ascii="Arial" w:cs="Arial" w:eastAsia="Arial" w:hAnsi="Arial"/>
          <w:sz w:val="12"/>
          <w:szCs w:val="12"/>
          <w:color w:val="auto"/>
        </w:rPr>
        <w:t>In March 2021, Basecamp entered into a purchase agreement with certain investors to issue and sell 9,000,000 Series Seed redeemable convertible preferred shares of Basecamp at a price of  $1.00 per share for total gross proceeds of  $9.0 million. Of the 9,000,000 Series Seed redeemable convertible preferred shares, 2,000,000 shares were issued to the Company and the remaining 7,000,000 shares were issued to other existing investors of the Company. Concurrent with this financing, the Company and Basecamp entered into the License and Collaboration Agreement (the “License Agreement”) in which the Company granted Basecamp a license to use its proprietary structural biology technology platform to conduct a research program to discover, research and develop novel compounds for certain selected GPCR (G protein coupled receptor) targets and the Company received 14,000,000 ordinary shares of Basecamp in exchange. The Company shall make payments to Basecamp to fund the research program specified in the License Agreement, milestone payments if and when the certain milestones are achieved by Basecamp, and royalties related to net sales. The Company and Basecamp also executed a Services Agreement under which the Company provides research and development services, business development services, management and administrative services, operational services, intellectual property services to Basecamp in consideration for fees.</w:t>
      </w:r>
    </w:p>
    <w:p>
      <w:pPr>
        <w:spacing w:after="0" w:line="87" w:lineRule="exact"/>
        <w:rPr>
          <w:sz w:val="20"/>
          <w:szCs w:val="20"/>
          <w:color w:val="auto"/>
        </w:rPr>
      </w:pPr>
    </w:p>
    <w:p>
      <w:pPr>
        <w:ind w:left="1560" w:right="1599"/>
        <w:spacing w:after="0" w:line="265" w:lineRule="auto"/>
        <w:rPr>
          <w:sz w:val="20"/>
          <w:szCs w:val="20"/>
          <w:color w:val="auto"/>
        </w:rPr>
      </w:pPr>
      <w:r>
        <w:rPr>
          <w:rFonts w:ascii="Arial" w:cs="Arial" w:eastAsia="Arial" w:hAnsi="Arial"/>
          <w:sz w:val="12"/>
          <w:szCs w:val="12"/>
          <w:color w:val="auto"/>
        </w:rPr>
        <w:t>Basecamp was considered a variable interest entity and the Company consolidated Basecamp as it was considered the primary beneficiary. The Series Seed redeemable convertible preferred shares of Basecamp held by other investors were classified as redeemable noncontrolling interest in temporary equity because while it was not mandatorily redeemable, in the deemed liquidation event the redeemable convertible preferred shares might become redeemable at the option of the holders of at least a majority of the then outstanding shares after March 22, 2028. Losses of Basecamp were not attributed to the redeemable noncontrolling interest as the holders of Series Seed redeemable convertible preferred shares do not have a contractual obligation to share in Basecamp’s losses due to their liquidation preference right.</w:t>
      </w:r>
    </w:p>
    <w:p>
      <w:pPr>
        <w:spacing w:after="0" w:line="77" w:lineRule="exact"/>
        <w:rPr>
          <w:sz w:val="20"/>
          <w:szCs w:val="20"/>
          <w:color w:val="auto"/>
        </w:rPr>
      </w:pPr>
    </w:p>
    <w:p>
      <w:pPr>
        <w:ind w:left="1560" w:right="1619"/>
        <w:spacing w:after="0" w:line="262" w:lineRule="auto"/>
        <w:rPr>
          <w:sz w:val="20"/>
          <w:szCs w:val="20"/>
          <w:color w:val="auto"/>
        </w:rPr>
      </w:pPr>
      <w:r>
        <w:rPr>
          <w:rFonts w:ascii="Arial" w:cs="Arial" w:eastAsia="Arial" w:hAnsi="Arial"/>
          <w:sz w:val="12"/>
          <w:szCs w:val="12"/>
          <w:color w:val="auto"/>
        </w:rPr>
        <w:t>In December 2021, the Company acquired the 7,000,000 Series Seed redeemable convertible preferred shares of Basecamp held by the other investors in exchange for 2,161,402 Series B-1 redeemable convertible preferred shares of the Company with Basecamp becoming a wholly owned subsidiary of the Company. As the share exchange did not result in a change of control, the transaction was accounted as an equity transaction. Series B-1 redeemable convertible preferred shares were accounted for at fair value of $9.0 million, and $2.0 million representing the excess of the fair value over the carrying amount of noncontrolling interest on the date of share exchange of  $7.0 million was recorded in additional paid-in capital and accumulated deficit.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1" w:name="page272"/>
    <w:bookmarkEnd w:id="27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9. Ordinary Share Warrants</w:t>
      </w:r>
    </w:p>
    <w:p>
      <w:pPr>
        <w:spacing w:after="0" w:line="123"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In connection with the entering into the SVB Agreement on August 4, 2020, the Company issued SVB a warrant to purchase shares of the Company’s ordinary shares which were recorded at fair value within additional paid-in capital in shareholders’ deficit. The SVB Warrant had a fair value of  $0.1 million as of the issuance date and was recorded as a deferred asset within other non-current assets on the consolidated balance sheets that will be amortized to interest and other income (expense), net, on a straight-line basis until Tranche A and Tranche B availability end date. Upon each draw of the term loan, the Company will derecognize the proportionate unamortized amount of the deferred asset and account for it as a debt discount to the drawn term loan. The debt discount will be presented in the consolidated balance sheets as a direct adjustment to the carrying value of the term loan. The debt discount will be amortized using the effective interest rate method over the term of the drawn term loan as interest and other income (expense), net. The SVB Warrant is equity classified as it is indexed to the Company’s own shares and meets all other conditions for equity classification. The SVB Warrant is not subsequently remeasured and is immediately exercisable for 112,279 ordinary shares of the Company. In addition, the SVB Warrant could have been exercisable for an additional number of ordinary shares equal to 44,567 ordinary shares upon draw of Tranche A and 22,283 ordinary shares upon draw of Tranche B. The Tranche A shares expired on July 31, 2021, as the Company elected to allow the Tranche A financing to expire unused on July 31, 2021. The SVB Warrant has an exercise price of  $0.48 per share and expires in ten years. The shares related to Tranche A and B are not issued legally but considered outstanding for the accounting purposes upon execution of the SVB Agreement. The SVB Warrant was valued using the following assumptions under the Black-Scholes option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175260</wp:posOffset>
            </wp:positionV>
            <wp:extent cx="3733165"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394"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2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80" w:type="dxa"/>
            <w:vAlign w:val="bottom"/>
            <w:gridSpan w:val="3"/>
          </w:tcPr>
          <w:p>
            <w:pPr>
              <w:ind w:left="40"/>
              <w:spacing w:after="0"/>
              <w:rPr>
                <w:sz w:val="20"/>
                <w:szCs w:val="20"/>
                <w:color w:val="auto"/>
              </w:rPr>
            </w:pPr>
            <w:r>
              <w:rPr>
                <w:rFonts w:ascii="Arial" w:cs="Arial" w:eastAsia="Arial" w:hAnsi="Arial"/>
                <w:sz w:val="10"/>
                <w:szCs w:val="10"/>
                <w:b w:val="1"/>
                <w:bCs w:val="1"/>
                <w:color w:val="auto"/>
              </w:rPr>
              <w:t>AUGUST 4, 2020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20"/>
                <w:szCs w:val="20"/>
                <w:color w:val="auto"/>
              </w:rPr>
            </w:pPr>
            <w:r>
              <w:rPr>
                <w:rFonts w:ascii="Arial" w:cs="Arial" w:eastAsia="Arial" w:hAnsi="Arial"/>
                <w:sz w:val="10"/>
                <w:szCs w:val="10"/>
                <w:b w:val="1"/>
                <w:bCs w:val="1"/>
                <w:color w:val="auto"/>
              </w:rPr>
              <w:t>​</w:t>
            </w:r>
          </w:p>
        </w:tc>
        <w:tc>
          <w:tcPr>
            <w:tcW w:w="2940" w:type="dxa"/>
            <w:vAlign w:val="bottom"/>
            <w:gridSpan w:val="5"/>
          </w:tcPr>
          <w:p>
            <w:pPr>
              <w:jc w:val="right"/>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(ISSUANCE DATE)</w:t>
            </w:r>
            <w:r>
              <w:rPr>
                <w:rFonts w:ascii="Arial" w:cs="Arial" w:eastAsia="Arial" w:hAnsi="Arial"/>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980" w:type="dxa"/>
            <w:vAlign w:val="bottom"/>
          </w:tcPr>
          <w:p>
            <w:pPr>
              <w:spacing w:after="0"/>
              <w:rPr>
                <w:sz w:val="20"/>
                <w:szCs w:val="20"/>
                <w:color w:val="auto"/>
              </w:rPr>
            </w:pPr>
            <w:r>
              <w:rPr>
                <w:rFonts w:ascii="Arial" w:cs="Arial" w:eastAsia="Arial" w:hAnsi="Arial"/>
                <w:sz w:val="12"/>
                <w:szCs w:val="12"/>
                <w:color w:val="auto"/>
              </w:rPr>
              <w:t>Share price</w:t>
            </w:r>
          </w:p>
        </w:tc>
        <w:tc>
          <w:tcPr>
            <w:tcW w:w="1920" w:type="dxa"/>
            <w:vAlign w:val="bottom"/>
          </w:tcPr>
          <w:p>
            <w:pPr>
              <w:ind w:left="1800"/>
              <w:spacing w:after="0"/>
              <w:rPr>
                <w:sz w:val="20"/>
                <w:szCs w:val="20"/>
                <w:color w:val="auto"/>
              </w:rPr>
            </w:pPr>
            <w:r>
              <w:rPr>
                <w:rFonts w:ascii="Arial" w:cs="Arial" w:eastAsia="Arial" w:hAnsi="Arial"/>
                <w:sz w:val="12"/>
                <w:szCs w:val="12"/>
                <w:color w:val="auto"/>
              </w:rPr>
              <w:t>​ ​</w:t>
            </w:r>
          </w:p>
        </w:tc>
        <w:tc>
          <w:tcPr>
            <w:tcW w:w="320" w:type="dxa"/>
            <w:vAlign w:val="bottom"/>
          </w:tcPr>
          <w:p>
            <w:pPr>
              <w:ind w:left="200"/>
              <w:spacing w:after="0"/>
              <w:rPr>
                <w:sz w:val="20"/>
                <w:szCs w:val="20"/>
                <w:color w:val="auto"/>
              </w:rPr>
            </w:pPr>
            <w:r>
              <w:rPr>
                <w:rFonts w:ascii="Arial" w:cs="Arial" w:eastAsia="Arial" w:hAnsi="Arial"/>
                <w:sz w:val="12"/>
                <w:szCs w:val="12"/>
                <w:color w:val="auto"/>
                <w:w w:val="99"/>
              </w:rPr>
              <w:t>​ $</w:t>
            </w:r>
          </w:p>
        </w:tc>
        <w:tc>
          <w:tcPr>
            <w:tcW w:w="8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2"/>
                <w:szCs w:val="12"/>
                <w:color w:val="auto"/>
              </w:rPr>
              <w:t>0.48</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20"/>
                <w:szCs w:val="20"/>
                <w:color w:val="auto"/>
              </w:rPr>
            </w:pPr>
            <w:r>
              <w:rPr>
                <w:rFonts w:ascii="Arial" w:cs="Arial" w:eastAsia="Arial" w:hAnsi="Arial"/>
                <w:sz w:val="12"/>
                <w:szCs w:val="12"/>
                <w:color w:val="auto"/>
              </w:rPr>
              <w:t>Expected term (years)</w:t>
            </w:r>
          </w:p>
        </w:tc>
        <w:tc>
          <w:tcPr>
            <w:tcW w:w="1920" w:type="dxa"/>
            <w:vAlign w:val="bottom"/>
          </w:tcPr>
          <w:p>
            <w:pPr>
              <w:ind w:left="1800"/>
              <w:spacing w:after="0"/>
              <w:rPr>
                <w:sz w:val="20"/>
                <w:szCs w:val="20"/>
                <w:color w:val="auto"/>
              </w:rPr>
            </w:pPr>
            <w:r>
              <w:rPr>
                <w:rFonts w:ascii="Arial" w:cs="Arial" w:eastAsia="Arial" w:hAnsi="Arial"/>
                <w:sz w:val="12"/>
                <w:szCs w:val="12"/>
                <w:color w:val="auto"/>
              </w:rPr>
              <w:t>​ ​</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79"/>
              <w:spacing w:after="0"/>
              <w:rPr>
                <w:sz w:val="20"/>
                <w:szCs w:val="20"/>
                <w:color w:val="auto"/>
              </w:rPr>
            </w:pPr>
            <w:r>
              <w:rPr>
                <w:rFonts w:ascii="Arial" w:cs="Arial" w:eastAsia="Arial" w:hAnsi="Arial"/>
                <w:sz w:val="12"/>
                <w:szCs w:val="12"/>
                <w:color w:val="auto"/>
              </w:rPr>
              <w:t>10.00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20"/>
                <w:szCs w:val="20"/>
                <w:color w:val="auto"/>
              </w:rPr>
            </w:pPr>
            <w:r>
              <w:rPr>
                <w:rFonts w:ascii="Arial" w:cs="Arial" w:eastAsia="Arial" w:hAnsi="Arial"/>
                <w:sz w:val="12"/>
                <w:szCs w:val="12"/>
                <w:color w:val="auto"/>
              </w:rPr>
              <w:t>Expected volatility</w:t>
            </w:r>
          </w:p>
        </w:tc>
        <w:tc>
          <w:tcPr>
            <w:tcW w:w="1920" w:type="dxa"/>
            <w:vAlign w:val="bottom"/>
          </w:tcPr>
          <w:p>
            <w:pPr>
              <w:ind w:left="1800"/>
              <w:spacing w:after="0"/>
              <w:rPr>
                <w:sz w:val="20"/>
                <w:szCs w:val="20"/>
                <w:color w:val="auto"/>
              </w:rPr>
            </w:pPr>
            <w:r>
              <w:rPr>
                <w:rFonts w:ascii="Arial" w:cs="Arial" w:eastAsia="Arial" w:hAnsi="Arial"/>
                <w:sz w:val="12"/>
                <w:szCs w:val="12"/>
                <w:color w:val="auto"/>
              </w:rPr>
              <w:t>​ ​</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83.3%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920" w:type="dxa"/>
            <w:vAlign w:val="bottom"/>
          </w:tcPr>
          <w:p>
            <w:pPr>
              <w:ind w:left="1800"/>
              <w:spacing w:after="0"/>
              <w:rPr>
                <w:sz w:val="20"/>
                <w:szCs w:val="20"/>
                <w:color w:val="auto"/>
              </w:rPr>
            </w:pPr>
            <w:r>
              <w:rPr>
                <w:rFonts w:ascii="Arial" w:cs="Arial" w:eastAsia="Arial" w:hAnsi="Arial"/>
                <w:sz w:val="12"/>
                <w:szCs w:val="12"/>
                <w:color w:val="auto"/>
              </w:rPr>
              <w:t>​ ​</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0.52%</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20"/>
                <w:szCs w:val="20"/>
                <w:color w:val="auto"/>
              </w:rPr>
            </w:pPr>
            <w:r>
              <w:rPr>
                <w:rFonts w:ascii="Arial" w:cs="Arial" w:eastAsia="Arial" w:hAnsi="Arial"/>
                <w:sz w:val="12"/>
                <w:szCs w:val="12"/>
                <w:color w:val="auto"/>
              </w:rPr>
              <w:t>Dividend yield</w:t>
            </w:r>
          </w:p>
        </w:tc>
        <w:tc>
          <w:tcPr>
            <w:tcW w:w="1920" w:type="dxa"/>
            <w:vAlign w:val="bottom"/>
            <w:vMerge w:val="restart"/>
          </w:tcPr>
          <w:p>
            <w:pPr>
              <w:ind w:left="1800"/>
              <w:spacing w:after="0"/>
              <w:rPr>
                <w:sz w:val="20"/>
                <w:szCs w:val="20"/>
                <w:color w:val="auto"/>
              </w:rPr>
            </w:pPr>
            <w:r>
              <w:rPr>
                <w:rFonts w:ascii="Arial" w:cs="Arial" w:eastAsia="Arial" w:hAnsi="Arial"/>
                <w:sz w:val="12"/>
                <w:szCs w:val="12"/>
                <w:color w:val="auto"/>
              </w:rPr>
              <w:t>​ ​</w:t>
            </w:r>
          </w:p>
        </w:tc>
        <w:tc>
          <w:tcPr>
            <w:tcW w:w="320" w:type="dxa"/>
            <w:vAlign w:val="bottom"/>
            <w:vMerge w:val="restart"/>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-208280</wp:posOffset>
            </wp:positionV>
            <wp:extent cx="3733165" cy="2025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733165" cy="2025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-675005</wp:posOffset>
            </wp:positionV>
            <wp:extent cx="3733165" cy="1168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7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10. Ordinary Shares</w:t>
      </w:r>
    </w:p>
    <w:p>
      <w:pPr>
        <w:spacing w:after="0" w:line="113" w:lineRule="exact"/>
        <w:rPr>
          <w:sz w:val="20"/>
          <w:szCs w:val="20"/>
          <w:color w:val="auto"/>
        </w:rPr>
      </w:pPr>
    </w:p>
    <w:p>
      <w:pPr>
        <w:ind w:left="1560" w:right="1759"/>
        <w:spacing w:after="0" w:line="308" w:lineRule="auto"/>
        <w:rPr>
          <w:sz w:val="20"/>
          <w:szCs w:val="20"/>
          <w:color w:val="auto"/>
        </w:rPr>
      </w:pPr>
      <w:r>
        <w:rPr>
          <w:rFonts w:ascii="Arial" w:cs="Arial" w:eastAsia="Arial" w:hAnsi="Arial"/>
          <w:sz w:val="12"/>
          <w:szCs w:val="12"/>
          <w:color w:val="auto"/>
        </w:rPr>
        <w:t>The Company’s Memorandum and Articles of Association, as amended, authorizes the Company to issue 441,137,185 ordinary shares with a par value of  $0.0001 per share, as of December 31, 2021.</w:t>
      </w:r>
    </w:p>
    <w:p>
      <w:pPr>
        <w:spacing w:after="0" w:line="62" w:lineRule="exact"/>
        <w:rPr>
          <w:sz w:val="20"/>
          <w:szCs w:val="20"/>
          <w:color w:val="auto"/>
        </w:rPr>
      </w:pPr>
    </w:p>
    <w:p>
      <w:pPr>
        <w:ind w:left="1560" w:right="1579"/>
        <w:spacing w:after="0" w:line="288" w:lineRule="auto"/>
        <w:rPr>
          <w:sz w:val="20"/>
          <w:szCs w:val="20"/>
          <w:color w:val="auto"/>
        </w:rPr>
      </w:pPr>
      <w:r>
        <w:rPr>
          <w:rFonts w:ascii="Arial" w:cs="Arial" w:eastAsia="Arial" w:hAnsi="Arial"/>
          <w:sz w:val="12"/>
          <w:szCs w:val="12"/>
          <w:color w:val="auto"/>
        </w:rPr>
        <w:t>Ordinary shareholders are entitled to dividends if and when declared by the Company’s board of directors subject to the prior rights of the preferred shareholders. As of December 31, 2020 and 2021, no dividends on ordinary shares had been declared by the board of directors.</w:t>
      </w:r>
    </w:p>
    <w:p>
      <w:pPr>
        <w:spacing w:after="0" w:line="7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Company has the following ordinary shares reserved for future issuance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52"/>
        </w:trPr>
        <w:tc>
          <w:tcPr>
            <w:tcW w:w="9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ind w:left="840"/>
              <w:spacing w:after="0"/>
              <w:rPr>
                <w:sz w:val="20"/>
                <w:szCs w:val="20"/>
                <w:color w:val="auto"/>
              </w:rPr>
            </w:pPr>
            <w:r>
              <w:rPr>
                <w:rFonts w:ascii="Arial" w:cs="Arial" w:eastAsia="Arial" w:hAnsi="Arial"/>
                <w:sz w:val="10"/>
                <w:szCs w:val="10"/>
                <w:b w:val="1"/>
                <w:bCs w:val="1"/>
                <w:color w:val="auto"/>
              </w:rPr>
              <w:t>​ ​</w:t>
            </w: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DECEMBER 31,</w:t>
            </w:r>
          </w:p>
        </w:tc>
        <w:tc>
          <w:tcPr>
            <w:tcW w:w="900" w:type="dxa"/>
            <w:vAlign w:val="bottom"/>
          </w:tcPr>
          <w:p>
            <w:pPr>
              <w:jc w:val="right"/>
              <w:ind w:right="803"/>
              <w:spacing w:after="0"/>
              <w:rPr>
                <w:sz w:val="20"/>
                <w:szCs w:val="20"/>
                <w:color w:val="auto"/>
              </w:rPr>
            </w:pPr>
            <w:r>
              <w:rPr>
                <w:rFonts w:ascii="Arial" w:cs="Arial" w:eastAsia="Arial" w:hAnsi="Arial"/>
                <w:sz w:val="10"/>
                <w:szCs w:val="10"/>
                <w:b w:val="1"/>
                <w:bCs w:val="1"/>
                <w:color w:val="auto"/>
              </w:rPr>
              <w:t>​</w:t>
            </w:r>
          </w:p>
        </w:tc>
      </w:tr>
      <w:tr>
        <w:trPr>
          <w:trHeight w:val="154"/>
        </w:trPr>
        <w:tc>
          <w:tcPr>
            <w:tcW w:w="9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ind w:left="88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560" w:type="dxa"/>
            <w:vAlign w:val="bottom"/>
            <w:gridSpan w:val="3"/>
          </w:tcPr>
          <w:p>
            <w:pPr>
              <w:ind w:left="20"/>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 ​</w:t>
            </w:r>
          </w:p>
        </w:tc>
        <w:tc>
          <w:tcPr>
            <w:tcW w:w="360" w:type="dxa"/>
            <w:vAlign w:val="bottom"/>
          </w:tcPr>
          <w:p>
            <w:pPr>
              <w:jc w:val="right"/>
              <w:ind w:right="22"/>
              <w:spacing w:after="0"/>
              <w:rPr>
                <w:sz w:val="20"/>
                <w:szCs w:val="20"/>
                <w:color w:val="auto"/>
              </w:rPr>
            </w:pPr>
            <w:r>
              <w:rPr>
                <w:rFonts w:ascii="Arial" w:cs="Arial" w:eastAsia="Arial" w:hAnsi="Arial"/>
                <w:sz w:val="10"/>
                <w:szCs w:val="10"/>
                <w:b w:val="1"/>
                <w:bCs w:val="1"/>
                <w:color w:val="auto"/>
              </w:rPr>
              <w:t>2021</w:t>
            </w:r>
          </w:p>
        </w:tc>
        <w:tc>
          <w:tcPr>
            <w:tcW w:w="900" w:type="dxa"/>
            <w:vAlign w:val="bottom"/>
          </w:tcPr>
          <w:p>
            <w:pPr>
              <w:jc w:val="right"/>
              <w:ind w:right="803"/>
              <w:spacing w:after="0"/>
              <w:rPr>
                <w:sz w:val="20"/>
                <w:szCs w:val="20"/>
                <w:color w:val="auto"/>
              </w:rPr>
            </w:pPr>
            <w:r>
              <w:rPr>
                <w:rFonts w:ascii="Arial" w:cs="Arial" w:eastAsia="Arial" w:hAnsi="Arial"/>
                <w:sz w:val="10"/>
                <w:szCs w:val="10"/>
                <w:b w:val="1"/>
                <w:bCs w:val="1"/>
                <w:color w:val="auto"/>
              </w:rPr>
              <w:t>​</w:t>
            </w:r>
          </w:p>
        </w:tc>
      </w:tr>
      <w:tr>
        <w:trPr>
          <w:trHeight w:val="20"/>
        </w:trPr>
        <w:tc>
          <w:tcPr>
            <w:tcW w:w="90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4"/>
        </w:trPr>
        <w:tc>
          <w:tcPr>
            <w:tcW w:w="90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Conversion of redeemable convertible preferred shares</w:t>
            </w:r>
          </w:p>
        </w:tc>
        <w:tc>
          <w:tcPr>
            <w:tcW w:w="1980" w:type="dxa"/>
            <w:vAlign w:val="bottom"/>
            <w:gridSpan w:val="6"/>
            <w:shd w:val="clear" w:color="auto" w:fill="CCEEFF"/>
          </w:tcPr>
          <w:p>
            <w:pPr>
              <w:ind w:left="880"/>
              <w:spacing w:after="0"/>
              <w:rPr>
                <w:sz w:val="20"/>
                <w:szCs w:val="20"/>
                <w:color w:val="auto"/>
              </w:rPr>
            </w:pPr>
            <w:r>
              <w:rPr>
                <w:rFonts w:ascii="Arial" w:cs="Arial" w:eastAsia="Arial" w:hAnsi="Arial"/>
                <w:sz w:val="12"/>
                <w:szCs w:val="12"/>
                <w:color w:val="auto"/>
              </w:rPr>
              <w:t>​ ​​32,000​​ ​​58,863</w:t>
            </w:r>
          </w:p>
        </w:tc>
        <w:tc>
          <w:tcPr>
            <w:tcW w:w="900" w:type="dxa"/>
            <w:vAlign w:val="bottom"/>
          </w:tcPr>
          <w:p>
            <w:pPr>
              <w:jc w:val="right"/>
              <w:ind w:right="803"/>
              <w:spacing w:after="0"/>
              <w:rPr>
                <w:sz w:val="20"/>
                <w:szCs w:val="20"/>
                <w:color w:val="auto"/>
              </w:rPr>
            </w:pPr>
            <w:r>
              <w:rPr>
                <w:rFonts w:ascii="Arial" w:cs="Arial" w:eastAsia="Arial" w:hAnsi="Arial"/>
                <w:sz w:val="12"/>
                <w:szCs w:val="12"/>
                <w:color w:val="auto"/>
              </w:rPr>
              <w:t>​</w:t>
            </w:r>
          </w:p>
        </w:tc>
      </w:tr>
      <w:tr>
        <w:trPr>
          <w:trHeight w:val="184"/>
        </w:trPr>
        <w:tc>
          <w:tcPr>
            <w:tcW w:w="90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2"/>
                <w:szCs w:val="12"/>
                <w:color w:val="auto"/>
              </w:rPr>
              <w:t>Share options available for future grant</w:t>
            </w:r>
          </w:p>
        </w:tc>
        <w:tc>
          <w:tcPr>
            <w:tcW w:w="1060" w:type="dxa"/>
            <w:vAlign w:val="bottom"/>
            <w:gridSpan w:val="2"/>
          </w:tcPr>
          <w:p>
            <w:pPr>
              <w:ind w:left="880"/>
              <w:spacing w:after="0"/>
              <w:rPr>
                <w:sz w:val="20"/>
                <w:szCs w:val="20"/>
                <w:color w:val="auto"/>
              </w:rPr>
            </w:pPr>
            <w:r>
              <w:rPr>
                <w:rFonts w:ascii="Arial" w:cs="Arial" w:eastAsia="Arial" w:hAnsi="Arial"/>
                <w:sz w:val="12"/>
                <w:szCs w:val="12"/>
                <w:color w:val="auto"/>
              </w:rPr>
              <w:t>​ ​​</w:t>
            </w:r>
          </w:p>
        </w:tc>
        <w:tc>
          <w:tcPr>
            <w:tcW w:w="560" w:type="dxa"/>
            <w:vAlign w:val="bottom"/>
            <w:gridSpan w:val="3"/>
          </w:tcPr>
          <w:p>
            <w:pPr>
              <w:jc w:val="right"/>
              <w:ind w:right="20"/>
              <w:spacing w:after="0"/>
              <w:rPr>
                <w:sz w:val="20"/>
                <w:szCs w:val="20"/>
                <w:color w:val="auto"/>
              </w:rPr>
            </w:pPr>
            <w:r>
              <w:rPr>
                <w:rFonts w:ascii="Arial" w:cs="Arial" w:eastAsia="Arial" w:hAnsi="Arial"/>
                <w:sz w:val="12"/>
                <w:szCs w:val="12"/>
                <w:color w:val="auto"/>
              </w:rPr>
              <w:t>1,961​​ ​​</w:t>
            </w:r>
          </w:p>
        </w:tc>
        <w:tc>
          <w:tcPr>
            <w:tcW w:w="1260" w:type="dxa"/>
            <w:vAlign w:val="bottom"/>
            <w:gridSpan w:val="2"/>
          </w:tcPr>
          <w:p>
            <w:pPr>
              <w:jc w:val="right"/>
              <w:ind w:right="803"/>
              <w:spacing w:after="0"/>
              <w:rPr>
                <w:sz w:val="20"/>
                <w:szCs w:val="20"/>
                <w:color w:val="auto"/>
              </w:rPr>
            </w:pPr>
            <w:r>
              <w:rPr>
                <w:rFonts w:ascii="Arial" w:cs="Arial" w:eastAsia="Arial" w:hAnsi="Arial"/>
                <w:sz w:val="12"/>
                <w:szCs w:val="12"/>
                <w:color w:val="auto"/>
              </w:rPr>
              <w:t>4,026​</w:t>
            </w:r>
          </w:p>
        </w:tc>
      </w:tr>
      <w:tr>
        <w:trPr>
          <w:trHeight w:val="184"/>
        </w:trPr>
        <w:tc>
          <w:tcPr>
            <w:tcW w:w="90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Share options issued and outstanding</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 ​​</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1,524​​ ​​</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4,646</w:t>
            </w:r>
          </w:p>
        </w:tc>
        <w:tc>
          <w:tcPr>
            <w:tcW w:w="900" w:type="dxa"/>
            <w:vAlign w:val="bottom"/>
          </w:tcPr>
          <w:p>
            <w:pPr>
              <w:jc w:val="right"/>
              <w:ind w:right="803"/>
              <w:spacing w:after="0"/>
              <w:rPr>
                <w:sz w:val="20"/>
                <w:szCs w:val="20"/>
                <w:color w:val="auto"/>
              </w:rPr>
            </w:pPr>
            <w:r>
              <w:rPr>
                <w:rFonts w:ascii="Arial" w:cs="Arial" w:eastAsia="Arial" w:hAnsi="Arial"/>
                <w:sz w:val="12"/>
                <w:szCs w:val="12"/>
                <w:color w:val="auto"/>
              </w:rPr>
              <w:t>​</w:t>
            </w:r>
          </w:p>
        </w:tc>
      </w:tr>
      <w:tr>
        <w:trPr>
          <w:trHeight w:val="193"/>
        </w:trPr>
        <w:tc>
          <w:tcPr>
            <w:tcW w:w="90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2"/>
                <w:szCs w:val="12"/>
                <w:color w:val="auto"/>
              </w:rPr>
              <w:t>Ordinary share warrants</w:t>
            </w:r>
          </w:p>
        </w:tc>
        <w:tc>
          <w:tcPr>
            <w:tcW w:w="1060" w:type="dxa"/>
            <w:vAlign w:val="bottom"/>
            <w:gridSpan w:val="2"/>
          </w:tcPr>
          <w:p>
            <w:pPr>
              <w:ind w:left="88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perscript"/>
              </w:rPr>
              <w:t>​</w:t>
            </w:r>
          </w:p>
        </w:tc>
        <w:tc>
          <w:tcPr>
            <w:tcW w:w="560" w:type="dxa"/>
            <w:vAlign w:val="bottom"/>
            <w:gridSpan w:val="3"/>
          </w:tcPr>
          <w:p>
            <w:pPr>
              <w:jc w:val="right"/>
              <w:ind w:right="20"/>
              <w:spacing w:after="0" w:line="193" w:lineRule="exact"/>
              <w:rPr>
                <w:sz w:val="20"/>
                <w:szCs w:val="20"/>
                <w:color w:val="auto"/>
              </w:rPr>
            </w:pPr>
            <w:r>
              <w:rPr>
                <w:rFonts w:ascii="Arial" w:cs="Arial" w:eastAsia="Arial" w:hAnsi="Arial"/>
                <w:sz w:val="12"/>
                <w:szCs w:val="12"/>
                <w:color w:val="auto"/>
              </w:rPr>
              <w:t>179</w:t>
            </w:r>
            <w:r>
              <w:rPr>
                <w:rFonts w:ascii="Arial" w:cs="Arial" w:eastAsia="Arial" w:hAnsi="Arial"/>
                <w:sz w:val="22"/>
                <w:szCs w:val="22"/>
                <w:color w:val="auto"/>
                <w:vertAlign w:val="subscript"/>
              </w:rPr>
              <w:t>​​ ​​</w:t>
            </w:r>
            <w:r>
              <w:rPr>
                <w:rFonts w:ascii="Arial" w:cs="Arial" w:eastAsia="Arial" w:hAnsi="Arial"/>
                <w:sz w:val="12"/>
                <w:szCs w:val="12"/>
                <w:color w:val="auto"/>
              </w:rPr>
              <w:t>​</w:t>
            </w:r>
          </w:p>
        </w:tc>
        <w:tc>
          <w:tcPr>
            <w:tcW w:w="1260" w:type="dxa"/>
            <w:vAlign w:val="bottom"/>
            <w:gridSpan w:val="2"/>
          </w:tcPr>
          <w:p>
            <w:pPr>
              <w:jc w:val="right"/>
              <w:ind w:right="803"/>
              <w:spacing w:after="0" w:line="193" w:lineRule="exact"/>
              <w:rPr>
                <w:sz w:val="20"/>
                <w:szCs w:val="20"/>
                <w:color w:val="auto"/>
              </w:rPr>
            </w:pPr>
            <w:r>
              <w:rPr>
                <w:rFonts w:ascii="Arial" w:cs="Arial" w:eastAsia="Arial" w:hAnsi="Arial"/>
                <w:sz w:val="12"/>
                <w:szCs w:val="12"/>
                <w:color w:val="auto"/>
              </w:rPr>
              <w:t>135</w:t>
            </w:r>
            <w:r>
              <w:rPr>
                <w:rFonts w:ascii="Arial" w:cs="Arial" w:eastAsia="Arial" w:hAnsi="Arial"/>
                <w:sz w:val="22"/>
                <w:szCs w:val="22"/>
                <w:color w:val="auto"/>
                <w:vertAlign w:val="subscript"/>
              </w:rPr>
              <w:t>​</w:t>
            </w:r>
          </w:p>
        </w:tc>
      </w:tr>
      <w:tr>
        <w:trPr>
          <w:trHeight w:val="20"/>
        </w:trPr>
        <w:tc>
          <w:tcPr>
            <w:tcW w:w="90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900" w:type="dxa"/>
            <w:vAlign w:val="bottom"/>
          </w:tcPr>
          <w:p>
            <w:pPr>
              <w:spacing w:after="0"/>
              <w:rPr>
                <w:sz w:val="16"/>
                <w:szCs w:val="16"/>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ordinary shares reserved</w:t>
            </w:r>
          </w:p>
        </w:tc>
        <w:tc>
          <w:tcPr>
            <w:tcW w:w="1980" w:type="dxa"/>
            <w:vAlign w:val="bottom"/>
            <w:gridSpan w:val="6"/>
            <w:shd w:val="clear" w:color="auto" w:fill="CCEEFF"/>
          </w:tcPr>
          <w:p>
            <w:pPr>
              <w:ind w:left="880"/>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​35,664</w:t>
            </w:r>
            <w:r>
              <w:rPr>
                <w:rFonts w:ascii="Arial" w:cs="Arial" w:eastAsia="Arial" w:hAnsi="Arial"/>
                <w:sz w:val="20"/>
                <w:szCs w:val="20"/>
                <w:color w:val="auto"/>
                <w:vertAlign w:val="subscript"/>
              </w:rPr>
              <w:t>​​ ​​</w:t>
            </w:r>
            <w:r>
              <w:rPr>
                <w:rFonts w:ascii="Arial" w:cs="Arial" w:eastAsia="Arial" w:hAnsi="Arial"/>
                <w:sz w:val="11"/>
                <w:szCs w:val="11"/>
                <w:color w:val="auto"/>
              </w:rPr>
              <w:t>​67,670</w:t>
            </w:r>
          </w:p>
        </w:tc>
        <w:tc>
          <w:tcPr>
            <w:tcW w:w="900" w:type="dxa"/>
            <w:vAlign w:val="bottom"/>
          </w:tcPr>
          <w:p>
            <w:pPr>
              <w:jc w:val="right"/>
              <w:ind w:right="803"/>
              <w:spacing w:after="0"/>
              <w:rPr>
                <w:sz w:val="20"/>
                <w:szCs w:val="20"/>
                <w:color w:val="auto"/>
              </w:rPr>
            </w:pPr>
            <w:r>
              <w:rPr>
                <w:rFonts w:ascii="Arial" w:cs="Arial" w:eastAsia="Arial" w:hAnsi="Arial"/>
                <w:sz w:val="12"/>
                <w:szCs w:val="12"/>
                <w:color w:val="auto"/>
              </w:rPr>
              <w:t>​</w:t>
            </w:r>
          </w:p>
        </w:tc>
      </w:tr>
      <w:tr>
        <w:trPr>
          <w:trHeight w:val="77"/>
        </w:trPr>
        <w:tc>
          <w:tcPr>
            <w:tcW w:w="900" w:type="dxa"/>
            <w:vAlign w:val="bottom"/>
          </w:tcPr>
          <w:p>
            <w:pPr>
              <w:spacing w:after="0"/>
              <w:rPr>
                <w:sz w:val="6"/>
                <w:szCs w:val="6"/>
                <w:color w:val="auto"/>
              </w:rPr>
            </w:pPr>
          </w:p>
        </w:tc>
        <w:tc>
          <w:tcPr>
            <w:tcW w:w="3900" w:type="dxa"/>
            <w:vAlign w:val="bottom"/>
            <w:tcBorders>
              <w:top w:val="single" w:sz="8" w:color="CCEEFF"/>
              <w:bottom w:val="single" w:sz="8" w:color="auto"/>
            </w:tcBorders>
          </w:tcPr>
          <w:p>
            <w:pPr>
              <w:spacing w:after="0"/>
              <w:rPr>
                <w:sz w:val="6"/>
                <w:szCs w:val="6"/>
                <w:color w:val="auto"/>
              </w:rPr>
            </w:pPr>
          </w:p>
        </w:tc>
        <w:tc>
          <w:tcPr>
            <w:tcW w:w="100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spacing w:after="0"/>
              <w:rPr>
                <w:sz w:val="6"/>
                <w:szCs w:val="6"/>
                <w:color w:val="auto"/>
              </w:rPr>
            </w:pPr>
          </w:p>
        </w:tc>
        <w:tc>
          <w:tcPr>
            <w:tcW w:w="900" w:type="dxa"/>
            <w:vAlign w:val="bottom"/>
          </w:tcPr>
          <w:p>
            <w:pPr>
              <w:spacing w:after="0"/>
              <w:rPr>
                <w:sz w:val="6"/>
                <w:szCs w:val="6"/>
                <w:color w:val="auto"/>
              </w:rPr>
            </w:pPr>
          </w:p>
        </w:tc>
      </w:tr>
      <w:tr>
        <w:trPr>
          <w:trHeight w:val="441"/>
        </w:trPr>
        <w:tc>
          <w:tcPr>
            <w:tcW w:w="900" w:type="dxa"/>
            <w:vAlign w:val="bottom"/>
          </w:tcPr>
          <w:p>
            <w:pPr>
              <w:spacing w:after="0"/>
              <w:rPr>
                <w:sz w:val="24"/>
                <w:szCs w:val="24"/>
                <w:color w:val="auto"/>
              </w:rPr>
            </w:pPr>
          </w:p>
        </w:tc>
        <w:tc>
          <w:tcPr>
            <w:tcW w:w="3900" w:type="dxa"/>
            <w:vAlign w:val="bottom"/>
          </w:tcPr>
          <w:p>
            <w:pPr>
              <w:ind w:left="2820"/>
              <w:spacing w:after="0"/>
              <w:rPr>
                <w:sz w:val="20"/>
                <w:szCs w:val="20"/>
                <w:color w:val="auto"/>
              </w:rPr>
            </w:pPr>
            <w:r>
              <w:rPr>
                <w:rFonts w:ascii="Arial" w:cs="Arial" w:eastAsia="Arial" w:hAnsi="Arial"/>
                <w:sz w:val="12"/>
                <w:szCs w:val="12"/>
                <w:color w:val="auto"/>
              </w:rPr>
              <w:t>F-23</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3"/>
        </w:trPr>
        <w:tc>
          <w:tcPr>
            <w:tcW w:w="900" w:type="dxa"/>
            <w:vAlign w:val="bottom"/>
            <w:tcBorders>
              <w:bottom w:val="single" w:sz="8" w:color="9A9A9A"/>
            </w:tcBorders>
          </w:tcPr>
          <w:p>
            <w:pPr>
              <w:spacing w:after="0"/>
              <w:rPr>
                <w:sz w:val="23"/>
                <w:szCs w:val="23"/>
                <w:color w:val="auto"/>
              </w:rPr>
            </w:pPr>
          </w:p>
        </w:tc>
        <w:tc>
          <w:tcPr>
            <w:tcW w:w="3900" w:type="dxa"/>
            <w:vAlign w:val="bottom"/>
            <w:tcBorders>
              <w:bottom w:val="single" w:sz="8" w:color="9A9A9A"/>
            </w:tcBorders>
          </w:tcPr>
          <w:p>
            <w:pPr>
              <w:spacing w:after="0"/>
              <w:rPr>
                <w:sz w:val="23"/>
                <w:szCs w:val="23"/>
                <w:color w:val="auto"/>
              </w:rPr>
            </w:pPr>
          </w:p>
        </w:tc>
        <w:tc>
          <w:tcPr>
            <w:tcW w:w="100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-675005</wp:posOffset>
            </wp:positionV>
            <wp:extent cx="3469005"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6900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-1147445</wp:posOffset>
            </wp:positionV>
            <wp:extent cx="3462655"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62655" cy="635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-24130</wp:posOffset>
            </wp:positionV>
            <wp:extent cx="31750"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-24130</wp:posOffset>
            </wp:positionV>
            <wp:extent cx="31750"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2" w:name="page273"/>
    <w:bookmarkEnd w:id="27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11. Shareholders’ Equity</w:t>
      </w:r>
    </w:p>
    <w:p>
      <w:pPr>
        <w:spacing w:after="0" w:line="113" w:lineRule="exact"/>
        <w:rPr>
          <w:sz w:val="20"/>
          <w:szCs w:val="20"/>
          <w:color w:val="auto"/>
        </w:rPr>
      </w:pPr>
    </w:p>
    <w:p>
      <w:pPr>
        <w:jc w:val="both"/>
        <w:ind w:left="1560" w:right="1699"/>
        <w:spacing w:after="0" w:line="272" w:lineRule="auto"/>
        <w:rPr>
          <w:sz w:val="20"/>
          <w:szCs w:val="20"/>
          <w:color w:val="auto"/>
        </w:rPr>
      </w:pPr>
      <w:r>
        <w:rPr>
          <w:rFonts w:ascii="Arial" w:cs="Arial" w:eastAsia="Arial" w:hAnsi="Arial"/>
          <w:sz w:val="12"/>
          <w:szCs w:val="12"/>
          <w:color w:val="auto"/>
        </w:rPr>
        <w:t>In April 2019, the Company adopted the 2019 Equity Incentive Plan (“2019 Plan”), under which its board of directors can issue share options. As of December 31, 2021, there were 8,916,263 shares authorized and reserved for issuance under the 2019 Plan.</w:t>
      </w:r>
    </w:p>
    <w:p>
      <w:pPr>
        <w:spacing w:after="0" w:line="82"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Awards granted under the 2019 Plan may be either incentive share options (“ISOs”), nonstatutory share options (“NSOs”), share appreciation rights (“SARs”), or restricted share units (“RSUs”). ISOs may be granted only to Company employees (including officers and directors who are also employees). NSOs may be granted to Company employees and consultants. The Company’s board of directors has the authority to determine to whom options will be granted, the number of shares, the term, and the exercise price. The exercise price of ISOs and NSOs shall not be less than 100% of the estimated fair value of the shares on the date of grant. The exercise price of ISOs granted to an employee who, at the time of grant, owns shares representing more than 10% (“10% shareholder”) of the voting power of all classes of shares of the Company shall be no less than 110% of the estimated fair value of the shares on the date of grant. The options usually have a term of 10 years (or no more than five years if granted to a 10% shareholder). Vesting conditions determined by the plan administrator may apply to share options and may include continued service, performance and/or other conditions. Generally, options and restricted share awards vest over a four-year period.</w:t>
      </w:r>
    </w:p>
    <w:p>
      <w:pPr>
        <w:spacing w:after="0" w:line="18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Options</w:t>
      </w:r>
    </w:p>
    <w:p>
      <w:pPr>
        <w:spacing w:after="0" w:line="9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 summary of share option activity is set forth below (in thousands except per share amounts and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42"/>
        </w:trPr>
        <w:tc>
          <w:tcPr>
            <w:tcW w:w="190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0"/>
                <w:szCs w:val="10"/>
                <w:b w:val="1"/>
                <w:bCs w:val="1"/>
                <w:color w:val="auto"/>
              </w:rPr>
              <w:t>​ ​​</w:t>
            </w:r>
          </w:p>
        </w:tc>
        <w:tc>
          <w:tcPr>
            <w:tcW w:w="40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161"/>
              <w:spacing w:after="0"/>
              <w:rPr>
                <w:sz w:val="20"/>
                <w:szCs w:val="20"/>
                <w:color w:val="auto"/>
              </w:rPr>
            </w:pPr>
            <w:r>
              <w:rPr>
                <w:rFonts w:ascii="Arial" w:cs="Arial" w:eastAsia="Arial" w:hAnsi="Arial"/>
                <w:sz w:val="10"/>
                <w:szCs w:val="10"/>
                <w:b w:val="1"/>
                <w:bCs w:val="1"/>
                <w:color w:val="auto"/>
              </w:rPr>
              <w:t>OUTSTANDING AWARDS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8"/>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WEIGHTED-</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740" w:type="dxa"/>
            <w:vAlign w:val="bottom"/>
            <w:gridSpan w:val="5"/>
          </w:tcPr>
          <w:p>
            <w:pPr>
              <w:spacing w:after="0"/>
              <w:rPr>
                <w:sz w:val="20"/>
                <w:szCs w:val="20"/>
                <w:color w:val="auto"/>
              </w:rPr>
            </w:pPr>
            <w:r>
              <w:rPr>
                <w:rFonts w:ascii="Arial" w:cs="Arial" w:eastAsia="Arial" w:hAnsi="Arial"/>
                <w:sz w:val="10"/>
                <w:szCs w:val="10"/>
                <w:b w:val="1"/>
                <w:bCs w:val="1"/>
                <w:color w:val="auto"/>
              </w:rPr>
              <w:t>NUMBER OF</w:t>
            </w:r>
          </w:p>
        </w:tc>
        <w:tc>
          <w:tcPr>
            <w:tcW w:w="76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640" w:type="dxa"/>
            <w:vAlign w:val="bottom"/>
            <w:gridSpan w:val="3"/>
          </w:tcPr>
          <w:p>
            <w:pPr>
              <w:jc w:val="center"/>
              <w:spacing w:after="0"/>
              <w:rPr>
                <w:sz w:val="20"/>
                <w:szCs w:val="20"/>
                <w:color w:val="auto"/>
              </w:rPr>
            </w:pPr>
            <w:r>
              <w:rPr>
                <w:rFonts w:ascii="Arial" w:cs="Arial" w:eastAsia="Arial" w:hAnsi="Arial"/>
                <w:sz w:val="10"/>
                <w:szCs w:val="10"/>
                <w:b w:val="1"/>
                <w:bCs w:val="1"/>
                <w:color w:val="auto"/>
              </w:rPr>
              <w:t>WEIGHTED-</w:t>
            </w:r>
          </w:p>
        </w:tc>
        <w:tc>
          <w:tcPr>
            <w:tcW w:w="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AVERAGE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rPr>
              <w:t>UNDERLYING</w:t>
            </w:r>
          </w:p>
        </w:tc>
        <w:tc>
          <w:tcPr>
            <w:tcW w:w="100" w:type="dxa"/>
            <w:vAlign w:val="bottom"/>
          </w:tcPr>
          <w:p>
            <w:pPr>
              <w:spacing w:after="0"/>
              <w:rPr>
                <w:sz w:val="11"/>
                <w:szCs w:val="11"/>
                <w:color w:val="auto"/>
              </w:rPr>
            </w:pPr>
          </w:p>
        </w:tc>
        <w:tc>
          <w:tcPr>
            <w:tcW w:w="640" w:type="dxa"/>
            <w:vAlign w:val="bottom"/>
            <w:gridSpan w:val="3"/>
          </w:tcPr>
          <w:p>
            <w:pPr>
              <w:jc w:val="center"/>
              <w:ind w:right="19"/>
              <w:spacing w:after="0"/>
              <w:rPr>
                <w:sz w:val="20"/>
                <w:szCs w:val="20"/>
                <w:color w:val="auto"/>
              </w:rPr>
            </w:pPr>
            <w:r>
              <w:rPr>
                <w:rFonts w:ascii="Arial" w:cs="Arial" w:eastAsia="Arial" w:hAnsi="Arial"/>
                <w:sz w:val="10"/>
                <w:szCs w:val="10"/>
                <w:b w:val="1"/>
                <w:bCs w:val="1"/>
                <w:color w:val="auto"/>
              </w:rPr>
              <w:t>AVERAGE</w:t>
            </w:r>
          </w:p>
        </w:tc>
        <w:tc>
          <w:tcPr>
            <w:tcW w:w="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REMAINING</w:t>
            </w:r>
          </w:p>
        </w:tc>
        <w:tc>
          <w:tcPr>
            <w:tcW w:w="20" w:type="dxa"/>
            <w:vAlign w:val="bottom"/>
          </w:tcPr>
          <w:p>
            <w:pPr>
              <w:spacing w:after="0"/>
              <w:rPr>
                <w:sz w:val="11"/>
                <w:szCs w:val="11"/>
                <w:color w:val="auto"/>
              </w:rPr>
            </w:pPr>
          </w:p>
        </w:tc>
        <w:tc>
          <w:tcPr>
            <w:tcW w:w="740" w:type="dxa"/>
            <w:vAlign w:val="bottom"/>
            <w:gridSpan w:val="3"/>
          </w:tcPr>
          <w:p>
            <w:pPr>
              <w:jc w:val="right"/>
              <w:spacing w:after="0"/>
              <w:rPr>
                <w:sz w:val="20"/>
                <w:szCs w:val="20"/>
                <w:color w:val="auto"/>
              </w:rPr>
            </w:pPr>
            <w:r>
              <w:rPr>
                <w:rFonts w:ascii="Arial" w:cs="Arial" w:eastAsia="Arial" w:hAnsi="Arial"/>
                <w:sz w:val="10"/>
                <w:szCs w:val="10"/>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500" w:type="dxa"/>
            <w:vAlign w:val="bottom"/>
            <w:gridSpan w:val="9"/>
          </w:tcPr>
          <w:p>
            <w:pPr>
              <w:ind w:left="20"/>
              <w:spacing w:after="0"/>
              <w:rPr>
                <w:sz w:val="20"/>
                <w:szCs w:val="20"/>
                <w:color w:val="auto"/>
              </w:rPr>
            </w:pPr>
            <w:r>
              <w:rPr>
                <w:rFonts w:ascii="Arial" w:cs="Arial" w:eastAsia="Arial" w:hAnsi="Arial"/>
                <w:sz w:val="10"/>
                <w:szCs w:val="10"/>
                <w:b w:val="1"/>
                <w:bCs w:val="1"/>
                <w:color w:val="auto"/>
              </w:rPr>
              <w:t>AVAILABLE OUTSTANDING</w:t>
            </w:r>
          </w:p>
        </w:tc>
        <w:tc>
          <w:tcPr>
            <w:tcW w:w="100" w:type="dxa"/>
            <w:vAlign w:val="bottom"/>
          </w:tcPr>
          <w:p>
            <w:pPr>
              <w:spacing w:after="0"/>
              <w:rPr>
                <w:sz w:val="11"/>
                <w:szCs w:val="11"/>
                <w:color w:val="auto"/>
              </w:rPr>
            </w:pPr>
          </w:p>
        </w:tc>
        <w:tc>
          <w:tcPr>
            <w:tcW w:w="640" w:type="dxa"/>
            <w:vAlign w:val="bottom"/>
            <w:gridSpan w:val="3"/>
          </w:tcPr>
          <w:p>
            <w:pPr>
              <w:jc w:val="center"/>
              <w:ind w:right="19"/>
              <w:spacing w:after="0"/>
              <w:rPr>
                <w:sz w:val="20"/>
                <w:szCs w:val="20"/>
                <w:color w:val="auto"/>
              </w:rPr>
            </w:pPr>
            <w:r>
              <w:rPr>
                <w:rFonts w:ascii="Arial" w:cs="Arial" w:eastAsia="Arial" w:hAnsi="Arial"/>
                <w:sz w:val="10"/>
                <w:szCs w:val="10"/>
                <w:b w:val="1"/>
                <w:bCs w:val="1"/>
                <w:color w:val="auto"/>
              </w:rPr>
              <w:t>EXERCISE</w:t>
            </w:r>
          </w:p>
        </w:tc>
        <w:tc>
          <w:tcPr>
            <w:tcW w:w="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CONTRACTUAL</w:t>
            </w:r>
          </w:p>
        </w:tc>
        <w:tc>
          <w:tcPr>
            <w:tcW w:w="20" w:type="dxa"/>
            <w:vAlign w:val="bottom"/>
          </w:tcPr>
          <w:p>
            <w:pPr>
              <w:spacing w:after="0"/>
              <w:rPr>
                <w:sz w:val="11"/>
                <w:szCs w:val="11"/>
                <w:color w:val="auto"/>
              </w:rPr>
            </w:pPr>
          </w:p>
        </w:tc>
        <w:tc>
          <w:tcPr>
            <w:tcW w:w="740" w:type="dxa"/>
            <w:vAlign w:val="bottom"/>
            <w:gridSpan w:val="3"/>
          </w:tcPr>
          <w:p>
            <w:pPr>
              <w:jc w:val="right"/>
              <w:ind w:right="39"/>
              <w:spacing w:after="0"/>
              <w:rPr>
                <w:sz w:val="20"/>
                <w:szCs w:val="20"/>
                <w:color w:val="auto"/>
              </w:rPr>
            </w:pPr>
            <w:r>
              <w:rPr>
                <w:rFonts w:ascii="Arial" w:cs="Arial" w:eastAsia="Arial" w:hAnsi="Arial"/>
                <w:sz w:val="10"/>
                <w:szCs w:val="10"/>
                <w:b w:val="1"/>
                <w:bCs w:val="1"/>
                <w:color w:val="auto"/>
              </w:rPr>
              <w:t>INTRINSIC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5"/>
          </w:tcPr>
          <w:p>
            <w:pPr>
              <w:spacing w:after="0"/>
              <w:rPr>
                <w:sz w:val="20"/>
                <w:szCs w:val="20"/>
                <w:color w:val="auto"/>
              </w:rPr>
            </w:pPr>
            <w:r>
              <w:rPr>
                <w:rFonts w:ascii="Arial" w:cs="Arial" w:eastAsia="Arial" w:hAnsi="Arial"/>
                <w:sz w:val="10"/>
                <w:szCs w:val="10"/>
                <w:b w:val="1"/>
                <w:bCs w:val="1"/>
                <w:color w:val="auto"/>
              </w:rPr>
              <w:t>​FOR GRANT ​</w:t>
            </w:r>
          </w:p>
        </w:tc>
        <w:tc>
          <w:tcPr>
            <w:tcW w:w="76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540" w:type="dxa"/>
            <w:vAlign w:val="bottom"/>
            <w:gridSpan w:val="2"/>
          </w:tcPr>
          <w:p>
            <w:pPr>
              <w:jc w:val="center"/>
              <w:ind w:right="99"/>
              <w:spacing w:after="0"/>
              <w:rPr>
                <w:sz w:val="20"/>
                <w:szCs w:val="20"/>
                <w:color w:val="auto"/>
              </w:rPr>
            </w:pPr>
            <w:r>
              <w:rPr>
                <w:rFonts w:ascii="Arial" w:cs="Arial" w:eastAsia="Arial" w:hAnsi="Arial"/>
                <w:sz w:val="10"/>
                <w:szCs w:val="10"/>
                <w:b w:val="1"/>
                <w:bCs w:val="1"/>
                <w:color w:val="auto"/>
              </w:rPr>
              <w:t>PRICE</w:t>
            </w: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rPr>
              <w:t>​​TERM (IN YEARS) ​​</w:t>
            </w: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VALUE</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2"/>
                <w:szCs w:val="12"/>
                <w:b w:val="1"/>
                <w:bCs w:val="1"/>
                <w:color w:val="auto"/>
              </w:rPr>
              <w:t>As of December 31, 2019</w:t>
            </w: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00" w:type="dxa"/>
            <w:vAlign w:val="bottom"/>
            <w:vMerge w:val="continue"/>
          </w:tcPr>
          <w:p>
            <w:pPr>
              <w:spacing w:after="0"/>
              <w:rPr>
                <w:sz w:val="10"/>
                <w:szCs w:val="10"/>
                <w:color w:val="auto"/>
              </w:rPr>
            </w:pPr>
          </w:p>
        </w:tc>
        <w:tc>
          <w:tcPr>
            <w:tcW w:w="80" w:type="dxa"/>
            <w:vAlign w:val="bottom"/>
          </w:tcPr>
          <w:p>
            <w:pPr>
              <w:spacing w:after="0" w:line="118" w:lineRule="exact"/>
              <w:rPr>
                <w:sz w:val="20"/>
                <w:szCs w:val="20"/>
                <w:color w:val="auto"/>
              </w:rPr>
            </w:pPr>
            <w:r>
              <w:rPr>
                <w:rFonts w:ascii="Arial" w:cs="Arial" w:eastAsia="Arial" w:hAnsi="Arial"/>
                <w:sz w:val="12"/>
                <w:szCs w:val="12"/>
                <w:color w:val="auto"/>
              </w:rPr>
              <w:t>​</w:t>
            </w:r>
          </w:p>
        </w:tc>
        <w:tc>
          <w:tcPr>
            <w:tcW w:w="100" w:type="dxa"/>
            <w:vAlign w:val="bottom"/>
          </w:tcPr>
          <w:p>
            <w:pPr>
              <w:jc w:val="right"/>
              <w:ind w:right="5"/>
              <w:spacing w:after="0" w:line="118"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18" w:lineRule="exact"/>
              <w:rPr>
                <w:sz w:val="20"/>
                <w:szCs w:val="20"/>
                <w:color w:val="auto"/>
              </w:rPr>
            </w:pPr>
            <w:r>
              <w:rPr>
                <w:rFonts w:ascii="Arial" w:cs="Arial" w:eastAsia="Arial" w:hAnsi="Arial"/>
                <w:sz w:val="12"/>
                <w:szCs w:val="12"/>
                <w:color w:val="auto"/>
              </w:rPr>
              <w:t>1,134</w:t>
            </w:r>
          </w:p>
        </w:tc>
        <w:tc>
          <w:tcPr>
            <w:tcW w:w="16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line="118" w:lineRule="exact"/>
              <w:rPr>
                <w:sz w:val="20"/>
                <w:szCs w:val="20"/>
                <w:color w:val="auto"/>
              </w:rPr>
            </w:pPr>
            <w:r>
              <w:rPr>
                <w:rFonts w:ascii="Arial" w:cs="Arial" w:eastAsia="Arial" w:hAnsi="Arial"/>
                <w:sz w:val="12"/>
                <w:szCs w:val="12"/>
                <w:color w:val="auto"/>
              </w:rPr>
              <w:t>801</w:t>
            </w:r>
          </w:p>
        </w:tc>
        <w:tc>
          <w:tcPr>
            <w:tcW w:w="100" w:type="dxa"/>
            <w:vAlign w:val="bottom"/>
          </w:tcPr>
          <w:p>
            <w:pPr>
              <w:spacing w:after="0" w:line="118" w:lineRule="exact"/>
              <w:rPr>
                <w:sz w:val="20"/>
                <w:szCs w:val="20"/>
                <w:color w:val="auto"/>
              </w:rPr>
            </w:pPr>
            <w:r>
              <w:rPr>
                <w:rFonts w:ascii="Arial" w:cs="Arial" w:eastAsia="Arial" w:hAnsi="Arial"/>
                <w:sz w:val="12"/>
                <w:szCs w:val="12"/>
                <w:color w:val="auto"/>
              </w:rPr>
              <w:t>​​​</w:t>
            </w:r>
          </w:p>
        </w:tc>
        <w:tc>
          <w:tcPr>
            <w:tcW w:w="240" w:type="dxa"/>
            <w:vAlign w:val="bottom"/>
            <w:gridSpan w:val="2"/>
          </w:tcPr>
          <w:p>
            <w:pPr>
              <w:ind w:left="60"/>
              <w:spacing w:after="0" w:line="118" w:lineRule="exact"/>
              <w:rPr>
                <w:sz w:val="20"/>
                <w:szCs w:val="20"/>
                <w:color w:val="auto"/>
              </w:rPr>
            </w:pPr>
            <w:r>
              <w:rPr>
                <w:rFonts w:ascii="Arial" w:cs="Arial" w:eastAsia="Arial" w:hAnsi="Arial"/>
                <w:sz w:val="12"/>
                <w:szCs w:val="12"/>
                <w:color w:val="auto"/>
              </w:rPr>
              <w:t>​ $</w:t>
            </w:r>
          </w:p>
        </w:tc>
        <w:tc>
          <w:tcPr>
            <w:tcW w:w="400" w:type="dxa"/>
            <w:vAlign w:val="bottom"/>
          </w:tcPr>
          <w:p>
            <w:pPr>
              <w:ind w:left="40"/>
              <w:spacing w:after="0" w:line="118" w:lineRule="exact"/>
              <w:rPr>
                <w:sz w:val="20"/>
                <w:szCs w:val="20"/>
                <w:color w:val="auto"/>
              </w:rPr>
            </w:pPr>
            <w:r>
              <w:rPr>
                <w:rFonts w:ascii="Arial" w:cs="Arial" w:eastAsia="Arial" w:hAnsi="Arial"/>
                <w:sz w:val="12"/>
                <w:szCs w:val="12"/>
                <w:color w:val="auto"/>
              </w:rPr>
              <w:t>0.34</w:t>
            </w:r>
          </w:p>
        </w:tc>
        <w:tc>
          <w:tcPr>
            <w:tcW w:w="20" w:type="dxa"/>
            <w:vAlign w:val="bottom"/>
          </w:tcPr>
          <w:p>
            <w:pPr>
              <w:spacing w:after="0" w:line="118"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61"/>
              <w:spacing w:after="0" w:line="118" w:lineRule="exact"/>
              <w:rPr>
                <w:sz w:val="20"/>
                <w:szCs w:val="20"/>
                <w:color w:val="auto"/>
              </w:rPr>
            </w:pPr>
            <w:r>
              <w:rPr>
                <w:rFonts w:ascii="Arial" w:cs="Arial" w:eastAsia="Arial" w:hAnsi="Arial"/>
                <w:sz w:val="12"/>
                <w:szCs w:val="12"/>
                <w:color w:val="auto"/>
              </w:rPr>
              <w:t>​​ 9.69</w:t>
            </w:r>
          </w:p>
        </w:tc>
        <w:tc>
          <w:tcPr>
            <w:tcW w:w="220" w:type="dxa"/>
            <w:vAlign w:val="bottom"/>
            <w:gridSpan w:val="2"/>
          </w:tcPr>
          <w:p>
            <w:pPr>
              <w:spacing w:after="0" w:line="118" w:lineRule="exact"/>
              <w:rPr>
                <w:sz w:val="20"/>
                <w:szCs w:val="20"/>
                <w:color w:val="auto"/>
              </w:rPr>
            </w:pPr>
            <w:r>
              <w:rPr>
                <w:rFonts w:ascii="Arial" w:cs="Arial" w:eastAsia="Arial" w:hAnsi="Arial"/>
                <w:sz w:val="12"/>
                <w:szCs w:val="12"/>
                <w:color w:val="auto"/>
              </w:rPr>
              <w:t>​​​ ​ $</w:t>
            </w:r>
          </w:p>
        </w:tc>
        <w:tc>
          <w:tcPr>
            <w:tcW w:w="100" w:type="dxa"/>
            <w:vAlign w:val="bottom"/>
          </w:tcPr>
          <w:p>
            <w:pPr>
              <w:spacing w:after="0"/>
              <w:rPr>
                <w:sz w:val="10"/>
                <w:szCs w:val="10"/>
                <w:color w:val="auto"/>
              </w:rPr>
            </w:pPr>
          </w:p>
        </w:tc>
        <w:tc>
          <w:tcPr>
            <w:tcW w:w="440" w:type="dxa"/>
            <w:vAlign w:val="bottom"/>
          </w:tcPr>
          <w:p>
            <w:pPr>
              <w:jc w:val="right"/>
              <w:ind w:right="19"/>
              <w:spacing w:after="0" w:line="118" w:lineRule="exact"/>
              <w:rPr>
                <w:sz w:val="20"/>
                <w:szCs w:val="20"/>
                <w:color w:val="auto"/>
              </w:rPr>
            </w:pPr>
            <w:r>
              <w:rPr>
                <w:rFonts w:ascii="Arial" w:cs="Arial" w:eastAsia="Arial" w:hAnsi="Arial"/>
                <w:sz w:val="12"/>
                <w:szCs w:val="12"/>
                <w:color w:val="auto"/>
              </w:rPr>
              <w:t>40</w:t>
            </w:r>
          </w:p>
        </w:tc>
        <w:tc>
          <w:tcPr>
            <w:tcW w:w="4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20"/>
                <w:szCs w:val="20"/>
                <w:color w:val="auto"/>
              </w:rPr>
            </w:pPr>
            <w:r>
              <w:rPr>
                <w:rFonts w:ascii="Arial" w:cs="Arial" w:eastAsia="Arial" w:hAnsi="Arial"/>
                <w:sz w:val="12"/>
                <w:szCs w:val="12"/>
                <w:color w:val="auto"/>
              </w:rPr>
              <w:t>Additional authorized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1,550</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960" w:type="dxa"/>
            <w:vAlign w:val="bottom"/>
          </w:tcPr>
          <w:p>
            <w:pPr>
              <w:jc w:val="right"/>
              <w:ind w:right="3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(723)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723</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0.42</w:t>
            </w:r>
          </w:p>
        </w:tc>
        <w:tc>
          <w:tcPr>
            <w:tcW w:w="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tcBorders>
              <w:left w:val="single" w:sz="8" w:color="CCEEFF"/>
              <w:right w:val="single" w:sz="8" w:color="CCEEFF"/>
            </w:tcBorders>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vMerge w:val="restart"/>
          </w:tcPr>
          <w:p>
            <w:pPr>
              <w:jc w:val="right"/>
              <w:ind w:right="261"/>
              <w:spacing w:after="0"/>
              <w:rPr>
                <w:sz w:val="20"/>
                <w:szCs w:val="20"/>
                <w:color w:val="auto"/>
              </w:rPr>
            </w:pPr>
            <w:r>
              <w:rPr>
                <w:rFonts w:ascii="Arial" w:cs="Arial" w:eastAsia="Arial" w:hAnsi="Arial"/>
                <w:sz w:val="12"/>
                <w:szCs w:val="12"/>
                <w:color w:val="auto"/>
              </w:rPr>
              <w:t>​​ 8.93</w:t>
            </w:r>
          </w:p>
        </w:tc>
        <w:tc>
          <w:tcPr>
            <w:tcW w:w="22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
              <w:spacing w:after="0"/>
              <w:rPr>
                <w:sz w:val="20"/>
                <w:szCs w:val="20"/>
                <w:color w:val="auto"/>
              </w:rPr>
            </w:pPr>
            <w:r>
              <w:rPr>
                <w:rFonts w:ascii="Arial" w:cs="Arial" w:eastAsia="Arial" w:hAnsi="Arial"/>
                <w:sz w:val="12"/>
                <w:szCs w:val="12"/>
                <w:color w:val="auto"/>
              </w:rPr>
              <w:t>157</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2"/>
                <w:szCs w:val="12"/>
                <w:b w:val="1"/>
                <w:bCs w:val="1"/>
                <w:color w:val="auto"/>
              </w:rPr>
              <w:t>As of December 31, 2020</w:t>
            </w:r>
          </w:p>
        </w:tc>
        <w:tc>
          <w:tcPr>
            <w:tcW w:w="8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ind w:right="5"/>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1,961</w:t>
            </w:r>
          </w:p>
        </w:tc>
        <w:tc>
          <w:tcPr>
            <w:tcW w:w="1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1,524</w:t>
            </w:r>
          </w:p>
        </w:tc>
        <w:tc>
          <w:tcPr>
            <w:tcW w:w="1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ind w:left="40"/>
              <w:spacing w:after="0" w:line="135" w:lineRule="exact"/>
              <w:rPr>
                <w:sz w:val="20"/>
                <w:szCs w:val="20"/>
                <w:color w:val="auto"/>
              </w:rPr>
            </w:pPr>
            <w:r>
              <w:rPr>
                <w:rFonts w:ascii="Arial" w:cs="Arial" w:eastAsia="Arial" w:hAnsi="Arial"/>
                <w:sz w:val="12"/>
                <w:szCs w:val="12"/>
                <w:color w:val="auto"/>
              </w:rPr>
              <w:t>0.38</w:t>
            </w:r>
          </w:p>
        </w:tc>
        <w:tc>
          <w:tcPr>
            <w:tcW w:w="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Additional authorized</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960" w:type="dxa"/>
            <w:vAlign w:val="bottom"/>
            <w:tcBorders>
              <w:left w:val="single" w:sz="8" w:color="CCEEFF"/>
              <w:right w:val="single" w:sz="8" w:color="CCEEFF"/>
            </w:tcBorders>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20"/>
                <w:szCs w:val="20"/>
                <w:color w:val="auto"/>
              </w:rPr>
            </w:pPr>
            <w:r>
              <w:rPr>
                <w:rFonts w:ascii="Arial" w:cs="Arial" w:eastAsia="Arial" w:hAnsi="Arial"/>
                <w:sz w:val="12"/>
                <w:szCs w:val="12"/>
                <w:color w:val="auto"/>
              </w:rPr>
              <w:t>Granted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(3,357) ​​</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3,357</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ind w:left="40"/>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0.39</w:t>
            </w:r>
          </w:p>
        </w:tc>
        <w:tc>
          <w:tcPr>
            <w:tcW w:w="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tcBorders>
              <w:left w:val="single" w:sz="8" w:color="CCEEFF"/>
              <w:right w:val="single" w:sz="8" w:color="CCEEFF"/>
            </w:tcBorders>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20"/>
                <w:szCs w:val="20"/>
                <w:color w:val="auto"/>
              </w:rPr>
            </w:pPr>
            <w:r>
              <w:rPr>
                <w:rFonts w:ascii="Arial" w:cs="Arial" w:eastAsia="Arial" w:hAnsi="Arial"/>
                <w:sz w:val="12"/>
                <w:szCs w:val="12"/>
                <w:color w:val="auto"/>
              </w:rPr>
              <w:t>Forfeited</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206</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ind w:left="40"/>
              <w:spacing w:after="0"/>
              <w:rPr>
                <w:sz w:val="20"/>
                <w:szCs w:val="20"/>
                <w:color w:val="auto"/>
              </w:rPr>
            </w:pPr>
            <w:r>
              <w:rPr>
                <w:rFonts w:ascii="Arial" w:cs="Arial" w:eastAsia="Arial" w:hAnsi="Arial"/>
                <w:sz w:val="12"/>
                <w:szCs w:val="12"/>
                <w:color w:val="auto"/>
              </w:rPr>
              <w:t>0.38</w:t>
            </w:r>
          </w:p>
        </w:tc>
        <w:tc>
          <w:tcPr>
            <w:tcW w:w="2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tcPr>
          <w:p>
            <w:pPr>
              <w:spacing w:after="0"/>
              <w:rPr>
                <w:sz w:val="20"/>
                <w:szCs w:val="20"/>
                <w:color w:val="auto"/>
              </w:rPr>
            </w:pPr>
            <w:r>
              <w:rPr>
                <w:rFonts w:ascii="Arial" w:cs="Arial" w:eastAsia="Arial" w:hAnsi="Arial"/>
                <w:sz w:val="12"/>
                <w:szCs w:val="12"/>
                <w:b w:val="1"/>
                <w:bCs w:val="1"/>
                <w:color w:val="auto"/>
              </w:rPr>
              <w:t>As of December 31, 2021</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5"/>
              <w:spacing w:after="0" w:line="145"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4,026</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4,646</w:t>
            </w:r>
          </w:p>
        </w:tc>
        <w:tc>
          <w:tcPr>
            <w:tcW w:w="16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ind w:left="40"/>
              <w:spacing w:after="0"/>
              <w:rPr>
                <w:sz w:val="20"/>
                <w:szCs w:val="20"/>
                <w:color w:val="auto"/>
              </w:rPr>
            </w:pPr>
            <w:r>
              <w:rPr>
                <w:rFonts w:ascii="Arial" w:cs="Arial" w:eastAsia="Arial" w:hAnsi="Arial"/>
                <w:sz w:val="12"/>
                <w:szCs w:val="12"/>
                <w:color w:val="auto"/>
              </w:rPr>
              <w:t>0.83</w:t>
            </w:r>
          </w:p>
        </w:tc>
        <w:tc>
          <w:tcPr>
            <w:tcW w:w="2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61"/>
              <w:spacing w:after="0"/>
              <w:rPr>
                <w:sz w:val="20"/>
                <w:szCs w:val="20"/>
                <w:color w:val="auto"/>
              </w:rPr>
            </w:pPr>
            <w:r>
              <w:rPr>
                <w:rFonts w:ascii="Arial" w:cs="Arial" w:eastAsia="Arial" w:hAnsi="Arial"/>
                <w:sz w:val="12"/>
                <w:szCs w:val="12"/>
                <w:color w:val="auto"/>
              </w:rPr>
              <w:t>​​ 8.96</w:t>
            </w: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tcPr>
          <w:p>
            <w:pPr>
              <w:ind w:left="60"/>
              <w:spacing w:after="0"/>
              <w:rPr>
                <w:sz w:val="20"/>
                <w:szCs w:val="20"/>
                <w:color w:val="auto"/>
              </w:rPr>
            </w:pPr>
            <w:r>
              <w:rPr>
                <w:rFonts w:ascii="Arial" w:cs="Arial" w:eastAsia="Arial" w:hAnsi="Arial"/>
                <w:sz w:val="12"/>
                <w:szCs w:val="12"/>
                <w:color w:val="auto"/>
              </w:rPr>
              <w:t>7,911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ind w:left="40"/>
              <w:spacing w:after="0"/>
              <w:rPr>
                <w:sz w:val="20"/>
                <w:szCs w:val="20"/>
                <w:color w:val="auto"/>
              </w:rPr>
            </w:pPr>
            <w:r>
              <w:rPr>
                <w:rFonts w:ascii="Arial" w:cs="Arial" w:eastAsia="Arial" w:hAnsi="Arial"/>
                <w:sz w:val="12"/>
                <w:szCs w:val="12"/>
                <w:color w:val="auto"/>
              </w:rPr>
              <w:t>0.42</w:t>
            </w:r>
          </w:p>
        </w:tc>
        <w:tc>
          <w:tcPr>
            <w:tcW w:w="20" w:type="dxa"/>
            <w:vAlign w:val="bottom"/>
            <w:vMerge w:val="restart"/>
          </w:tcPr>
          <w:p>
            <w:pPr>
              <w:spacing w:after="0"/>
              <w:rPr>
                <w:sz w:val="20"/>
                <w:szCs w:val="20"/>
                <w:color w:val="auto"/>
              </w:rPr>
            </w:pPr>
            <w:r>
              <w:rPr>
                <w:rFonts w:ascii="Arial" w:cs="Arial" w:eastAsia="Arial" w:hAnsi="Arial"/>
                <w:sz w:val="12"/>
                <w:szCs w:val="12"/>
                <w:color w:val="auto"/>
              </w:rPr>
              <w:t>​​​</w:t>
            </w:r>
          </w:p>
        </w:tc>
        <w:tc>
          <w:tcPr>
            <w:tcW w:w="960" w:type="dxa"/>
            <w:vAlign w:val="bottom"/>
            <w:vMerge w:val="restart"/>
          </w:tcPr>
          <w:p>
            <w:pPr>
              <w:jc w:val="right"/>
              <w:ind w:right="261"/>
              <w:spacing w:after="0"/>
              <w:rPr>
                <w:sz w:val="20"/>
                <w:szCs w:val="20"/>
                <w:color w:val="auto"/>
              </w:rPr>
            </w:pPr>
            <w:r>
              <w:rPr>
                <w:rFonts w:ascii="Arial" w:cs="Arial" w:eastAsia="Arial" w:hAnsi="Arial"/>
                <w:sz w:val="12"/>
                <w:szCs w:val="12"/>
                <w:color w:val="auto"/>
              </w:rPr>
              <w:t>​​ 7.74</w:t>
            </w:r>
          </w:p>
        </w:tc>
        <w:tc>
          <w:tcPr>
            <w:tcW w:w="22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ind w:left="60"/>
              <w:spacing w:after="0"/>
              <w:rPr>
                <w:sz w:val="20"/>
                <w:szCs w:val="20"/>
                <w:color w:val="auto"/>
              </w:rPr>
            </w:pPr>
            <w:r>
              <w:rPr>
                <w:rFonts w:ascii="Arial" w:cs="Arial" w:eastAsia="Arial" w:hAnsi="Arial"/>
                <w:sz w:val="12"/>
                <w:szCs w:val="12"/>
                <w:color w:val="auto"/>
              </w:rPr>
              <w:t>2,201</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2080" w:type="dxa"/>
            <w:vAlign w:val="bottom"/>
            <w:gridSpan w:val="3"/>
          </w:tcPr>
          <w:p>
            <w:pPr>
              <w:spacing w:after="0"/>
              <w:rPr>
                <w:sz w:val="20"/>
                <w:szCs w:val="20"/>
                <w:color w:val="auto"/>
              </w:rPr>
            </w:pPr>
            <w:r>
              <w:rPr>
                <w:rFonts w:ascii="Arial" w:cs="Arial" w:eastAsia="Arial" w:hAnsi="Arial"/>
                <w:sz w:val="12"/>
                <w:szCs w:val="12"/>
                <w:color w:val="auto"/>
              </w:rPr>
              <w:t>Exercisable at December 31, 2021​ ​​</w:t>
            </w:r>
          </w:p>
        </w:tc>
        <w:tc>
          <w:tcPr>
            <w:tcW w:w="40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1,042</w:t>
            </w: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20"/>
                <w:szCs w:val="20"/>
                <w:color w:val="auto"/>
              </w:rPr>
            </w:pPr>
            <w:r>
              <w:rPr>
                <w:rFonts w:ascii="Arial" w:cs="Arial" w:eastAsia="Arial" w:hAnsi="Arial"/>
                <w:sz w:val="12"/>
                <w:szCs w:val="12"/>
                <w:color w:val="auto"/>
              </w:rPr>
              <w:t>Vested and expected to vest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00" w:type="dxa"/>
            <w:vAlign w:val="bottom"/>
          </w:tcPr>
          <w:p>
            <w:pPr>
              <w:ind w:left="120"/>
              <w:spacing w:after="0"/>
              <w:rPr>
                <w:sz w:val="20"/>
                <w:szCs w:val="20"/>
                <w:color w:val="auto"/>
              </w:rPr>
            </w:pPr>
            <w:r>
              <w:rPr>
                <w:rFonts w:ascii="Arial" w:cs="Arial" w:eastAsia="Arial" w:hAnsi="Arial"/>
                <w:sz w:val="12"/>
                <w:szCs w:val="12"/>
                <w:color w:val="auto"/>
              </w:rPr>
              <w:t>December 31, 2021</w:t>
            </w:r>
          </w:p>
        </w:tc>
        <w:tc>
          <w:tcPr>
            <w:tcW w:w="80" w:type="dxa"/>
            <w:vAlign w:val="bottom"/>
          </w:tcPr>
          <w:p>
            <w:pPr>
              <w:spacing w:after="0"/>
              <w:rPr>
                <w:sz w:val="13"/>
                <w:szCs w:val="13"/>
                <w:color w:val="auto"/>
              </w:rPr>
            </w:pPr>
          </w:p>
        </w:tc>
        <w:tc>
          <w:tcPr>
            <w:tcW w:w="10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4,646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ind w:left="40"/>
              <w:spacing w:after="0"/>
              <w:rPr>
                <w:sz w:val="20"/>
                <w:szCs w:val="20"/>
                <w:color w:val="auto"/>
              </w:rPr>
            </w:pPr>
            <w:r>
              <w:rPr>
                <w:rFonts w:ascii="Arial" w:cs="Arial" w:eastAsia="Arial" w:hAnsi="Arial"/>
                <w:sz w:val="12"/>
                <w:szCs w:val="12"/>
                <w:color w:val="auto"/>
              </w:rPr>
              <w:t>0.83</w:t>
            </w:r>
          </w:p>
        </w:tc>
        <w:tc>
          <w:tcPr>
            <w:tcW w:w="2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Arial" w:cs="Arial" w:eastAsia="Arial" w:hAnsi="Arial"/>
                <w:sz w:val="12"/>
                <w:szCs w:val="12"/>
                <w:color w:val="auto"/>
              </w:rPr>
              <w:t>​ 8.96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tcPr>
          <w:p>
            <w:pPr>
              <w:ind w:left="60"/>
              <w:spacing w:after="0"/>
              <w:rPr>
                <w:sz w:val="20"/>
                <w:szCs w:val="20"/>
                <w:color w:val="auto"/>
              </w:rPr>
            </w:pPr>
            <w:r>
              <w:rPr>
                <w:rFonts w:ascii="Arial" w:cs="Arial" w:eastAsia="Arial" w:hAnsi="Arial"/>
                <w:sz w:val="12"/>
                <w:szCs w:val="12"/>
                <w:color w:val="auto"/>
              </w:rPr>
              <w:t>7,911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5"/>
              <w:spacing w:after="0"/>
              <w:rPr>
                <w:sz w:val="20"/>
                <w:szCs w:val="20"/>
                <w:color w:val="auto"/>
              </w:rPr>
            </w:pPr>
            <w:r>
              <w:rPr>
                <w:rFonts w:ascii="Arial" w:cs="Arial" w:eastAsia="Arial" w:hAnsi="Arial"/>
                <w:sz w:val="1"/>
                <w:szCs w:val="1"/>
                <w:color w:val="auto"/>
                <w:w w:val="4294942296"/>
              </w:rPr>
              <w:t>​</w:t>
            </w:r>
          </w:p>
        </w:tc>
        <w:tc>
          <w:tcPr>
            <w:tcW w:w="4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1"/>
              <w:spacing w:after="0"/>
              <w:rPr>
                <w:sz w:val="20"/>
                <w:szCs w:val="20"/>
                <w:color w:val="auto"/>
              </w:rPr>
            </w:pPr>
            <w:r>
              <w:rPr>
                <w:rFonts w:ascii="Arial" w:cs="Arial" w:eastAsia="Arial" w:hAnsi="Arial"/>
                <w:sz w:val="12"/>
                <w:szCs w:val="12"/>
                <w:color w:val="auto"/>
              </w:rPr>
              <w:t>​</w:t>
            </w: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-300355</wp:posOffset>
            </wp:positionV>
            <wp:extent cx="3733165" cy="2946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733165" cy="2946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-527685</wp:posOffset>
            </wp:positionV>
            <wp:extent cx="3733165" cy="1168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-1288415</wp:posOffset>
            </wp:positionV>
            <wp:extent cx="3733165" cy="9842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733165" cy="98425"/>
                    </a:xfrm>
                    <a:prstGeom prst="rect">
                      <a:avLst/>
                    </a:prstGeom>
                    <a:noFill/>
                  </pic:spPr>
                </pic:pic>
              </a:graphicData>
            </a:graphic>
          </wp:anchor>
        </w:drawing>
      </w:r>
    </w:p>
    <w:p>
      <w:pPr>
        <w:spacing w:after="0" w:line="70" w:lineRule="exact"/>
        <w:rPr>
          <w:sz w:val="20"/>
          <w:szCs w:val="20"/>
          <w:color w:val="auto"/>
        </w:rPr>
      </w:pPr>
    </w:p>
    <w:p>
      <w:pPr>
        <w:ind w:left="1560" w:right="1659"/>
        <w:spacing w:after="0" w:line="278" w:lineRule="auto"/>
        <w:rPr>
          <w:sz w:val="20"/>
          <w:szCs w:val="20"/>
          <w:color w:val="auto"/>
        </w:rPr>
      </w:pPr>
      <w:r>
        <w:rPr>
          <w:rFonts w:ascii="Arial" w:cs="Arial" w:eastAsia="Arial" w:hAnsi="Arial"/>
          <w:sz w:val="12"/>
          <w:szCs w:val="12"/>
          <w:color w:val="auto"/>
        </w:rPr>
        <w:t>The aggregate intrinsic value is calculated as the difference between the exercise price of the underlying share options and the fair value of the Company’s ordinary shares for share options that were in-the-money at the end of each period. The aggregate intrinsic value of options exercised for the year ended December 31, 2021 was less than $0.1 million. There were no option exercises during the year ended December 31, 2020.</w:t>
      </w:r>
    </w:p>
    <w:p>
      <w:pPr>
        <w:spacing w:after="0" w:line="81" w:lineRule="exact"/>
        <w:rPr>
          <w:sz w:val="20"/>
          <w:szCs w:val="20"/>
          <w:color w:val="auto"/>
        </w:rPr>
      </w:pPr>
    </w:p>
    <w:p>
      <w:pPr>
        <w:ind w:left="1560" w:right="2059"/>
        <w:spacing w:after="0" w:line="304" w:lineRule="auto"/>
        <w:rPr>
          <w:sz w:val="20"/>
          <w:szCs w:val="20"/>
          <w:color w:val="auto"/>
        </w:rPr>
      </w:pPr>
      <w:r>
        <w:rPr>
          <w:rFonts w:ascii="Arial" w:cs="Arial" w:eastAsia="Arial" w:hAnsi="Arial"/>
          <w:sz w:val="12"/>
          <w:szCs w:val="12"/>
          <w:color w:val="auto"/>
        </w:rPr>
        <w:t>The total fair value of options that vested during the years ended December 31, 2020 and 2021 was $0.1 million and $0.3 million, respectively.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Restricted Shares</w:t>
      </w:r>
    </w:p>
    <w:p>
      <w:pPr>
        <w:spacing w:after="0" w:line="92" w:lineRule="exact"/>
        <w:rPr>
          <w:sz w:val="20"/>
          <w:szCs w:val="20"/>
          <w:color w:val="auto"/>
        </w:rPr>
      </w:pPr>
    </w:p>
    <w:p>
      <w:pPr>
        <w:ind w:left="1560" w:right="1719"/>
        <w:spacing w:after="0" w:line="282" w:lineRule="auto"/>
        <w:rPr>
          <w:sz w:val="20"/>
          <w:szCs w:val="20"/>
          <w:color w:val="auto"/>
        </w:rPr>
      </w:pPr>
      <w:r>
        <w:rPr>
          <w:rFonts w:ascii="Arial" w:cs="Arial" w:eastAsia="Arial" w:hAnsi="Arial"/>
          <w:sz w:val="12"/>
          <w:szCs w:val="12"/>
          <w:color w:val="auto"/>
        </w:rPr>
        <w:t>On April 29, 2019, 5,891,064 shares of the Company’s ordinary shares which were previously issued to its founders were converted to restricted ordinary shares with a vesting term of four years with 25% of the shares vesting after one year from the vesting commencement date of April 29, 2019 and the remainder ratably on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3" w:name="page274"/>
    <w:bookmarkEnd w:id="27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right="1579"/>
        <w:spacing w:after="0" w:line="283" w:lineRule="auto"/>
        <w:rPr>
          <w:sz w:val="20"/>
          <w:szCs w:val="20"/>
          <w:color w:val="auto"/>
        </w:rPr>
      </w:pPr>
      <w:r>
        <w:rPr>
          <w:rFonts w:ascii="Arial" w:cs="Arial" w:eastAsia="Arial" w:hAnsi="Arial"/>
          <w:sz w:val="12"/>
          <w:szCs w:val="12"/>
          <w:color w:val="auto"/>
        </w:rPr>
        <w:t>a monthly basis over the following three years, provided that the shareholder continues to provide services to the Company as of the date of such vesting. The transaction was accounted for as a grant of restricted shares with weighted-average per share grant-date fair value of  $0.33 per share with the total compensation cost of $1.9 million, which will be recognized over the four years of requisite service period.​</w:t>
      </w:r>
    </w:p>
    <w:p>
      <w:pPr>
        <w:spacing w:after="0" w:line="200"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Activity with respect to restricted shares was as follows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0"/>
                <w:szCs w:val="10"/>
                <w:b w:val="1"/>
                <w:bCs w:val="1"/>
                <w:color w:val="auto"/>
              </w:rPr>
              <w:t>NUMBER OF SHARES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left="43"/>
              <w:spacing w:after="0"/>
              <w:rPr>
                <w:sz w:val="20"/>
                <w:szCs w:val="20"/>
                <w:color w:val="auto"/>
              </w:rPr>
            </w:pPr>
            <w:r>
              <w:rPr>
                <w:rFonts w:ascii="Arial" w:cs="Arial" w:eastAsia="Arial" w:hAnsi="Arial"/>
                <w:sz w:val="10"/>
                <w:szCs w:val="10"/>
                <w:b w:val="1"/>
                <w:bCs w:val="1"/>
                <w:color w:val="auto"/>
              </w:rPr>
              <w:t>UNDERLYING</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5"/>
          </w:tcPr>
          <w:p>
            <w:pPr>
              <w:jc w:val="center"/>
              <w:ind w:right="21"/>
              <w:spacing w:after="0"/>
              <w:rPr>
                <w:sz w:val="20"/>
                <w:szCs w:val="20"/>
                <w:color w:val="auto"/>
              </w:rPr>
            </w:pPr>
            <w:r>
              <w:rPr>
                <w:rFonts w:ascii="Arial" w:cs="Arial" w:eastAsia="Arial" w:hAnsi="Arial"/>
                <w:sz w:val="10"/>
                <w:szCs w:val="10"/>
                <w:b w:val="1"/>
                <w:bCs w:val="1"/>
                <w:color w:val="auto"/>
              </w:rPr>
              <w:t>WEIGHTED-AVERAGE</w:t>
            </w:r>
          </w:p>
        </w:tc>
      </w:t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left="43"/>
              <w:spacing w:after="0"/>
              <w:rPr>
                <w:sz w:val="20"/>
                <w:szCs w:val="20"/>
                <w:color w:val="auto"/>
              </w:rPr>
            </w:pPr>
            <w:r>
              <w:rPr>
                <w:rFonts w:ascii="Arial" w:cs="Arial" w:eastAsia="Arial" w:hAnsi="Arial"/>
                <w:sz w:val="10"/>
                <w:szCs w:val="10"/>
                <w:b w:val="1"/>
                <w:bCs w:val="1"/>
                <w:color w:val="auto"/>
              </w:rPr>
              <w:t>OUTSTANDING</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spacing w:after="0"/>
              <w:rPr>
                <w:sz w:val="20"/>
                <w:szCs w:val="20"/>
                <w:color w:val="auto"/>
              </w:rPr>
            </w:pPr>
            <w:r>
              <w:rPr>
                <w:rFonts w:ascii="Arial" w:cs="Arial" w:eastAsia="Arial" w:hAnsi="Arial"/>
                <w:sz w:val="10"/>
                <w:szCs w:val="10"/>
                <w:b w:val="1"/>
                <w:bCs w:val="1"/>
                <w:color w:val="auto"/>
              </w:rPr>
              <w:t>GRANT DATE FAIR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3240" w:type="dxa"/>
            <w:vAlign w:val="bottom"/>
          </w:tcPr>
          <w:p>
            <w:pPr>
              <w:spacing w:after="0"/>
              <w:rPr>
                <w:sz w:val="20"/>
                <w:szCs w:val="20"/>
                <w:color w:val="auto"/>
              </w:rPr>
            </w:pPr>
            <w:r>
              <w:rPr>
                <w:rFonts w:ascii="Arial" w:cs="Arial" w:eastAsia="Arial" w:hAnsi="Arial"/>
                <w:sz w:val="10"/>
                <w:szCs w:val="10"/>
                <w:b w:val="1"/>
                <w:bCs w:val="1"/>
                <w:color w:val="auto"/>
              </w:rPr>
              <w:t>​</w:t>
            </w:r>
          </w:p>
        </w:tc>
        <w:tc>
          <w:tcPr>
            <w:tcW w:w="1480" w:type="dxa"/>
            <w:vAlign w:val="bottom"/>
            <w:gridSpan w:val="7"/>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RESTRICTED SHARES </w:t>
            </w:r>
            <w:r>
              <w:rPr>
                <w:rFonts w:ascii="Arial" w:cs="Arial" w:eastAsia="Arial" w:hAnsi="Arial"/>
                <w:sz w:val="17"/>
                <w:szCs w:val="17"/>
                <w:b w:val="1"/>
                <w:bCs w:val="1"/>
                <w:color w:val="auto"/>
                <w:vertAlign w:val="subscript"/>
              </w:rPr>
              <w:t>​ ​</w:t>
            </w:r>
          </w:p>
        </w:tc>
        <w:tc>
          <w:tcPr>
            <w:tcW w:w="1080" w:type="dxa"/>
            <w:vAlign w:val="bottom"/>
            <w:gridSpan w:val="3"/>
          </w:tcPr>
          <w:p>
            <w:pPr>
              <w:jc w:val="center"/>
              <w:spacing w:after="0"/>
              <w:rPr>
                <w:sz w:val="20"/>
                <w:szCs w:val="20"/>
                <w:color w:val="auto"/>
              </w:rPr>
            </w:pPr>
            <w:r>
              <w:rPr>
                <w:rFonts w:ascii="Arial" w:cs="Arial" w:eastAsia="Arial" w:hAnsi="Arial"/>
                <w:sz w:val="10"/>
                <w:szCs w:val="10"/>
                <w:b w:val="1"/>
                <w:bCs w:val="1"/>
                <w:color w:val="auto"/>
              </w:rPr>
              <w:t>VALUE</w:t>
            </w:r>
          </w:p>
        </w:tc>
        <w:tc>
          <w:tcPr>
            <w:tcW w:w="8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Unvested, December 31, 2019</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5,891</w:t>
            </w: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 ​ ​</w:t>
            </w:r>
          </w:p>
        </w:tc>
        <w:tc>
          <w:tcPr>
            <w:tcW w:w="4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0.33</w:t>
            </w:r>
          </w:p>
        </w:tc>
        <w:tc>
          <w:tcPr>
            <w:tcW w:w="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240" w:type="dxa"/>
            <w:vAlign w:val="bottom"/>
          </w:tcPr>
          <w:p>
            <w:pPr>
              <w:spacing w:after="0"/>
              <w:rPr>
                <w:sz w:val="20"/>
                <w:szCs w:val="20"/>
                <w:color w:val="auto"/>
              </w:rPr>
            </w:pPr>
            <w:r>
              <w:rPr>
                <w:rFonts w:ascii="Arial" w:cs="Arial" w:eastAsia="Arial" w:hAnsi="Arial"/>
                <w:sz w:val="12"/>
                <w:szCs w:val="12"/>
                <w:color w:val="auto"/>
              </w:rPr>
              <w:t>Vested</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2"/>
          </w:tcPr>
          <w:p>
            <w:pPr>
              <w:ind w:left="30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(2,455)</w:t>
            </w: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 ​ ​</w:t>
            </w:r>
          </w:p>
        </w:tc>
        <w:tc>
          <w:tcPr>
            <w:tcW w:w="440" w:type="dxa"/>
            <w:vAlign w:val="bottom"/>
          </w:tcPr>
          <w:p>
            <w:pPr>
              <w:ind w:lef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39"/>
              <w:spacing w:after="0"/>
              <w:rPr>
                <w:sz w:val="20"/>
                <w:szCs w:val="20"/>
                <w:color w:val="auto"/>
              </w:rPr>
            </w:pPr>
            <w:r>
              <w:rPr>
                <w:rFonts w:ascii="Arial" w:cs="Arial" w:eastAsia="Arial" w:hAnsi="Arial"/>
                <w:sz w:val="12"/>
                <w:szCs w:val="12"/>
                <w:color w:val="auto"/>
              </w:rPr>
              <w:t>0.33</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Unvested, December 31, 2020</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3,436</w:t>
            </w: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 ​ ​</w:t>
            </w:r>
          </w:p>
        </w:tc>
        <w:tc>
          <w:tcPr>
            <w:tcW w:w="4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0.33</w:t>
            </w:r>
          </w:p>
        </w:tc>
        <w:tc>
          <w:tcPr>
            <w:tcW w:w="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240" w:type="dxa"/>
            <w:vAlign w:val="bottom"/>
          </w:tcPr>
          <w:p>
            <w:pPr>
              <w:spacing w:after="0"/>
              <w:rPr>
                <w:sz w:val="20"/>
                <w:szCs w:val="20"/>
                <w:color w:val="auto"/>
              </w:rPr>
            </w:pPr>
            <w:r>
              <w:rPr>
                <w:rFonts w:ascii="Arial" w:cs="Arial" w:eastAsia="Arial" w:hAnsi="Arial"/>
                <w:sz w:val="12"/>
                <w:szCs w:val="12"/>
                <w:color w:val="auto"/>
              </w:rPr>
              <w:t>Vested</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2"/>
          </w:tcPr>
          <w:p>
            <w:pPr>
              <w:ind w:left="300"/>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(1,473)</w:t>
            </w: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 ​ ​</w:t>
            </w:r>
          </w:p>
        </w:tc>
        <w:tc>
          <w:tcPr>
            <w:tcW w:w="440" w:type="dxa"/>
            <w:vAlign w:val="bottom"/>
          </w:tcPr>
          <w:p>
            <w:pPr>
              <w:ind w:lef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39"/>
              <w:spacing w:after="0"/>
              <w:rPr>
                <w:sz w:val="20"/>
                <w:szCs w:val="20"/>
                <w:color w:val="auto"/>
              </w:rPr>
            </w:pPr>
            <w:r>
              <w:rPr>
                <w:rFonts w:ascii="Arial" w:cs="Arial" w:eastAsia="Arial" w:hAnsi="Arial"/>
                <w:sz w:val="12"/>
                <w:szCs w:val="12"/>
                <w:color w:val="auto"/>
              </w:rPr>
              <w:t>0.33</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r>
      <w:tr>
        <w:trPr>
          <w:trHeight w:val="193"/>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Cancelled</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2"/>
            <w:shd w:val="clear" w:color="auto" w:fill="CCEEFF"/>
          </w:tcPr>
          <w:p>
            <w:pPr>
              <w:ind w:left="30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(450)</w:t>
            </w:r>
          </w:p>
        </w:tc>
        <w:tc>
          <w:tcPr>
            <w:tcW w:w="3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 ​ ​</w:t>
            </w:r>
          </w:p>
        </w:tc>
        <w:tc>
          <w:tcPr>
            <w:tcW w:w="4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0.33</w:t>
            </w:r>
          </w:p>
        </w:tc>
        <w:tc>
          <w:tcPr>
            <w:tcW w:w="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240" w:type="dxa"/>
            <w:vAlign w:val="bottom"/>
          </w:tcPr>
          <w:p>
            <w:pPr>
              <w:spacing w:after="0"/>
              <w:rPr>
                <w:sz w:val="20"/>
                <w:szCs w:val="20"/>
                <w:color w:val="auto"/>
              </w:rPr>
            </w:pPr>
            <w:r>
              <w:rPr>
                <w:rFonts w:ascii="Arial" w:cs="Arial" w:eastAsia="Arial" w:hAnsi="Arial"/>
                <w:sz w:val="12"/>
                <w:szCs w:val="12"/>
                <w:color w:val="auto"/>
              </w:rPr>
              <w:t>Unvested, December 31, 2021</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2"/>
          </w:tcPr>
          <w:p>
            <w:pPr>
              <w:ind w:left="300"/>
              <w:spacing w:after="0" w:line="18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1,513</w:t>
            </w:r>
          </w:p>
        </w:tc>
        <w:tc>
          <w:tcPr>
            <w:tcW w:w="22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 ​ ​</w:t>
            </w:r>
          </w:p>
        </w:tc>
        <w:tc>
          <w:tcPr>
            <w:tcW w:w="440" w:type="dxa"/>
            <w:vAlign w:val="bottom"/>
          </w:tcPr>
          <w:p>
            <w:pPr>
              <w:ind w:lef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39"/>
              <w:spacing w:after="0"/>
              <w:rPr>
                <w:sz w:val="20"/>
                <w:szCs w:val="20"/>
                <w:color w:val="auto"/>
              </w:rPr>
            </w:pPr>
            <w:r>
              <w:rPr>
                <w:rFonts w:ascii="Arial" w:cs="Arial" w:eastAsia="Arial" w:hAnsi="Arial"/>
                <w:sz w:val="12"/>
                <w:szCs w:val="12"/>
                <w:color w:val="auto"/>
              </w:rPr>
              <w:t>0.33</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
        </w:trPr>
        <w:tc>
          <w:tcPr>
            <w:tcW w:w="3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-564515</wp:posOffset>
            </wp:positionV>
            <wp:extent cx="3733165"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-803910</wp:posOffset>
            </wp:positionV>
            <wp:extent cx="296545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965450" cy="6350"/>
                    </a:xfrm>
                    <a:prstGeom prst="rect">
                      <a:avLst/>
                    </a:prstGeom>
                    <a:noFill/>
                  </pic:spPr>
                </pic:pic>
              </a:graphicData>
            </a:graphic>
          </wp:anchor>
        </w:drawing>
      </w:r>
    </w:p>
    <w:p>
      <w:pPr>
        <w:spacing w:after="0" w:line="72" w:lineRule="exact"/>
        <w:rPr>
          <w:sz w:val="20"/>
          <w:szCs w:val="20"/>
          <w:color w:val="auto"/>
        </w:rPr>
      </w:pPr>
    </w:p>
    <w:p>
      <w:pPr>
        <w:ind w:left="1560" w:right="2679"/>
        <w:spacing w:after="0" w:line="355" w:lineRule="auto"/>
        <w:rPr>
          <w:sz w:val="20"/>
          <w:szCs w:val="20"/>
          <w:color w:val="auto"/>
        </w:rPr>
      </w:pPr>
      <w:r>
        <w:rPr>
          <w:rFonts w:ascii="Arial" w:cs="Arial" w:eastAsia="Arial" w:hAnsi="Arial"/>
          <w:sz w:val="12"/>
          <w:szCs w:val="12"/>
          <w:i w:val="1"/>
          <w:iCs w:val="1"/>
          <w:color w:val="auto"/>
        </w:rPr>
        <w:t xml:space="preserve">Share-Based Compensation Associated with Awards to Employees and Non-Employees </w:t>
      </w:r>
      <w:r>
        <w:rPr>
          <w:rFonts w:ascii="Arial" w:cs="Arial" w:eastAsia="Arial" w:hAnsi="Arial"/>
          <w:sz w:val="12"/>
          <w:szCs w:val="12"/>
          <w:color w:val="auto"/>
        </w:rPr>
        <w:t>The Company recognized share-based compensation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44450</wp:posOffset>
            </wp:positionV>
            <wp:extent cx="373316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89"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rPr>
              <w:t>YEAR ENDED</w:t>
            </w:r>
          </w:p>
        </w:tc>
        <w:tc>
          <w:tcPr>
            <w:tcW w:w="40" w:type="dxa"/>
            <w:vAlign w:val="bottom"/>
          </w:tcPr>
          <w:p>
            <w:pPr>
              <w:spacing w:after="0"/>
              <w:rPr>
                <w:sz w:val="11"/>
                <w:szCs w:val="11"/>
                <w:color w:val="auto"/>
              </w:rPr>
            </w:pPr>
          </w:p>
        </w:tc>
      </w:tr>
      <w:tr>
        <w:trPr>
          <w:trHeight w:val="152"/>
        </w:trPr>
        <w:tc>
          <w:tcPr>
            <w:tcW w:w="3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ind w:left="1480"/>
              <w:spacing w:after="0"/>
              <w:rPr>
                <w:sz w:val="20"/>
                <w:szCs w:val="20"/>
                <w:color w:val="auto"/>
              </w:rPr>
            </w:pPr>
            <w:r>
              <w:rPr>
                <w:rFonts w:ascii="Arial" w:cs="Arial" w:eastAsia="Arial" w:hAnsi="Arial"/>
                <w:sz w:val="10"/>
                <w:szCs w:val="10"/>
                <w:b w:val="1"/>
                <w:bCs w:val="1"/>
                <w:color w:val="auto"/>
              </w:rPr>
              <w:t>​ ​</w:t>
            </w:r>
          </w:p>
        </w:tc>
        <w:tc>
          <w:tcPr>
            <w:tcW w:w="9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54"/>
        </w:trPr>
        <w:tc>
          <w:tcPr>
            <w:tcW w:w="3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ind w:left="1520"/>
              <w:spacing w:after="0"/>
              <w:rPr>
                <w:sz w:val="20"/>
                <w:szCs w:val="20"/>
                <w:color w:val="auto"/>
              </w:rPr>
            </w:pPr>
            <w:r>
              <w:rPr>
                <w:rFonts w:ascii="Arial" w:cs="Arial" w:eastAsia="Arial" w:hAnsi="Arial"/>
                <w:sz w:val="10"/>
                <w:szCs w:val="10"/>
                <w:b w:val="1"/>
                <w:bCs w:val="1"/>
                <w:color w:val="auto"/>
              </w:rPr>
              <w:t>​ ​</w:t>
            </w:r>
          </w:p>
        </w:tc>
        <w:tc>
          <w:tcPr>
            <w:tcW w:w="980" w:type="dxa"/>
            <w:vAlign w:val="bottom"/>
            <w:gridSpan w:val="5"/>
          </w:tcPr>
          <w:p>
            <w:pPr>
              <w:jc w:val="center"/>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2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740" w:type="dxa"/>
            <w:vAlign w:val="bottom"/>
            <w:gridSpan w:val="2"/>
            <w:shd w:val="clear" w:color="auto" w:fill="CCEEFF"/>
          </w:tcPr>
          <w:p>
            <w:pPr>
              <w:ind w:left="1520"/>
              <w:spacing w:after="0"/>
              <w:rPr>
                <w:sz w:val="20"/>
                <w:szCs w:val="20"/>
                <w:color w:val="auto"/>
              </w:rPr>
            </w:pPr>
            <w:r>
              <w:rPr>
                <w:rFonts w:ascii="Arial" w:cs="Arial" w:eastAsia="Arial" w:hAnsi="Arial"/>
                <w:sz w:val="12"/>
                <w:szCs w:val="12"/>
                <w:color w:val="auto"/>
              </w:rPr>
              <w:t>​ ​​$</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   355​​ ​​$</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26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2320" w:type="dxa"/>
            <w:vAlign w:val="bottom"/>
            <w:gridSpan w:val="5"/>
          </w:tcPr>
          <w:p>
            <w:pPr>
              <w:ind w:left="152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 215</w:t>
            </w: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34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541</w:t>
            </w:r>
            <w:r>
              <w:rPr>
                <w:rFonts w:ascii="Arial" w:cs="Arial" w:eastAsia="Arial" w:hAnsi="Arial"/>
                <w:sz w:val="22"/>
                <w:szCs w:val="22"/>
                <w:color w:val="auto"/>
                <w:vertAlign w:val="subscript"/>
              </w:rPr>
              <w:t>​</w:t>
            </w:r>
          </w:p>
        </w:tc>
      </w:tr>
      <w:tr>
        <w:trPr>
          <w:trHeight w:val="20"/>
        </w:trPr>
        <w:tc>
          <w:tcPr>
            <w:tcW w:w="32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Total share-based compensation</w:t>
            </w:r>
          </w:p>
        </w:tc>
        <w:tc>
          <w:tcPr>
            <w:tcW w:w="1740" w:type="dxa"/>
            <w:vAlign w:val="bottom"/>
            <w:gridSpan w:val="2"/>
            <w:shd w:val="clear" w:color="auto" w:fill="CCEEFF"/>
          </w:tcPr>
          <w:p>
            <w:pPr>
              <w:ind w:left="1520"/>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580" w:type="dxa"/>
            <w:vAlign w:val="bottom"/>
            <w:gridSpan w:val="3"/>
            <w:shd w:val="clear" w:color="auto" w:fill="CCEEFF"/>
          </w:tcPr>
          <w:p>
            <w:pPr>
              <w:jc w:val="right"/>
              <w:ind w:right="40"/>
              <w:spacing w:after="0" w:line="173" w:lineRule="exact"/>
              <w:rPr>
                <w:sz w:val="20"/>
                <w:szCs w:val="20"/>
                <w:color w:val="auto"/>
              </w:rPr>
            </w:pPr>
            <w:r>
              <w:rPr>
                <w:rFonts w:ascii="Arial" w:cs="Arial" w:eastAsia="Arial" w:hAnsi="Arial"/>
                <w:sz w:val="11"/>
                <w:szCs w:val="11"/>
                <w:color w:val="auto"/>
              </w:rPr>
              <w:t>570</w:t>
            </w:r>
            <w:r>
              <w:rPr>
                <w:rFonts w:ascii="Arial" w:cs="Arial" w:eastAsia="Arial" w:hAnsi="Arial"/>
                <w:sz w:val="20"/>
                <w:szCs w:val="20"/>
                <w:color w:val="auto"/>
                <w:vertAlign w:val="subscript"/>
              </w:rPr>
              <w:t>​​ ​​</w:t>
            </w:r>
            <w:r>
              <w:rPr>
                <w:rFonts w:ascii="Arial" w:cs="Arial" w:eastAsia="Arial" w:hAnsi="Arial"/>
                <w:sz w:val="11"/>
                <w:szCs w:val="1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1,487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260" w:type="dxa"/>
            <w:vAlign w:val="bottom"/>
            <w:tcBorders>
              <w:top w:val="single" w:sz="8" w:color="CCEEFF"/>
              <w:bottom w:val="single" w:sz="8" w:color="auto"/>
            </w:tcBorders>
          </w:tcPr>
          <w:p>
            <w:pPr>
              <w:spacing w:after="0"/>
              <w:rPr>
                <w:sz w:val="6"/>
                <w:szCs w:val="6"/>
                <w:color w:val="auto"/>
              </w:rPr>
            </w:pPr>
          </w:p>
        </w:tc>
        <w:tc>
          <w:tcPr>
            <w:tcW w:w="164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46900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6900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46265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62655" cy="6350"/>
                    </a:xfrm>
                    <a:prstGeom prst="rect">
                      <a:avLst/>
                    </a:prstGeom>
                    <a:noFill/>
                  </pic:spPr>
                </pic:pic>
              </a:graphicData>
            </a:graphic>
          </wp:anchor>
        </w:drawing>
      </w:r>
    </w:p>
    <w:p>
      <w:pPr>
        <w:spacing w:after="0" w:line="70"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As of December 31, 2021, the total unrecognized share-based compensation expense related to unvested share options was $3.3 million, which is expected to be recognized over the remaining weighted-average vesting period of 3.3 years.</w:t>
      </w:r>
    </w:p>
    <w:p>
      <w:pPr>
        <w:spacing w:after="0" w:line="74" w:lineRule="exact"/>
        <w:rPr>
          <w:sz w:val="20"/>
          <w:szCs w:val="20"/>
          <w:color w:val="auto"/>
        </w:rPr>
      </w:pPr>
    </w:p>
    <w:p>
      <w:pPr>
        <w:ind w:left="1560" w:right="1739"/>
        <w:spacing w:after="0" w:line="288" w:lineRule="auto"/>
        <w:rPr>
          <w:sz w:val="20"/>
          <w:szCs w:val="20"/>
          <w:color w:val="auto"/>
        </w:rPr>
      </w:pPr>
      <w:r>
        <w:rPr>
          <w:rFonts w:ascii="Arial" w:cs="Arial" w:eastAsia="Arial" w:hAnsi="Arial"/>
          <w:sz w:val="12"/>
          <w:szCs w:val="12"/>
          <w:color w:val="auto"/>
        </w:rPr>
        <w:t>As of December 31, 2021, the total unrecognized compensation expense related to unvested restricted shares was $0.4 million, which is expected to be recognized over the remaining weighted-average vesting period of 1.3 years.</w:t>
      </w:r>
    </w:p>
    <w:p>
      <w:pPr>
        <w:spacing w:after="0" w:line="74" w:lineRule="exact"/>
        <w:rPr>
          <w:sz w:val="20"/>
          <w:szCs w:val="20"/>
          <w:color w:val="auto"/>
        </w:rPr>
      </w:pPr>
    </w:p>
    <w:p>
      <w:pPr>
        <w:ind w:left="1560" w:right="2059"/>
        <w:spacing w:after="0" w:line="308" w:lineRule="auto"/>
        <w:rPr>
          <w:sz w:val="20"/>
          <w:szCs w:val="20"/>
          <w:color w:val="auto"/>
        </w:rPr>
      </w:pPr>
      <w:r>
        <w:rPr>
          <w:rFonts w:ascii="Arial" w:cs="Arial" w:eastAsia="Arial" w:hAnsi="Arial"/>
          <w:sz w:val="12"/>
          <w:szCs w:val="12"/>
          <w:color w:val="auto"/>
        </w:rPr>
        <w:t>The fair value of restricted shares vested during the years ended December 31, 2020 and 2021 was $0.8 million and $0.5 million, respectively.</w:t>
      </w:r>
    </w:p>
    <w:p>
      <w:pPr>
        <w:spacing w:after="0" w:line="52"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The Company estimated the fair value of share options using the Black Scholes option-pricing model. The fair value of share options is being amortized on a straight-line basis over the requisite service period of the awards. The options granted during the years ended December 31, 2020 and 2021 had a weighted-average per share grant-date fair value of  $0.29 and $1.07 per share, respectively, which was estimated using the following weighted-average assumptions: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4" w:name="page275"/>
    <w:bookmarkEnd w:id="27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115570</wp:posOffset>
            </wp:positionV>
            <wp:extent cx="3733165"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69"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5080</wp:posOffset>
            </wp:positionV>
            <wp:extent cx="3733165" cy="1168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Expected term (in years)</w:t>
      </w:r>
    </w:p>
    <w:p>
      <w:pPr>
        <w:spacing w:after="0" w:line="40"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Risk-free interest rate</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106680</wp:posOffset>
            </wp:positionV>
            <wp:extent cx="3733165"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4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assumptions are as follows: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860" w:type="dxa"/>
            <w:vAlign w:val="bottom"/>
            <w:gridSpan w:val="5"/>
          </w:tcPr>
          <w:p>
            <w:pPr>
              <w:jc w:val="right"/>
              <w:spacing w:after="0"/>
              <w:rPr>
                <w:sz w:val="20"/>
                <w:szCs w:val="20"/>
                <w:color w:val="auto"/>
              </w:rPr>
            </w:pPr>
            <w:r>
              <w:rPr>
                <w:rFonts w:ascii="Arial" w:cs="Arial" w:eastAsia="Arial" w:hAnsi="Arial"/>
                <w:sz w:val="10"/>
                <w:szCs w:val="10"/>
                <w:b w:val="1"/>
                <w:bCs w:val="1"/>
                <w:color w:val="auto"/>
              </w:rPr>
              <w:t>YEAR ENDED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940" w:type="dxa"/>
            <w:vAlign w:val="bottom"/>
            <w:gridSpan w:val="7"/>
          </w:tcPr>
          <w:p>
            <w:pPr>
              <w:jc w:val="right"/>
              <w:spacing w:after="0" w:line="152" w:lineRule="exact"/>
              <w:rPr>
                <w:sz w:val="20"/>
                <w:szCs w:val="20"/>
                <w:color w:val="auto"/>
              </w:rPr>
            </w:pPr>
            <w:r>
              <w:rPr>
                <w:rFonts w:ascii="Arial" w:cs="Arial" w:eastAsia="Arial" w:hAnsi="Arial"/>
                <w:sz w:val="9"/>
                <w:szCs w:val="9"/>
                <w:b w:val="1"/>
                <w:bCs w:val="1"/>
                <w:color w:val="auto"/>
              </w:rPr>
              <w:t xml:space="preserve">DECEMBER 31, </w:t>
            </w:r>
            <w:r>
              <w:rPr>
                <w:rFonts w:ascii="Arial" w:cs="Arial" w:eastAsia="Arial" w:hAnsi="Arial"/>
                <w:sz w:val="17"/>
                <w:szCs w:val="17"/>
                <w:b w:val="1"/>
                <w:bCs w:val="1"/>
                <w:color w:val="auto"/>
                <w:vertAlign w:val="subscript"/>
              </w:rPr>
              <w:t>​</w:t>
            </w:r>
          </w:p>
        </w:tc>
      </w:tr>
      <w:tr>
        <w:trPr>
          <w:trHeight w:val="154"/>
        </w:trPr>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 ​</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73"/>
        </w:trPr>
        <w:tc>
          <w:tcPr>
            <w:tcW w:w="160" w:type="dxa"/>
            <w:vAlign w:val="bottom"/>
          </w:tcPr>
          <w:p>
            <w:pPr>
              <w:ind w:left="40"/>
              <w:spacing w:after="0"/>
              <w:rPr>
                <w:sz w:val="20"/>
                <w:szCs w:val="20"/>
                <w:color w:val="auto"/>
              </w:rPr>
            </w:pPr>
            <w:r>
              <w:rPr>
                <w:rFonts w:ascii="Arial" w:cs="Arial" w:eastAsia="Arial" w:hAnsi="Arial"/>
                <w:sz w:val="12"/>
                <w:szCs w:val="12"/>
                <w:color w:val="auto"/>
              </w:rPr>
              <w:t>​ ​</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5.9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5.9</w:t>
            </w:r>
          </w:p>
        </w:tc>
        <w:tc>
          <w:tcPr>
            <w:tcW w:w="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r>
        <w:trPr>
          <w:trHeight w:val="184"/>
        </w:trPr>
        <w:tc>
          <w:tcPr>
            <w:tcW w:w="680" w:type="dxa"/>
            <w:vAlign w:val="bottom"/>
            <w:gridSpan w:val="5"/>
          </w:tcPr>
          <w:p>
            <w:pPr>
              <w:jc w:val="right"/>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r>
              <w:rPr>
                <w:rFonts w:ascii="Arial" w:cs="Arial" w:eastAsia="Arial" w:hAnsi="Arial"/>
                <w:sz w:val="12"/>
                <w:szCs w:val="12"/>
                <w:color w:val="auto"/>
              </w:rPr>
              <w:t>81.1%​​ ​</w:t>
            </w:r>
          </w:p>
        </w:tc>
        <w:tc>
          <w:tcPr>
            <w:tcW w:w="4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85.2%</w:t>
            </w:r>
            <w:r>
              <w:rPr>
                <w:rFonts w:ascii="Arial" w:cs="Arial" w:eastAsia="Arial" w:hAnsi="Arial"/>
                <w:sz w:val="12"/>
                <w:szCs w:val="12"/>
                <w:b w:val="1"/>
                <w:bCs w:val="1"/>
                <w:color w:val="auto"/>
              </w:rPr>
              <w:t>​</w:t>
            </w:r>
          </w:p>
        </w:tc>
      </w:tr>
      <w:tr>
        <w:trPr>
          <w:trHeight w:val="184"/>
        </w:trPr>
        <w:tc>
          <w:tcPr>
            <w:tcW w:w="280" w:type="dxa"/>
            <w:vAlign w:val="bottom"/>
            <w:gridSpan w:val="2"/>
          </w:tcPr>
          <w:p>
            <w:pPr>
              <w:jc w:val="right"/>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1.2%​​ ​</w:t>
            </w:r>
          </w:p>
        </w:tc>
        <w:tc>
          <w:tcPr>
            <w:tcW w:w="420" w:type="dxa"/>
            <w:vAlign w:val="bottom"/>
            <w:gridSpan w:val="3"/>
          </w:tcPr>
          <w:p>
            <w:pPr>
              <w:jc w:val="right"/>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0.9%</w:t>
            </w:r>
            <w:r>
              <w:rPr>
                <w:rFonts w:ascii="Arial" w:cs="Arial" w:eastAsia="Arial" w:hAnsi="Arial"/>
                <w:sz w:val="12"/>
                <w:szCs w:val="12"/>
                <w:b w:val="1"/>
                <w:bCs w:val="1"/>
                <w:color w:val="auto"/>
              </w:rPr>
              <w:t>​</w:t>
            </w:r>
          </w:p>
        </w:tc>
      </w:tr>
      <w:tr>
        <w:trPr>
          <w:trHeight w:val="158"/>
        </w:trPr>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3"/>
          </w:tcPr>
          <w:p>
            <w:pPr>
              <w:jc w:val="right"/>
              <w:ind w:right="48"/>
              <w:spacing w:after="0"/>
              <w:rPr>
                <w:sz w:val="20"/>
                <w:szCs w:val="20"/>
                <w:color w:val="auto"/>
              </w:rPr>
            </w:pPr>
            <w:r>
              <w:rPr>
                <w:rFonts w:ascii="Arial" w:cs="Arial" w:eastAsia="Arial" w:hAnsi="Arial"/>
                <w:sz w:val="12"/>
                <w:szCs w:val="12"/>
                <w:color w:val="auto"/>
              </w:rPr>
              <w:t>0.0%</w:t>
            </w:r>
          </w:p>
        </w:tc>
        <w:tc>
          <w:tcPr>
            <w:tcW w:w="420" w:type="dxa"/>
            <w:vAlign w:val="bottom"/>
            <w:gridSpan w:val="3"/>
          </w:tcPr>
          <w:p>
            <w:pPr>
              <w:jc w:val="right"/>
              <w:spacing w:after="0"/>
              <w:rPr>
                <w:sz w:val="20"/>
                <w:szCs w:val="20"/>
                <w:color w:val="auto"/>
              </w:rPr>
            </w:pPr>
            <w:r>
              <w:rPr>
                <w:rFonts w:ascii="Arial" w:cs="Arial" w:eastAsia="Arial" w:hAnsi="Arial"/>
                <w:sz w:val="12"/>
                <w:szCs w:val="12"/>
                <w:color w:val="auto"/>
              </w:rPr>
              <w:t>​ 0.0%</w:t>
            </w:r>
          </w:p>
        </w:tc>
      </w:tr>
      <w:tr>
        <w:trPr>
          <w:trHeight w:val="161"/>
        </w:trPr>
        <w:tc>
          <w:tcPr>
            <w:tcW w:w="160" w:type="dxa"/>
            <w:vAlign w:val="bottom"/>
          </w:tcPr>
          <w:p>
            <w:pPr>
              <w:ind w:left="40"/>
              <w:spacing w:after="0"/>
              <w:rPr>
                <w:sz w:val="20"/>
                <w:szCs w:val="20"/>
                <w:color w:val="auto"/>
              </w:rPr>
            </w:pPr>
            <w:r>
              <w:rPr>
                <w:rFonts w:ascii="Arial" w:cs="Arial" w:eastAsia="Arial" w:hAnsi="Arial"/>
                <w:sz w:val="12"/>
                <w:szCs w:val="12"/>
                <w:color w:val="auto"/>
              </w:rPr>
              <w:t>​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93" w:lineRule="exact"/>
        <w:rPr>
          <w:sz w:val="20"/>
          <w:szCs w:val="20"/>
          <w:color w:val="auto"/>
        </w:rPr>
      </w:pPr>
    </w:p>
    <w:p>
      <w:pPr>
        <w:sectPr>
          <w:pgSz w:w="11900" w:h="16838" w:orient="portrait"/>
          <w:cols w:equalWidth="0" w:num="2">
            <w:col w:w="5660" w:space="720"/>
            <w:col w:w="2639"/>
          </w:cols>
          <w:pgMar w:left="1440" w:top="109" w:right="1440" w:bottom="1440" w:gutter="0" w:footer="0" w:header="0"/>
          <w:type w:val="continuous"/>
        </w:sectPr>
      </w:pPr>
    </w:p>
    <w:p>
      <w:pPr>
        <w:ind w:left="1980" w:right="1579" w:hanging="157"/>
        <w:spacing w:after="0" w:line="274" w:lineRule="auto"/>
        <w:tabs>
          <w:tab w:leader="none" w:pos="198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The expected term represents the period that the share-based awards are expected</w:t>
      </w:r>
      <w:r>
        <w:rPr>
          <w:rFonts w:ascii="Arial" w:cs="Arial" w:eastAsia="Arial" w:hAnsi="Arial"/>
          <w:sz w:val="12"/>
          <w:szCs w:val="12"/>
          <w:i w:val="1"/>
          <w:iCs w:val="1"/>
          <w:color w:val="auto"/>
        </w:rPr>
        <w:t xml:space="preserve"> </w:t>
      </w:r>
      <w:r>
        <w:rPr>
          <w:rFonts w:ascii="Arial" w:cs="Arial" w:eastAsia="Arial" w:hAnsi="Arial"/>
          <w:sz w:val="12"/>
          <w:szCs w:val="12"/>
          <w:color w:val="auto"/>
        </w:rPr>
        <w:t>to be outstanding. 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35" w:lineRule="exact"/>
        <w:rPr>
          <w:rFonts w:ascii="Arial" w:cs="Arial" w:eastAsia="Arial" w:hAnsi="Arial"/>
          <w:sz w:val="12"/>
          <w:szCs w:val="12"/>
          <w:color w:val="auto"/>
        </w:rPr>
      </w:pPr>
    </w:p>
    <w:p>
      <w:pPr>
        <w:ind w:left="1980" w:right="1579" w:hanging="157"/>
        <w:spacing w:after="0" w:line="275" w:lineRule="auto"/>
        <w:tabs>
          <w:tab w:leader="none" w:pos="198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The Company estimated the volatility data based on a study of publicly traded</w:t>
      </w:r>
      <w:r>
        <w:rPr>
          <w:rFonts w:ascii="Arial" w:cs="Arial" w:eastAsia="Arial" w:hAnsi="Arial"/>
          <w:sz w:val="12"/>
          <w:szCs w:val="12"/>
          <w:i w:val="1"/>
          <w:iCs w:val="1"/>
          <w:color w:val="auto"/>
        </w:rPr>
        <w:t xml:space="preserve"> </w:t>
      </w:r>
      <w:r>
        <w:rPr>
          <w:rFonts w:ascii="Arial" w:cs="Arial" w:eastAsia="Arial" w:hAnsi="Arial"/>
          <w:sz w:val="12"/>
          <w:szCs w:val="12"/>
          <w:color w:val="auto"/>
        </w:rPr>
        <w:t>industry peer companies as it did not have any trading history for its ordinary shares.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share price becomes available.</w:t>
      </w:r>
    </w:p>
    <w:p>
      <w:pPr>
        <w:spacing w:after="0" w:line="24" w:lineRule="exact"/>
        <w:rPr>
          <w:rFonts w:ascii="Arial" w:cs="Arial" w:eastAsia="Arial" w:hAnsi="Arial"/>
          <w:sz w:val="12"/>
          <w:szCs w:val="12"/>
          <w:color w:val="auto"/>
        </w:rPr>
      </w:pPr>
    </w:p>
    <w:p>
      <w:pPr>
        <w:jc w:val="both"/>
        <w:ind w:left="1980" w:right="1639" w:hanging="157"/>
        <w:spacing w:after="0" w:line="288" w:lineRule="auto"/>
        <w:tabs>
          <w:tab w:leader="none" w:pos="198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is based on the U.S. Treasury yield in effect at the</w:t>
      </w:r>
      <w:r>
        <w:rPr>
          <w:rFonts w:ascii="Arial" w:cs="Arial" w:eastAsia="Arial" w:hAnsi="Arial"/>
          <w:sz w:val="12"/>
          <w:szCs w:val="12"/>
          <w:i w:val="1"/>
          <w:iCs w:val="1"/>
          <w:color w:val="auto"/>
        </w:rPr>
        <w:t xml:space="preserve"> </w:t>
      </w:r>
      <w:r>
        <w:rPr>
          <w:rFonts w:ascii="Arial" w:cs="Arial" w:eastAsia="Arial" w:hAnsi="Arial"/>
          <w:sz w:val="12"/>
          <w:szCs w:val="12"/>
          <w:color w:val="auto"/>
        </w:rPr>
        <w:t>time of grant for zero-coupon U.S. Treasury notes with remaining terms similar to the expected term of the options.</w:t>
      </w:r>
    </w:p>
    <w:p>
      <w:pPr>
        <w:spacing w:after="0" w:line="15" w:lineRule="exact"/>
        <w:rPr>
          <w:rFonts w:ascii="Arial" w:cs="Arial" w:eastAsia="Arial" w:hAnsi="Arial"/>
          <w:sz w:val="12"/>
          <w:szCs w:val="12"/>
          <w:color w:val="auto"/>
        </w:rPr>
      </w:pPr>
    </w:p>
    <w:p>
      <w:pPr>
        <w:ind w:left="1980" w:right="1639" w:hanging="157"/>
        <w:spacing w:after="0" w:line="308" w:lineRule="auto"/>
        <w:tabs>
          <w:tab w:leader="none" w:pos="198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The expected dividend is assumed to be zero as the Company has never</w:t>
      </w:r>
      <w:r>
        <w:rPr>
          <w:rFonts w:ascii="Arial" w:cs="Arial" w:eastAsia="Arial" w:hAnsi="Arial"/>
          <w:sz w:val="12"/>
          <w:szCs w:val="12"/>
          <w:i w:val="1"/>
          <w:iCs w:val="1"/>
          <w:color w:val="auto"/>
        </w:rPr>
        <w:t xml:space="preserve"> </w:t>
      </w:r>
      <w:r>
        <w:rPr>
          <w:rFonts w:ascii="Arial" w:cs="Arial" w:eastAsia="Arial" w:hAnsi="Arial"/>
          <w:sz w:val="12"/>
          <w:szCs w:val="12"/>
          <w:color w:val="auto"/>
        </w:rPr>
        <w:t>paid dividends and has no current plans to.</w:t>
      </w:r>
    </w:p>
    <w:p>
      <w:pPr>
        <w:spacing w:after="0" w:line="62" w:lineRule="exact"/>
        <w:rPr>
          <w:sz w:val="20"/>
          <w:szCs w:val="20"/>
          <w:color w:val="auto"/>
        </w:rPr>
      </w:pPr>
    </w:p>
    <w:p>
      <w:pPr>
        <w:ind w:left="1560" w:right="1619"/>
        <w:spacing w:after="0" w:line="288" w:lineRule="auto"/>
        <w:rPr>
          <w:sz w:val="20"/>
          <w:szCs w:val="20"/>
          <w:color w:val="auto"/>
        </w:rPr>
      </w:pPr>
      <w:r>
        <w:rPr>
          <w:rFonts w:ascii="Arial" w:cs="Arial" w:eastAsia="Arial" w:hAnsi="Arial"/>
          <w:sz w:val="12"/>
          <w:szCs w:val="12"/>
          <w:color w:val="auto"/>
        </w:rPr>
        <w:t>In addition to the assumptions used in the Black-Scholes option-pricing model, the Company recognizes the actual forfeitures by reducing the employee share-based compensation expense in the same period the forfeiture occurs.</w:t>
      </w:r>
    </w:p>
    <w:p>
      <w:pPr>
        <w:spacing w:after="0" w:line="7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Share Option Modification</w:t>
      </w:r>
    </w:p>
    <w:p>
      <w:pPr>
        <w:spacing w:after="0" w:line="113" w:lineRule="exact"/>
        <w:rPr>
          <w:sz w:val="20"/>
          <w:szCs w:val="20"/>
          <w:color w:val="auto"/>
        </w:rPr>
      </w:pPr>
    </w:p>
    <w:p>
      <w:pPr>
        <w:ind w:left="1560" w:right="1619"/>
        <w:spacing w:after="0" w:line="282" w:lineRule="auto"/>
        <w:rPr>
          <w:sz w:val="20"/>
          <w:szCs w:val="20"/>
          <w:color w:val="auto"/>
        </w:rPr>
      </w:pPr>
      <w:r>
        <w:rPr>
          <w:rFonts w:ascii="Arial" w:cs="Arial" w:eastAsia="Arial" w:hAnsi="Arial"/>
          <w:sz w:val="12"/>
          <w:szCs w:val="12"/>
          <w:color w:val="auto"/>
        </w:rPr>
        <w:t>In November 2021, the Company entered into a separation and consulting agreement in connection with the resignation of a Company founder and executive. The terms of the agreement resulted in compensation expense for unvested awards expected to vest during the consultancy of  $0.5 million was recognized immediately during the year ended December 31, 2021 as no substantive future service was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75" w:name="page276"/>
    <w:bookmarkEnd w:id="27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12. Income Taxes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following table presents loss before income tax expense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ind w:left="100"/>
              <w:spacing w:after="0"/>
              <w:rPr>
                <w:sz w:val="20"/>
                <w:szCs w:val="20"/>
                <w:color w:val="auto"/>
              </w:rPr>
            </w:pPr>
            <w:r>
              <w:rPr>
                <w:rFonts w:ascii="Arial" w:cs="Arial" w:eastAsia="Arial" w:hAnsi="Arial"/>
                <w:sz w:val="10"/>
                <w:szCs w:val="10"/>
                <w:b w:val="1"/>
                <w:bCs w:val="1"/>
                <w:color w:val="auto"/>
              </w:rPr>
              <w:t>YEAR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center"/>
              <w:ind w:right="84"/>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0"/>
                <w:szCs w:val="10"/>
                <w:b w:val="1"/>
                <w:bCs w:val="1"/>
                <w:color w:val="auto"/>
              </w:rPr>
              <w:t>​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 ​</w:t>
            </w:r>
          </w:p>
        </w:tc>
        <w:tc>
          <w:tcPr>
            <w:tcW w:w="40" w:type="dxa"/>
            <w:vAlign w:val="bottom"/>
          </w:tcPr>
          <w:p>
            <w:pPr>
              <w:spacing w:after="0"/>
              <w:rPr>
                <w:sz w:val="13"/>
                <w:szCs w:val="13"/>
                <w:color w:val="auto"/>
              </w:rPr>
            </w:pPr>
          </w:p>
        </w:tc>
        <w:tc>
          <w:tcPr>
            <w:tcW w:w="480" w:type="dxa"/>
            <w:vAlign w:val="bottom"/>
          </w:tcPr>
          <w:p>
            <w:pPr>
              <w:jc w:val="right"/>
              <w:ind w:right="84"/>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4"/>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Loss before income expense:</w:t>
            </w:r>
          </w:p>
        </w:tc>
        <w:tc>
          <w:tcPr>
            <w:tcW w:w="1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20"/>
              <w:spacing w:after="0"/>
              <w:rPr>
                <w:sz w:val="20"/>
                <w:szCs w:val="20"/>
                <w:color w:val="auto"/>
              </w:rPr>
            </w:pPr>
            <w:r>
              <w:rPr>
                <w:rFonts w:ascii="Arial" w:cs="Arial" w:eastAsia="Arial" w:hAnsi="Arial"/>
                <w:sz w:val="12"/>
                <w:szCs w:val="12"/>
                <w:color w:val="auto"/>
              </w:rPr>
              <w:t>Domestic loss</w:t>
            </w:r>
          </w:p>
        </w:tc>
        <w:tc>
          <w:tcPr>
            <w:tcW w:w="1400" w:type="dxa"/>
            <w:vAlign w:val="bottom"/>
            <w:gridSpan w:val="9"/>
          </w:tcPr>
          <w:p>
            <w:pPr>
              <w:jc w:val="right"/>
              <w:spacing w:after="0"/>
              <w:rPr>
                <w:sz w:val="20"/>
                <w:szCs w:val="20"/>
                <w:color w:val="auto"/>
              </w:rPr>
            </w:pPr>
            <w:r>
              <w:rPr>
                <w:rFonts w:ascii="Arial" w:cs="Arial" w:eastAsia="Arial" w:hAnsi="Arial"/>
                <w:sz w:val="12"/>
                <w:szCs w:val="12"/>
                <w:color w:val="auto"/>
              </w:rPr>
              <w:t>​ ​​$ (16,831)​​ ​​$ (35,051)​</w:t>
            </w:r>
          </w:p>
        </w:tc>
        <w:tc>
          <w:tcPr>
            <w:tcW w:w="0" w:type="dxa"/>
            <w:vAlign w:val="bottom"/>
          </w:tcPr>
          <w:p>
            <w:pPr>
              <w:spacing w:after="0"/>
              <w:rPr>
                <w:sz w:val="1"/>
                <w:szCs w:val="1"/>
                <w:color w:val="auto"/>
              </w:rPr>
            </w:pPr>
          </w:p>
        </w:tc>
      </w:tr>
      <w:tr>
        <w:trPr>
          <w:trHeight w:val="173"/>
        </w:trPr>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Foreign income (loss)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w w:val="93"/>
              </w:rPr>
              <w:t>1,093</w:t>
            </w: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2"/>
                <w:szCs w:val="12"/>
                <w:color w:val="auto"/>
              </w:rPr>
              <w:t>​​ ​​</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(2,767)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20" w:type="dxa"/>
            <w:vAlign w:val="bottom"/>
          </w:tcPr>
          <w:p>
            <w:pPr>
              <w:spacing w:after="0" w:line="125" w:lineRule="exact"/>
              <w:rPr>
                <w:sz w:val="20"/>
                <w:szCs w:val="20"/>
                <w:color w:val="auto"/>
              </w:rPr>
            </w:pPr>
            <w:r>
              <w:rPr>
                <w:rFonts w:ascii="Arial" w:cs="Arial" w:eastAsia="Arial" w:hAnsi="Arial"/>
                <w:sz w:val="12"/>
                <w:szCs w:val="12"/>
                <w:color w:val="auto"/>
              </w:rPr>
              <w:t>Loss before income tax expense</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80" w:type="dxa"/>
            <w:vAlign w:val="bottom"/>
            <w:gridSpan w:val="4"/>
          </w:tcPr>
          <w:p>
            <w:pPr>
              <w:jc w:val="right"/>
              <w:ind w:right="91"/>
              <w:spacing w:after="0" w:line="125" w:lineRule="exact"/>
              <w:rPr>
                <w:sz w:val="20"/>
                <w:szCs w:val="20"/>
                <w:color w:val="auto"/>
              </w:rPr>
            </w:pPr>
            <w:r>
              <w:rPr>
                <w:rFonts w:ascii="Arial" w:cs="Arial" w:eastAsia="Arial" w:hAnsi="Arial"/>
                <w:sz w:val="12"/>
                <w:szCs w:val="12"/>
                <w:color w:val="auto"/>
                <w:w w:val="94"/>
              </w:rPr>
              <w:t>$ (15,738)</w:t>
            </w:r>
          </w:p>
        </w:tc>
        <w:tc>
          <w:tcPr>
            <w:tcW w:w="560" w:type="dxa"/>
            <w:vAlign w:val="bottom"/>
            <w:gridSpan w:val="3"/>
          </w:tcPr>
          <w:p>
            <w:pPr>
              <w:jc w:val="right"/>
              <w:spacing w:after="0" w:line="125" w:lineRule="exact"/>
              <w:rPr>
                <w:sz w:val="20"/>
                <w:szCs w:val="20"/>
                <w:color w:val="auto"/>
              </w:rPr>
            </w:pPr>
            <w:r>
              <w:rPr>
                <w:rFonts w:ascii="Arial" w:cs="Arial" w:eastAsia="Arial" w:hAnsi="Arial"/>
                <w:sz w:val="12"/>
                <w:szCs w:val="12"/>
                <w:color w:val="auto"/>
                <w:w w:val="98"/>
              </w:rPr>
              <w:t>$ (37,818)</w:t>
            </w:r>
          </w:p>
        </w:tc>
        <w:tc>
          <w:tcPr>
            <w:tcW w:w="0" w:type="dxa"/>
            <w:vAlign w:val="bottom"/>
          </w:tcPr>
          <w:p>
            <w:pPr>
              <w:spacing w:after="0"/>
              <w:rPr>
                <w:sz w:val="1"/>
                <w:szCs w:val="1"/>
                <w:color w:val="auto"/>
              </w:rPr>
            </w:pPr>
          </w:p>
        </w:tc>
      </w:tr>
      <w:tr>
        <w:trPr>
          <w:trHeight w:val="48"/>
        </w:trPr>
        <w:tc>
          <w:tcPr>
            <w:tcW w:w="45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gridSpan w:val="2"/>
          </w:tcPr>
          <w:p>
            <w:pPr>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gridSpan w:val="2"/>
          </w:tcPr>
          <w:p>
            <w:pPr>
              <w:jc w:val="center"/>
              <w:spacing w:after="0" w:line="49" w:lineRule="exact"/>
              <w:rPr>
                <w:sz w:val="20"/>
                <w:szCs w:val="20"/>
                <w:color w:val="auto"/>
              </w:rPr>
            </w:pPr>
            <w:r>
              <w:rPr>
                <w:rFonts w:ascii="Arial" w:cs="Arial" w:eastAsia="Arial" w:hAnsi="Arial"/>
                <w:sz w:val="5"/>
                <w:szCs w:val="5"/>
                <w:color w:val="auto"/>
              </w:rPr>
              <w:t>​​ ​​</w:t>
            </w:r>
          </w:p>
        </w:tc>
        <w:tc>
          <w:tcPr>
            <w:tcW w:w="48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-558165</wp:posOffset>
            </wp:positionV>
            <wp:extent cx="373316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6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The following table presents the current and deferred income tax provision for income taxes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69"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5080</wp:posOffset>
            </wp:positionV>
            <wp:extent cx="3733165" cy="1168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Current tax provision (benefit):</w:t>
      </w:r>
    </w:p>
    <w:p>
      <w:pPr>
        <w:spacing w:after="0" w:line="40"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State</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27305</wp:posOffset>
            </wp:positionV>
            <wp:extent cx="3733165" cy="1289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733165" cy="128905"/>
                    </a:xfrm>
                    <a:prstGeom prst="rect">
                      <a:avLst/>
                    </a:prstGeom>
                    <a:noFill/>
                  </pic:spPr>
                </pic:pic>
              </a:graphicData>
            </a:graphic>
          </wp:anchor>
        </w:drawing>
      </w:r>
    </w:p>
    <w:p>
      <w:pPr>
        <w:spacing w:after="0" w:line="6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Deferred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Federal</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289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733165" cy="128905"/>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Foreign</w:t>
      </w:r>
    </w:p>
    <w:p>
      <w:pPr>
        <w:spacing w:after="0" w:line="8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8890</wp:posOffset>
            </wp:positionV>
            <wp:extent cx="3733165" cy="135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733165" cy="135255"/>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Total 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94615</wp:posOffset>
            </wp:positionV>
            <wp:extent cx="3733165"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auto"/>
        </w:rPr>
        <w:t>YEAR ENDED</w:t>
      </w:r>
    </w:p>
    <w:p>
      <w:pPr>
        <w:spacing w:after="0" w:line="188" w:lineRule="auto"/>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DECEMBER 31,</w:t>
      </w:r>
      <w:r>
        <w:rPr>
          <w:rFonts w:ascii="Arial" w:cs="Arial" w:eastAsia="Arial" w:hAnsi="Arial"/>
          <w:sz w:val="20"/>
          <w:szCs w:val="20"/>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-4445</wp:posOffset>
            </wp:positionV>
            <wp:extent cx="528320"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832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680" w:type="dxa"/>
            <w:vAlign w:val="bottom"/>
            <w:gridSpan w:val="6"/>
          </w:tcPr>
          <w:p>
            <w:pPr>
              <w:ind w:left="40"/>
              <w:spacing w:after="0" w:line="166"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0"/>
                <w:szCs w:val="10"/>
                <w:b w:val="1"/>
                <w:bCs w:val="1"/>
                <w:color w:val="auto"/>
              </w:rPr>
              <w:t xml:space="preserve"> 2020  </w:t>
            </w:r>
            <w:r>
              <w:rPr>
                <w:rFonts w:ascii="Arial" w:cs="Arial" w:eastAsia="Arial" w:hAnsi="Arial"/>
                <w:sz w:val="19"/>
                <w:szCs w:val="19"/>
                <w:b w:val="1"/>
                <w:bCs w:val="1"/>
                <w:color w:val="auto"/>
                <w:vertAlign w:val="subscript"/>
              </w:rPr>
              <w:t>​ ​</w:t>
            </w:r>
          </w:p>
        </w:tc>
        <w:tc>
          <w:tcPr>
            <w:tcW w:w="340" w:type="dxa"/>
            <w:vAlign w:val="bottom"/>
            <w:gridSpan w:val="4"/>
          </w:tcPr>
          <w:p>
            <w:pPr>
              <w:jc w:val="right"/>
              <w:spacing w:after="0" w:line="166" w:lineRule="exact"/>
              <w:rPr>
                <w:sz w:val="20"/>
                <w:szCs w:val="20"/>
                <w:color w:val="auto"/>
              </w:rPr>
            </w:pPr>
            <w:r>
              <w:rPr>
                <w:rFonts w:ascii="Arial" w:cs="Arial" w:eastAsia="Arial" w:hAnsi="Arial"/>
                <w:sz w:val="10"/>
                <w:szCs w:val="10"/>
                <w:b w:val="1"/>
                <w:bCs w:val="1"/>
                <w:color w:val="auto"/>
              </w:rPr>
              <w:t xml:space="preserve">2021 </w:t>
            </w:r>
            <w:r>
              <w:rPr>
                <w:rFonts w:ascii="Arial" w:cs="Arial" w:eastAsia="Arial" w:hAnsi="Arial"/>
                <w:sz w:val="19"/>
                <w:szCs w:val="19"/>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24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3"/>
          </w:tcPr>
          <w:p>
            <w:pPr>
              <w:jc w:val="right"/>
              <w:ind w:right="215"/>
              <w:spacing w:after="0"/>
              <w:rPr>
                <w:sz w:val="20"/>
                <w:szCs w:val="20"/>
                <w:color w:val="auto"/>
              </w:rPr>
            </w:pPr>
            <w:r>
              <w:rPr>
                <w:rFonts w:ascii="Arial" w:cs="Arial" w:eastAsia="Arial" w:hAnsi="Arial"/>
                <w:sz w:val="12"/>
                <w:szCs w:val="12"/>
                <w:color w:val="auto"/>
              </w:rPr>
              <w:t>​</w:t>
            </w:r>
          </w:p>
        </w:tc>
      </w:tr>
      <w:tr>
        <w:trPr>
          <w:trHeight w:val="184"/>
        </w:trPr>
        <w:tc>
          <w:tcPr>
            <w:tcW w:w="24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4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580" w:type="dxa"/>
            <w:vAlign w:val="bottom"/>
            <w:gridSpan w:val="5"/>
          </w:tcPr>
          <w:p>
            <w:pPr>
              <w:ind w:left="40"/>
              <w:spacing w:after="0" w:line="185"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​138</w:t>
            </w:r>
            <w:r>
              <w:rPr>
                <w:rFonts w:ascii="Arial" w:cs="Arial" w:eastAsia="Arial" w:hAnsi="Arial"/>
                <w:sz w:val="11"/>
                <w:szCs w:val="11"/>
                <w:color w:val="auto"/>
              </w:rPr>
              <w:t>​​</w:t>
            </w:r>
          </w:p>
        </w:tc>
        <w:tc>
          <w:tcPr>
            <w:tcW w:w="440" w:type="dxa"/>
            <w:vAlign w:val="bottom"/>
            <w:gridSpan w:val="5"/>
          </w:tcPr>
          <w:p>
            <w:pPr>
              <w:jc w:val="right"/>
              <w:spacing w:after="0" w:line="185"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​219</w:t>
            </w:r>
            <w:r>
              <w:rPr>
                <w:rFonts w:ascii="Arial" w:cs="Arial" w:eastAsia="Arial" w:hAnsi="Arial"/>
                <w:sz w:val="21"/>
                <w:szCs w:val="2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580" w:type="dxa"/>
            <w:vAlign w:val="bottom"/>
            <w:gridSpan w:val="5"/>
          </w:tcPr>
          <w:p>
            <w:pPr>
              <w:ind w:left="40"/>
              <w:spacing w:after="0" w:line="173"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0"/>
                <w:szCs w:val="20"/>
                <w:color w:val="auto"/>
                <w:vertAlign w:val="superscript"/>
              </w:rPr>
              <w:t>​138</w:t>
            </w:r>
            <w:r>
              <w:rPr>
                <w:rFonts w:ascii="Arial" w:cs="Arial" w:eastAsia="Arial" w:hAnsi="Arial"/>
                <w:sz w:val="11"/>
                <w:szCs w:val="11"/>
                <w:color w:val="auto"/>
              </w:rPr>
              <w:t>​​</w:t>
            </w:r>
          </w:p>
        </w:tc>
        <w:tc>
          <w:tcPr>
            <w:tcW w:w="440" w:type="dxa"/>
            <w:vAlign w:val="bottom"/>
            <w:gridSpan w:val="5"/>
          </w:tcPr>
          <w:p>
            <w:pPr>
              <w:jc w:val="right"/>
              <w:spacing w:after="0" w:line="173"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​219</w:t>
            </w:r>
            <w:r>
              <w:rPr>
                <w:rFonts w:ascii="Arial" w:cs="Arial" w:eastAsia="Arial" w:hAnsi="Arial"/>
                <w:sz w:val="20"/>
                <w:szCs w:val="20"/>
                <w:color w:val="auto"/>
                <w:vertAlign w:val="subscript"/>
              </w:rPr>
              <w:t>​</w:t>
            </w:r>
          </w:p>
        </w:tc>
      </w:tr>
      <w:tr>
        <w:trPr>
          <w:trHeight w:val="20"/>
        </w:trPr>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4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184"/>
        </w:trPr>
        <w:tc>
          <w:tcPr>
            <w:tcW w:w="24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4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580" w:type="dxa"/>
            <w:vAlign w:val="bottom"/>
            <w:gridSpan w:val="5"/>
          </w:tcPr>
          <w:p>
            <w:pPr>
              <w:ind w:left="40"/>
              <w:spacing w:after="0" w:line="185"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 —</w:t>
            </w:r>
            <w:r>
              <w:rPr>
                <w:rFonts w:ascii="Arial" w:cs="Arial" w:eastAsia="Arial" w:hAnsi="Arial"/>
                <w:sz w:val="11"/>
                <w:szCs w:val="11"/>
                <w:color w:val="auto"/>
              </w:rPr>
              <w:t>​​</w:t>
            </w:r>
          </w:p>
        </w:tc>
        <w:tc>
          <w:tcPr>
            <w:tcW w:w="440" w:type="dxa"/>
            <w:vAlign w:val="bottom"/>
            <w:gridSpan w:val="5"/>
          </w:tcPr>
          <w:p>
            <w:pPr>
              <w:jc w:val="right"/>
              <w:spacing w:after="0" w:line="185"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  —</w:t>
            </w:r>
            <w:r>
              <w:rPr>
                <w:rFonts w:ascii="Arial" w:cs="Arial" w:eastAsia="Arial" w:hAnsi="Arial"/>
                <w:sz w:val="11"/>
                <w:szCs w:val="1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580" w:type="dxa"/>
            <w:vAlign w:val="bottom"/>
            <w:gridSpan w:val="5"/>
          </w:tcPr>
          <w:p>
            <w:pPr>
              <w:ind w:left="40"/>
              <w:spacing w:after="0" w:line="173"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0"/>
                <w:szCs w:val="20"/>
                <w:color w:val="auto"/>
                <w:vertAlign w:val="superscript"/>
              </w:rPr>
              <w:t>​ —</w:t>
            </w:r>
            <w:r>
              <w:rPr>
                <w:rFonts w:ascii="Arial" w:cs="Arial" w:eastAsia="Arial" w:hAnsi="Arial"/>
                <w:sz w:val="11"/>
                <w:szCs w:val="11"/>
                <w:color w:val="auto"/>
              </w:rPr>
              <w:t>​​</w:t>
            </w:r>
          </w:p>
        </w:tc>
        <w:tc>
          <w:tcPr>
            <w:tcW w:w="440" w:type="dxa"/>
            <w:vAlign w:val="bottom"/>
            <w:gridSpan w:val="5"/>
          </w:tcPr>
          <w:p>
            <w:pPr>
              <w:jc w:val="right"/>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perscript"/>
              </w:rPr>
              <w:t>​  —</w:t>
            </w:r>
            <w:r>
              <w:rPr>
                <w:rFonts w:ascii="Arial" w:cs="Arial" w:eastAsia="Arial" w:hAnsi="Arial"/>
                <w:sz w:val="11"/>
                <w:szCs w:val="11"/>
                <w:color w:val="auto"/>
              </w:rPr>
              <w:t>​</w:t>
            </w: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40" w:type="dxa"/>
            <w:vAlign w:val="bottom"/>
            <w:gridSpan w:val="2"/>
          </w:tcPr>
          <w:p>
            <w:pPr>
              <w:ind w:left="40"/>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34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138</w:t>
            </w:r>
            <w:r>
              <w:rPr>
                <w:rFonts w:ascii="Arial" w:cs="Arial" w:eastAsia="Arial" w:hAnsi="Arial"/>
                <w:sz w:val="20"/>
                <w:szCs w:val="20"/>
                <w:color w:val="auto"/>
                <w:vertAlign w:val="subscript"/>
              </w:rPr>
              <w:t>​​</w:t>
            </w:r>
          </w:p>
        </w:tc>
        <w:tc>
          <w:tcPr>
            <w:tcW w:w="180" w:type="dxa"/>
            <w:vAlign w:val="bottom"/>
            <w:gridSpan w:val="2"/>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26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219</w:t>
            </w:r>
            <w:r>
              <w:rPr>
                <w:rFonts w:ascii="Arial" w:cs="Arial" w:eastAsia="Arial" w:hAnsi="Arial"/>
                <w:sz w:val="20"/>
                <w:szCs w:val="20"/>
                <w:color w:val="auto"/>
                <w:vertAlign w:val="subscript"/>
              </w:rPr>
              <w:t>​</w:t>
            </w:r>
          </w:p>
        </w:tc>
      </w:tr>
      <w:tr>
        <w:trPr>
          <w:trHeight w:val="20"/>
        </w:trPr>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5740" w:space="720"/>
            <w:col w:w="2559"/>
          </w:cols>
          <w:pgMar w:left="1440" w:top="109" w:right="1440" w:bottom="1440" w:gutter="0" w:footer="0" w:header="0"/>
          <w:type w:val="continuous"/>
        </w:sectPr>
      </w:pPr>
    </w:p>
    <w:p>
      <w:pPr>
        <w:ind w:left="1560" w:right="1619"/>
        <w:spacing w:after="0" w:line="291" w:lineRule="auto"/>
        <w:rPr>
          <w:sz w:val="20"/>
          <w:szCs w:val="20"/>
          <w:color w:val="auto"/>
        </w:rPr>
      </w:pPr>
      <w:r>
        <w:rPr>
          <w:rFonts w:ascii="Arial" w:cs="Arial" w:eastAsia="Arial" w:hAnsi="Arial"/>
          <w:sz w:val="12"/>
          <w:szCs w:val="12"/>
          <w:color w:val="auto"/>
        </w:rPr>
        <w:t>The Company is domiciled in the Cayman Islands. A reconciliation of the expected tax computed at the zero tax rate for the Cayman Islands to the total provision for income taxes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74295</wp:posOffset>
            </wp:positionV>
            <wp:extent cx="3733165"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52"/>
        </w:trPr>
        <w:tc>
          <w:tcPr>
            <w:tcW w:w="9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0"/>
                <w:szCs w:val="10"/>
                <w:b w:val="1"/>
                <w:bCs w:val="1"/>
                <w:color w:val="auto"/>
              </w:rPr>
              <w:t>​</w:t>
            </w:r>
          </w:p>
        </w:tc>
        <w:tc>
          <w:tcPr>
            <w:tcW w:w="236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0"/>
                <w:szCs w:val="10"/>
                <w:b w:val="1"/>
                <w:bCs w:val="1"/>
                <w:color w:val="auto"/>
              </w:rPr>
              <w:t>​ ​</w:t>
            </w:r>
          </w:p>
        </w:tc>
        <w:tc>
          <w:tcPr>
            <w:tcW w:w="9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900" w:type="dxa"/>
            <w:vAlign w:val="bottom"/>
          </w:tcPr>
          <w:p>
            <w:pPr>
              <w:jc w:val="right"/>
              <w:ind w:right="804"/>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900" w:type="dxa"/>
            <w:vAlign w:val="bottom"/>
          </w:tcPr>
          <w:p>
            <w:pPr>
              <w:spacing w:after="0"/>
              <w:rPr>
                <w:sz w:val="13"/>
                <w:szCs w:val="13"/>
                <w:color w:val="auto"/>
              </w:rPr>
            </w:pPr>
          </w:p>
        </w:tc>
        <w:tc>
          <w:tcPr>
            <w:tcW w:w="23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w:t>
            </w:r>
          </w:p>
        </w:tc>
        <w:tc>
          <w:tcPr>
            <w:tcW w:w="2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 ​</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jc w:val="right"/>
              <w:ind w:right="28"/>
              <w:spacing w:after="0"/>
              <w:rPr>
                <w:sz w:val="20"/>
                <w:szCs w:val="20"/>
                <w:color w:val="auto"/>
              </w:rPr>
            </w:pPr>
            <w:r>
              <w:rPr>
                <w:rFonts w:ascii="Arial" w:cs="Arial" w:eastAsia="Arial" w:hAnsi="Arial"/>
                <w:sz w:val="10"/>
                <w:szCs w:val="10"/>
                <w:b w:val="1"/>
                <w:bCs w:val="1"/>
                <w:color w:val="auto"/>
              </w:rPr>
              <w:t>​ ​</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3"/>
                <w:szCs w:val="13"/>
                <w:color w:val="auto"/>
              </w:rPr>
            </w:pPr>
          </w:p>
        </w:tc>
        <w:tc>
          <w:tcPr>
            <w:tcW w:w="900" w:type="dxa"/>
            <w:vAlign w:val="bottom"/>
          </w:tcPr>
          <w:p>
            <w:pPr>
              <w:jc w:val="right"/>
              <w:ind w:right="804"/>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4"/>
        </w:trPr>
        <w:tc>
          <w:tcPr>
            <w:tcW w:w="90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Expected tax at 0%</w:t>
            </w:r>
          </w:p>
        </w:tc>
        <w:tc>
          <w:tcPr>
            <w:tcW w:w="23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500" w:type="dxa"/>
            <w:vAlign w:val="bottom"/>
            <w:tcBorders>
              <w:right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2"/>
                <w:szCs w:val="12"/>
                <w:color w:val="auto"/>
              </w:rPr>
              <w:t>State income tax, net of federal tax</w:t>
            </w:r>
          </w:p>
        </w:tc>
        <w:tc>
          <w:tcPr>
            <w:tcW w:w="23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7.4</w:t>
            </w:r>
          </w:p>
        </w:tc>
        <w:tc>
          <w:tcPr>
            <w:tcW w:w="240" w:type="dxa"/>
            <w:vAlign w:val="bottom"/>
            <w:gridSpan w:val="2"/>
          </w:tcPr>
          <w:p>
            <w:pPr>
              <w:jc w:val="right"/>
              <w:ind w:right="8"/>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4.9</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23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500" w:type="dxa"/>
            <w:vAlign w:val="bottom"/>
            <w:tcBorders>
              <w:right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2"/>
                <w:szCs w:val="12"/>
                <w:color w:val="auto"/>
              </w:rPr>
              <w:t>— ​​ ​</w:t>
            </w:r>
          </w:p>
        </w:tc>
        <w:tc>
          <w:tcPr>
            <w:tcW w:w="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3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2"/>
                <w:szCs w:val="12"/>
                <w:color w:val="auto"/>
              </w:rPr>
              <w:t>Non-deductible expenses</w:t>
            </w:r>
          </w:p>
        </w:tc>
        <w:tc>
          <w:tcPr>
            <w:tcW w:w="23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4"/>
          </w:tcPr>
          <w:p>
            <w:pPr>
              <w:jc w:val="right"/>
              <w:ind w:right="8"/>
              <w:spacing w:after="0"/>
              <w:rPr>
                <w:sz w:val="20"/>
                <w:szCs w:val="20"/>
                <w:color w:val="auto"/>
              </w:rPr>
            </w:pPr>
            <w:r>
              <w:rPr>
                <w:rFonts w:ascii="Arial" w:cs="Arial" w:eastAsia="Arial" w:hAnsi="Arial"/>
                <w:sz w:val="12"/>
                <w:szCs w:val="12"/>
                <w:color w:val="auto"/>
              </w:rPr>
              <w:t>(0.2) ​​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3"/>
          </w:tcPr>
          <w:p>
            <w:pPr>
              <w:jc w:val="right"/>
              <w:ind w:right="804"/>
              <w:spacing w:after="0"/>
              <w:rPr>
                <w:sz w:val="20"/>
                <w:szCs w:val="20"/>
                <w:color w:val="auto"/>
              </w:rPr>
            </w:pPr>
            <w:r>
              <w:rPr>
                <w:rFonts w:ascii="Arial" w:cs="Arial" w:eastAsia="Arial" w:hAnsi="Arial"/>
                <w:sz w:val="12"/>
                <w:szCs w:val="12"/>
                <w:color w:val="auto"/>
              </w:rPr>
              <w:t xml:space="preserve">(0.2) </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U.S. income tax differential</w:t>
            </w:r>
          </w:p>
        </w:tc>
        <w:tc>
          <w:tcPr>
            <w:tcW w:w="23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7"/>
              </w:rPr>
              <w:t xml:space="preserve">​ </w:t>
            </w:r>
            <w:r>
              <w:rPr>
                <w:rFonts w:ascii="Arial" w:cs="Arial" w:eastAsia="Arial" w:hAnsi="Arial"/>
                <w:sz w:val="12"/>
                <w:szCs w:val="12"/>
                <w:color w:val="auto"/>
                <w:w w:val="97"/>
              </w:rPr>
              <w:t>22.3</w:t>
            </w:r>
          </w:p>
        </w:tc>
        <w:tc>
          <w:tcPr>
            <w:tcW w:w="2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2"/>
                <w:szCs w:val="12"/>
                <w:color w:val="auto"/>
              </w:rPr>
              <w:t>​​ ​</w:t>
            </w:r>
          </w:p>
        </w:tc>
        <w:tc>
          <w:tcPr>
            <w:tcW w:w="3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19.5</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2"/>
                <w:szCs w:val="12"/>
                <w:color w:val="auto"/>
              </w:rPr>
              <w:t>Other foreign income tax differential</w:t>
            </w:r>
          </w:p>
        </w:tc>
        <w:tc>
          <w:tcPr>
            <w:tcW w:w="23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4"/>
          </w:tcPr>
          <w:p>
            <w:pPr>
              <w:jc w:val="right"/>
              <w:ind w:right="8"/>
              <w:spacing w:after="0"/>
              <w:rPr>
                <w:sz w:val="20"/>
                <w:szCs w:val="20"/>
                <w:color w:val="auto"/>
              </w:rPr>
            </w:pPr>
            <w:r>
              <w:rPr>
                <w:rFonts w:ascii="Arial" w:cs="Arial" w:eastAsia="Arial" w:hAnsi="Arial"/>
                <w:sz w:val="12"/>
                <w:szCs w:val="12"/>
                <w:color w:val="auto"/>
              </w:rPr>
              <w:t>(0.9) ​​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2.2</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Research credits</w:t>
            </w:r>
          </w:p>
        </w:tc>
        <w:tc>
          <w:tcPr>
            <w:tcW w:w="23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0.2</w:t>
            </w:r>
          </w:p>
        </w:tc>
        <w:tc>
          <w:tcPr>
            <w:tcW w:w="2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0.9</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2"/>
                <w:szCs w:val="12"/>
                <w:color w:val="auto"/>
              </w:rPr>
              <w:t>Other</w:t>
            </w:r>
          </w:p>
        </w:tc>
        <w:tc>
          <w:tcPr>
            <w:tcW w:w="23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4"/>
          </w:tcPr>
          <w:p>
            <w:pPr>
              <w:jc w:val="right"/>
              <w:ind w:right="8"/>
              <w:spacing w:after="0"/>
              <w:rPr>
                <w:sz w:val="20"/>
                <w:szCs w:val="20"/>
                <w:color w:val="auto"/>
              </w:rPr>
            </w:pPr>
            <w:r>
              <w:rPr>
                <w:rFonts w:ascii="Arial" w:cs="Arial" w:eastAsia="Arial" w:hAnsi="Arial"/>
                <w:sz w:val="12"/>
                <w:szCs w:val="12"/>
                <w:color w:val="auto"/>
              </w:rPr>
              <w:t>— ​​ ​</w:t>
            </w:r>
          </w:p>
        </w:tc>
        <w:tc>
          <w:tcPr>
            <w:tcW w:w="60" w:type="dxa"/>
            <w:vAlign w:val="bottom"/>
          </w:tcPr>
          <w:p>
            <w:pPr>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3"/>
          </w:tcPr>
          <w:p>
            <w:pPr>
              <w:jc w:val="right"/>
              <w:ind w:right="804"/>
              <w:spacing w:after="0"/>
              <w:rPr>
                <w:sz w:val="20"/>
                <w:szCs w:val="20"/>
                <w:color w:val="auto"/>
              </w:rPr>
            </w:pPr>
            <w:r>
              <w:rPr>
                <w:rFonts w:ascii="Arial" w:cs="Arial" w:eastAsia="Arial" w:hAnsi="Arial"/>
                <w:sz w:val="12"/>
                <w:szCs w:val="12"/>
                <w:color w:val="auto"/>
              </w:rPr>
              <w:t xml:space="preserve">(0.2) </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23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560" w:type="dxa"/>
            <w:vAlign w:val="bottom"/>
            <w:tcBorders>
              <w:right w:val="single" w:sz="8" w:color="CCEEFF"/>
            </w:tcBorders>
            <w:gridSpan w:val="5"/>
            <w:shd w:val="clear" w:color="auto" w:fill="CCEEFF"/>
          </w:tcPr>
          <w:p>
            <w:pPr>
              <w:jc w:val="right"/>
              <w:ind w:right="8"/>
              <w:spacing w:after="0" w:line="19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(29.7) </w:t>
            </w:r>
            <w:r>
              <w:rPr>
                <w:rFonts w:ascii="Arial" w:cs="Arial" w:eastAsia="Arial" w:hAnsi="Arial"/>
                <w:sz w:val="22"/>
                <w:szCs w:val="22"/>
                <w:color w:val="auto"/>
                <w:vertAlign w:val="subscript"/>
              </w:rPr>
              <w:t>​​ ​</w:t>
            </w:r>
          </w:p>
        </w:tc>
        <w:tc>
          <w:tcPr>
            <w:tcW w:w="360" w:type="dxa"/>
            <w:vAlign w:val="bottom"/>
            <w:tcBorders>
              <w:right w:val="single" w:sz="8" w:color="CCEEFF"/>
            </w:tcBorders>
            <w:gridSpan w:val="3"/>
            <w:shd w:val="clear" w:color="auto" w:fill="CCEEFF"/>
          </w:tcPr>
          <w:p>
            <w:pPr>
              <w:jc w:val="right"/>
              <w:ind w:right="20"/>
              <w:spacing w:after="0" w:line="19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(27.3)</w:t>
            </w:r>
          </w:p>
        </w:tc>
        <w:tc>
          <w:tcPr>
            <w:tcW w:w="900" w:type="dxa"/>
            <w:vAlign w:val="bottom"/>
          </w:tcPr>
          <w:p>
            <w:pPr>
              <w:jc w:val="right"/>
              <w:ind w:right="80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00" w:type="dxa"/>
            <w:vAlign w:val="bottom"/>
          </w:tcPr>
          <w:p>
            <w:pPr>
              <w:spacing w:after="0"/>
              <w:rPr>
                <w:sz w:val="10"/>
                <w:szCs w:val="10"/>
                <w:color w:val="auto"/>
              </w:rPr>
            </w:pPr>
          </w:p>
        </w:tc>
        <w:tc>
          <w:tcPr>
            <w:tcW w:w="2380" w:type="dxa"/>
            <w:vAlign w:val="bottom"/>
          </w:tcPr>
          <w:p>
            <w:pPr>
              <w:ind w:left="120"/>
              <w:spacing w:after="0" w:line="125" w:lineRule="exact"/>
              <w:rPr>
                <w:sz w:val="20"/>
                <w:szCs w:val="20"/>
                <w:color w:val="auto"/>
              </w:rPr>
            </w:pPr>
            <w:r>
              <w:rPr>
                <w:rFonts w:ascii="Arial" w:cs="Arial" w:eastAsia="Arial" w:hAnsi="Arial"/>
                <w:sz w:val="12"/>
                <w:szCs w:val="12"/>
                <w:color w:val="auto"/>
              </w:rPr>
              <w:t>Effective tax rate</w:t>
            </w:r>
          </w:p>
        </w:tc>
        <w:tc>
          <w:tcPr>
            <w:tcW w:w="2360" w:type="dxa"/>
            <w:vAlign w:val="bottom"/>
          </w:tcPr>
          <w:p>
            <w:pPr>
              <w:spacing w:after="0"/>
              <w:rPr>
                <w:sz w:val="10"/>
                <w:szCs w:val="10"/>
                <w:color w:val="auto"/>
              </w:rPr>
            </w:pPr>
          </w:p>
        </w:tc>
        <w:tc>
          <w:tcPr>
            <w:tcW w:w="220" w:type="dxa"/>
            <w:vAlign w:val="bottom"/>
            <w:vMerge w:val="restart"/>
          </w:tcPr>
          <w:p>
            <w:pPr>
              <w:ind w:left="40"/>
              <w:spacing w:after="0"/>
              <w:rPr>
                <w:sz w:val="20"/>
                <w:szCs w:val="20"/>
                <w:color w:val="auto"/>
              </w:rPr>
            </w:pPr>
            <w:r>
              <w:rPr>
                <w:rFonts w:ascii="Arial" w:cs="Arial" w:eastAsia="Arial" w:hAnsi="Arial"/>
                <w:sz w:val="12"/>
                <w:szCs w:val="12"/>
                <w:color w:val="auto"/>
              </w:rPr>
              <w:t>​ ​</w:t>
            </w:r>
          </w:p>
        </w:tc>
        <w:tc>
          <w:tcPr>
            <w:tcW w:w="6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500" w:type="dxa"/>
            <w:vAlign w:val="bottom"/>
            <w:gridSpan w:val="4"/>
          </w:tcPr>
          <w:p>
            <w:pPr>
              <w:jc w:val="right"/>
              <w:ind w:right="68"/>
              <w:spacing w:after="0" w:line="125" w:lineRule="exact"/>
              <w:rPr>
                <w:sz w:val="20"/>
                <w:szCs w:val="20"/>
                <w:color w:val="auto"/>
              </w:rPr>
            </w:pPr>
            <w:r>
              <w:rPr>
                <w:rFonts w:ascii="Arial" w:cs="Arial" w:eastAsia="Arial" w:hAnsi="Arial"/>
                <w:sz w:val="12"/>
                <w:szCs w:val="12"/>
                <w:color w:val="auto"/>
              </w:rPr>
              <w:t>(0.9)%</w:t>
            </w:r>
          </w:p>
        </w:tc>
        <w:tc>
          <w:tcPr>
            <w:tcW w:w="1260" w:type="dxa"/>
            <w:vAlign w:val="bottom"/>
            <w:gridSpan w:val="4"/>
          </w:tcPr>
          <w:p>
            <w:pPr>
              <w:jc w:val="right"/>
              <w:ind w:right="764"/>
              <w:spacing w:after="0" w:line="125" w:lineRule="exact"/>
              <w:rPr>
                <w:sz w:val="20"/>
                <w:szCs w:val="20"/>
                <w:color w:val="auto"/>
              </w:rPr>
            </w:pPr>
            <w:r>
              <w:rPr>
                <w:rFonts w:ascii="Arial" w:cs="Arial" w:eastAsia="Arial" w:hAnsi="Arial"/>
                <w:sz w:val="12"/>
                <w:szCs w:val="12"/>
                <w:color w:val="auto"/>
              </w:rPr>
              <w:t>​ (0.5)%</w:t>
            </w: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tcPr>
          <w:p>
            <w:pPr>
              <w:spacing w:after="0" w:line="49" w:lineRule="exact"/>
              <w:rPr>
                <w:sz w:val="20"/>
                <w:szCs w:val="20"/>
                <w:color w:val="auto"/>
              </w:rPr>
            </w:pPr>
            <w:r>
              <w:rPr>
                <w:rFonts w:ascii="Arial" w:cs="Arial" w:eastAsia="Arial" w:hAnsi="Arial"/>
                <w:sz w:val="5"/>
                <w:szCs w:val="5"/>
                <w:color w:val="auto"/>
              </w:rPr>
              <w:t>​</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gridSpan w:val="2"/>
          </w:tcPr>
          <w:p>
            <w:pPr>
              <w:jc w:val="right"/>
              <w:ind w:right="8"/>
              <w:spacing w:after="0" w:line="49" w:lineRule="exact"/>
              <w:rPr>
                <w:sz w:val="20"/>
                <w:szCs w:val="20"/>
                <w:color w:val="auto"/>
              </w:rPr>
            </w:pPr>
            <w:r>
              <w:rPr>
                <w:rFonts w:ascii="Arial" w:cs="Arial" w:eastAsia="Arial" w:hAnsi="Arial"/>
                <w:sz w:val="5"/>
                <w:szCs w:val="5"/>
                <w:color w:val="auto"/>
              </w:rPr>
              <w:t>​​ ​</w:t>
            </w:r>
          </w:p>
        </w:tc>
        <w:tc>
          <w:tcPr>
            <w:tcW w:w="60" w:type="dxa"/>
            <w:vAlign w:val="bottom"/>
          </w:tcPr>
          <w:p>
            <w:pPr>
              <w:spacing w:after="0" w:line="49" w:lineRule="exact"/>
              <w:rPr>
                <w:sz w:val="20"/>
                <w:szCs w:val="20"/>
                <w:color w:val="auto"/>
              </w:rPr>
            </w:pPr>
            <w:r>
              <w:rPr>
                <w:rFonts w:ascii="Arial" w:cs="Arial" w:eastAsia="Arial" w:hAnsi="Arial"/>
                <w:sz w:val="5"/>
                <w:szCs w:val="5"/>
                <w:color w:val="auto"/>
              </w:rPr>
              <w:t>​</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jc w:val="right"/>
              <w:ind w:right="804"/>
              <w:spacing w:after="0" w:line="49"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90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1"/>
        </w:trPr>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80" w:type="dxa"/>
            <w:vAlign w:val="bottom"/>
            <w:gridSpan w:val="2"/>
          </w:tcPr>
          <w:p>
            <w:pPr>
              <w:ind w:left="440"/>
              <w:spacing w:after="0"/>
              <w:rPr>
                <w:sz w:val="20"/>
                <w:szCs w:val="20"/>
                <w:color w:val="auto"/>
              </w:rPr>
            </w:pPr>
            <w:r>
              <w:rPr>
                <w:rFonts w:ascii="Arial" w:cs="Arial" w:eastAsia="Arial" w:hAnsi="Arial"/>
                <w:sz w:val="12"/>
                <w:szCs w:val="12"/>
                <w:color w:val="auto"/>
              </w:rPr>
              <w:t>F-27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00" w:type="dxa"/>
            <w:vAlign w:val="bottom"/>
            <w:tcBorders>
              <w:bottom w:val="single" w:sz="8" w:color="9A9A9A"/>
            </w:tcBorders>
          </w:tcPr>
          <w:p>
            <w:pPr>
              <w:spacing w:after="0"/>
              <w:rPr>
                <w:sz w:val="23"/>
                <w:szCs w:val="23"/>
                <w:color w:val="auto"/>
              </w:rPr>
            </w:pPr>
          </w:p>
        </w:tc>
        <w:tc>
          <w:tcPr>
            <w:tcW w:w="2380" w:type="dxa"/>
            <w:vAlign w:val="bottom"/>
            <w:tcBorders>
              <w:bottom w:val="single" w:sz="8" w:color="9A9A9A"/>
            </w:tcBorders>
          </w:tcPr>
          <w:p>
            <w:pPr>
              <w:spacing w:after="0"/>
              <w:rPr>
                <w:sz w:val="23"/>
                <w:szCs w:val="23"/>
                <w:color w:val="auto"/>
              </w:rPr>
            </w:pPr>
          </w:p>
        </w:tc>
        <w:tc>
          <w:tcPr>
            <w:tcW w:w="23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-1731010</wp:posOffset>
            </wp:positionV>
            <wp:extent cx="3462655"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62655" cy="635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-24130</wp:posOffset>
            </wp:positionV>
            <wp:extent cx="3175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-24130</wp:posOffset>
            </wp:positionV>
            <wp:extent cx="3175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76" w:name="page277"/>
    <w:bookmarkEnd w:id="27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jc w:val="both"/>
        <w:ind w:left="1560" w:right="1599"/>
        <w:spacing w:after="0" w:line="297" w:lineRule="auto"/>
        <w:rPr>
          <w:sz w:val="20"/>
          <w:szCs w:val="20"/>
          <w:color w:val="auto"/>
        </w:rPr>
      </w:pPr>
      <w:r>
        <w:rPr>
          <w:rFonts w:ascii="Arial" w:cs="Arial" w:eastAsia="Arial" w:hAnsi="Arial"/>
          <w:sz w:val="12"/>
          <w:szCs w:val="12"/>
          <w:color w:val="auto"/>
        </w:rPr>
        <w:t>Deferred income taxes as of each of the following periods reflect the net tax effects of temporary differences between the carrying amounts of assets and liabilities for financial reporting purposes and the amounts used for income tax purposes.</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Significant components of the Company’s net deferred tax asset or liability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4560" w:type="dxa"/>
            <w:vAlign w:val="bottom"/>
          </w:tcPr>
          <w:p>
            <w:pPr>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20"/>
                <w:szCs w:val="20"/>
                <w:color w:val="auto"/>
              </w:rPr>
            </w:pPr>
            <w:r>
              <w:rPr>
                <w:rFonts w:ascii="Arial" w:cs="Arial" w:eastAsia="Arial" w:hAnsi="Arial"/>
                <w:sz w:val="10"/>
                <w:szCs w:val="10"/>
                <w:b w:val="1"/>
                <w:bCs w:val="1"/>
                <w:color w:val="auto"/>
              </w:rPr>
              <w:t>​ ​</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4560" w:type="dxa"/>
            <w:vAlign w:val="bottom"/>
          </w:tcPr>
          <w:p>
            <w:pPr>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6"/>
          </w:tcPr>
          <w:p>
            <w:pPr>
              <w:ind w:left="40"/>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2020   </w:t>
            </w:r>
            <w:r>
              <w:rPr>
                <w:rFonts w:ascii="Arial" w:cs="Arial" w:eastAsia="Arial" w:hAnsi="Arial"/>
                <w:sz w:val="17"/>
                <w:szCs w:val="17"/>
                <w:b w:val="1"/>
                <w:bCs w:val="1"/>
                <w:color w:val="auto"/>
                <w:vertAlign w:val="subscript"/>
              </w:rPr>
              <w:t>​ ​</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left w:val="single" w:sz="8" w:color="CCEEFF"/>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Net operating loss</w:t>
            </w:r>
          </w:p>
        </w:tc>
        <w:tc>
          <w:tcPr>
            <w:tcW w:w="880" w:type="dxa"/>
            <w:vAlign w:val="bottom"/>
            <w:gridSpan w:val="6"/>
            <w:shd w:val="clear" w:color="auto" w:fill="CCEEFF"/>
          </w:tcPr>
          <w:p>
            <w:pPr>
              <w:ind w:left="40"/>
              <w:spacing w:after="0"/>
              <w:rPr>
                <w:sz w:val="20"/>
                <w:szCs w:val="20"/>
                <w:color w:val="auto"/>
              </w:rPr>
            </w:pPr>
            <w:r>
              <w:rPr>
                <w:rFonts w:ascii="Arial" w:cs="Arial" w:eastAsia="Arial" w:hAnsi="Arial"/>
                <w:sz w:val="12"/>
                <w:szCs w:val="12"/>
                <w:color w:val="auto"/>
              </w:rPr>
              <w:t>​ ​​$   5,805​​ ​​$</w:t>
            </w:r>
          </w:p>
        </w:tc>
        <w:tc>
          <w:tcPr>
            <w:tcW w:w="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14,501</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4560" w:type="dxa"/>
            <w:vAlign w:val="bottom"/>
          </w:tcPr>
          <w:p>
            <w:pPr>
              <w:spacing w:after="0"/>
              <w:rPr>
                <w:sz w:val="20"/>
                <w:szCs w:val="20"/>
                <w:color w:val="auto"/>
              </w:rPr>
            </w:pPr>
            <w:r>
              <w:rPr>
                <w:rFonts w:ascii="Arial" w:cs="Arial" w:eastAsia="Arial" w:hAnsi="Arial"/>
                <w:sz w:val="12"/>
                <w:szCs w:val="12"/>
                <w:color w:val="auto"/>
              </w:rPr>
              <w:t>Compensation</w:t>
            </w:r>
          </w:p>
        </w:tc>
        <w:tc>
          <w:tcPr>
            <w:tcW w:w="300" w:type="dxa"/>
            <w:vAlign w:val="bottom"/>
            <w:gridSpan w:val="3"/>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239​​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779​</w:t>
            </w:r>
          </w:p>
        </w:tc>
        <w:tc>
          <w:tcPr>
            <w:tcW w:w="0" w:type="dxa"/>
            <w:vAlign w:val="bottom"/>
          </w:tcPr>
          <w:p>
            <w:pPr>
              <w:spacing w:after="0"/>
              <w:rPr>
                <w:sz w:val="1"/>
                <w:szCs w:val="1"/>
                <w:color w:val="auto"/>
              </w:rPr>
            </w:pPr>
          </w:p>
        </w:tc>
      </w:tr>
      <w:tr>
        <w:trPr>
          <w:trHeight w:val="18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liability</w:t>
            </w: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4"/>
        </w:trPr>
        <w:tc>
          <w:tcPr>
            <w:tcW w:w="4560" w:type="dxa"/>
            <w:vAlign w:val="bottom"/>
          </w:tcPr>
          <w:p>
            <w:pPr>
              <w:spacing w:after="0"/>
              <w:rPr>
                <w:sz w:val="20"/>
                <w:szCs w:val="20"/>
                <w:color w:val="auto"/>
              </w:rPr>
            </w:pPr>
            <w:r>
              <w:rPr>
                <w:rFonts w:ascii="Arial" w:cs="Arial" w:eastAsia="Arial" w:hAnsi="Arial"/>
                <w:sz w:val="12"/>
                <w:szCs w:val="12"/>
                <w:color w:val="auto"/>
              </w:rPr>
              <w:t>Related party accrued expenses</w:t>
            </w:r>
          </w:p>
        </w:tc>
        <w:tc>
          <w:tcPr>
            <w:tcW w:w="300" w:type="dxa"/>
            <w:vAlign w:val="bottom"/>
            <w:gridSpan w:val="3"/>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752​​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18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9​​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66</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20"/>
                <w:szCs w:val="20"/>
                <w:color w:val="auto"/>
              </w:rPr>
            </w:pPr>
            <w:r>
              <w:rPr>
                <w:rFonts w:ascii="Arial" w:cs="Arial" w:eastAsia="Arial" w:hAnsi="Arial"/>
                <w:sz w:val="12"/>
                <w:szCs w:val="12"/>
                <w:color w:val="auto"/>
              </w:rPr>
              <w:t>Research credits</w:t>
            </w:r>
          </w:p>
        </w:tc>
        <w:tc>
          <w:tcPr>
            <w:tcW w:w="300" w:type="dxa"/>
            <w:vAlign w:val="bottom"/>
            <w:gridSpan w:val="3"/>
          </w:tcPr>
          <w:p>
            <w:pPr>
              <w:ind w:left="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580" w:type="dxa"/>
            <w:vAlign w:val="bottom"/>
            <w:gridSpan w:val="3"/>
          </w:tcPr>
          <w:p>
            <w:pPr>
              <w:jc w:val="right"/>
              <w:ind w:right="40"/>
              <w:spacing w:after="0" w:line="193" w:lineRule="exact"/>
              <w:rPr>
                <w:sz w:val="20"/>
                <w:szCs w:val="20"/>
                <w:color w:val="auto"/>
              </w:rPr>
            </w:pPr>
            <w:r>
              <w:rPr>
                <w:rFonts w:ascii="Arial" w:cs="Arial" w:eastAsia="Arial" w:hAnsi="Arial"/>
                <w:sz w:val="22"/>
                <w:szCs w:val="22"/>
                <w:color w:val="auto"/>
                <w:vertAlign w:val="superscript"/>
              </w:rPr>
              <w:t>44</w:t>
            </w:r>
            <w:r>
              <w:rPr>
                <w:rFonts w:ascii="Arial" w:cs="Arial" w:eastAsia="Arial" w:hAnsi="Arial"/>
                <w:sz w:val="12"/>
                <w:szCs w:val="12"/>
                <w:color w:val="auto"/>
              </w:rPr>
              <w:t>​​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4"/>
          </w:tcPr>
          <w:p>
            <w:pPr>
              <w:jc w:val="right"/>
              <w:spacing w:after="0" w:line="193" w:lineRule="exact"/>
              <w:rPr>
                <w:sz w:val="20"/>
                <w:szCs w:val="20"/>
                <w:color w:val="auto"/>
              </w:rPr>
            </w:pPr>
            <w:r>
              <w:rPr>
                <w:rFonts w:ascii="Arial" w:cs="Arial" w:eastAsia="Arial" w:hAnsi="Arial"/>
                <w:sz w:val="12"/>
                <w:szCs w:val="12"/>
                <w:color w:val="auto"/>
              </w:rPr>
              <w:t>320</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left w:val="single" w:sz="8" w:color="CCEEFF"/>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deferred tax assets</w:t>
            </w:r>
          </w:p>
        </w:tc>
        <w:tc>
          <w:tcPr>
            <w:tcW w:w="880" w:type="dxa"/>
            <w:vAlign w:val="bottom"/>
            <w:gridSpan w:val="6"/>
            <w:shd w:val="clear" w:color="auto" w:fill="CCEEFF"/>
          </w:tcPr>
          <w:p>
            <w:pPr>
              <w:ind w:left="40"/>
              <w:spacing w:after="0"/>
              <w:rPr>
                <w:sz w:val="20"/>
                <w:szCs w:val="20"/>
                <w:color w:val="auto"/>
              </w:rPr>
            </w:pPr>
            <w:r>
              <w:rPr>
                <w:rFonts w:ascii="Arial" w:cs="Arial" w:eastAsia="Arial" w:hAnsi="Arial"/>
                <w:sz w:val="12"/>
                <w:szCs w:val="12"/>
                <w:color w:val="auto"/>
              </w:rPr>
              <w:t>​ ​​ ​ 6,849​​ ​​</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16,940</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35"/>
        </w:trPr>
        <w:tc>
          <w:tcPr>
            <w:tcW w:w="4560" w:type="dxa"/>
            <w:vAlign w:val="bottom"/>
          </w:tcPr>
          <w:p>
            <w:pPr>
              <w:spacing w:after="0" w:line="136" w:lineRule="exact"/>
              <w:rPr>
                <w:sz w:val="20"/>
                <w:szCs w:val="20"/>
                <w:color w:val="auto"/>
              </w:rPr>
            </w:pPr>
            <w:r>
              <w:rPr>
                <w:rFonts w:ascii="Arial" w:cs="Arial" w:eastAsia="Arial" w:hAnsi="Arial"/>
                <w:sz w:val="12"/>
                <w:szCs w:val="12"/>
                <w:color w:val="auto"/>
              </w:rPr>
              <w:t>Valuation allowance</w:t>
            </w:r>
          </w:p>
        </w:tc>
        <w:tc>
          <w:tcPr>
            <w:tcW w:w="10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40" w:type="dxa"/>
            <w:vAlign w:val="bottom"/>
            <w:gridSpan w:val="4"/>
          </w:tcPr>
          <w:p>
            <w:pPr>
              <w:spacing w:after="0" w:line="136" w:lineRule="exact"/>
              <w:rPr>
                <w:sz w:val="20"/>
                <w:szCs w:val="20"/>
                <w:color w:val="auto"/>
              </w:rPr>
            </w:pPr>
            <w:r>
              <w:rPr>
                <w:rFonts w:ascii="Arial" w:cs="Arial" w:eastAsia="Arial" w:hAnsi="Arial"/>
                <w:sz w:val="12"/>
                <w:szCs w:val="12"/>
                <w:color w:val="auto"/>
              </w:rPr>
              <w:t>​(6,849)</w:t>
            </w:r>
          </w:p>
        </w:tc>
        <w:tc>
          <w:tcPr>
            <w:tcW w:w="480" w:type="dxa"/>
            <w:vAlign w:val="bottom"/>
            <w:gridSpan w:val="5"/>
          </w:tcPr>
          <w:p>
            <w:pPr>
              <w:jc w:val="right"/>
              <w:spacing w:after="0" w:line="136" w:lineRule="exact"/>
              <w:rPr>
                <w:sz w:val="20"/>
                <w:szCs w:val="20"/>
                <w:color w:val="auto"/>
              </w:rPr>
            </w:pPr>
            <w:r>
              <w:rPr>
                <w:rFonts w:ascii="Arial" w:cs="Arial" w:eastAsia="Arial" w:hAnsi="Arial"/>
                <w:sz w:val="12"/>
                <w:szCs w:val="12"/>
                <w:color w:val="auto"/>
              </w:rPr>
              <w:t>​(16,797)</w:t>
            </w:r>
          </w:p>
        </w:tc>
        <w:tc>
          <w:tcPr>
            <w:tcW w:w="0" w:type="dxa"/>
            <w:vAlign w:val="bottom"/>
          </w:tcPr>
          <w:p>
            <w:pPr>
              <w:spacing w:after="0"/>
              <w:rPr>
                <w:sz w:val="1"/>
                <w:szCs w:val="1"/>
                <w:color w:val="auto"/>
              </w:rPr>
            </w:pPr>
          </w:p>
        </w:tc>
      </w:tr>
      <w:tr>
        <w:trPr>
          <w:trHeight w:val="58"/>
        </w:trPr>
        <w:tc>
          <w:tcPr>
            <w:tcW w:w="45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gridSpan w:val="2"/>
          </w:tcPr>
          <w:p>
            <w:pPr>
              <w:jc w:val="right"/>
              <w:ind w:right="40"/>
              <w:spacing w:after="0" w:line="58" w:lineRule="exact"/>
              <w:rPr>
                <w:sz w:val="20"/>
                <w:szCs w:val="20"/>
                <w:color w:val="auto"/>
              </w:rPr>
            </w:pPr>
            <w:r>
              <w:rPr>
                <w:rFonts w:ascii="Arial" w:cs="Arial" w:eastAsia="Arial" w:hAnsi="Arial"/>
                <w:sz w:val="6"/>
                <w:szCs w:val="6"/>
                <w:color w:val="auto"/>
              </w:rPr>
              <w:t>​​ ​​</w:t>
            </w: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deferred tax assets</w:t>
            </w: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2"/>
                <w:szCs w:val="12"/>
                <w:color w:val="auto"/>
              </w:rPr>
              <w:t>Right-of-use assets</w:t>
            </w:r>
          </w:p>
        </w:tc>
        <w:tc>
          <w:tcPr>
            <w:tcW w:w="10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w w:val="82"/>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58"/>
        </w:trPr>
        <w:tc>
          <w:tcPr>
            <w:tcW w:w="45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Total deferred tax liabilities</w:t>
            </w: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5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60" w:type="dxa"/>
            <w:vAlign w:val="bottom"/>
          </w:tcPr>
          <w:p>
            <w:pPr>
              <w:spacing w:after="0"/>
              <w:rPr>
                <w:sz w:val="20"/>
                <w:szCs w:val="20"/>
                <w:color w:val="auto"/>
              </w:rPr>
            </w:pPr>
            <w:r>
              <w:rPr>
                <w:rFonts w:ascii="Arial" w:cs="Arial" w:eastAsia="Arial" w:hAnsi="Arial"/>
                <w:sz w:val="12"/>
                <w:szCs w:val="12"/>
                <w:color w:val="auto"/>
              </w:rPr>
              <w:t>Net deferred tax assets</w:t>
            </w:r>
          </w:p>
        </w:tc>
        <w:tc>
          <w:tcPr>
            <w:tcW w:w="240" w:type="dxa"/>
            <w:vAlign w:val="bottom"/>
            <w:gridSpan w:val="2"/>
          </w:tcPr>
          <w:p>
            <w:pPr>
              <w:ind w:left="40"/>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60" w:type="dxa"/>
            <w:vAlign w:val="bottom"/>
          </w:tcPr>
          <w:p>
            <w:pPr>
              <w:spacing w:after="0"/>
              <w:rPr>
                <w:sz w:val="15"/>
                <w:szCs w:val="15"/>
                <w:color w:val="auto"/>
              </w:rPr>
            </w:pPr>
          </w:p>
        </w:tc>
        <w:tc>
          <w:tcPr>
            <w:tcW w:w="580" w:type="dxa"/>
            <w:vAlign w:val="bottom"/>
            <w:gridSpan w:val="3"/>
          </w:tcPr>
          <w:p>
            <w:pPr>
              <w:ind w:left="220"/>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3"/>
          </w:tcPr>
          <w:p>
            <w:pPr>
              <w:jc w:val="right"/>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-324485</wp:posOffset>
            </wp:positionV>
            <wp:extent cx="3401695"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-613410</wp:posOffset>
            </wp:positionV>
            <wp:extent cx="3401695"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-852805</wp:posOffset>
            </wp:positionV>
            <wp:extent cx="340169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-1558925</wp:posOffset>
            </wp:positionV>
            <wp:extent cx="3395345"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95345" cy="6350"/>
                    </a:xfrm>
                    <a:prstGeom prst="rect">
                      <a:avLst/>
                    </a:prstGeom>
                    <a:noFill/>
                  </pic:spPr>
                </pic:pic>
              </a:graphicData>
            </a:graphic>
          </wp:anchor>
        </w:drawing>
      </w:r>
    </w:p>
    <w:p>
      <w:pPr>
        <w:spacing w:after="0" w:line="70" w:lineRule="exact"/>
        <w:rPr>
          <w:sz w:val="20"/>
          <w:szCs w:val="20"/>
          <w:color w:val="auto"/>
        </w:rPr>
      </w:pPr>
    </w:p>
    <w:p>
      <w:pPr>
        <w:ind w:left="1560" w:right="1859"/>
        <w:spacing w:after="0" w:line="325" w:lineRule="auto"/>
        <w:rPr>
          <w:sz w:val="20"/>
          <w:szCs w:val="20"/>
          <w:color w:val="auto"/>
        </w:rPr>
      </w:pPr>
      <w:r>
        <w:rPr>
          <w:rFonts w:ascii="Arial" w:cs="Arial" w:eastAsia="Arial" w:hAnsi="Arial"/>
          <w:sz w:val="12"/>
          <w:szCs w:val="12"/>
          <w:color w:val="auto"/>
        </w:rPr>
        <w:t>Realization of the Company’s deferred tax assets is dependent upon the Company generating sufficient taxable income in future years to obtain benefit from the reversal of temporary differences.</w:t>
      </w:r>
    </w:p>
    <w:p>
      <w:pPr>
        <w:spacing w:after="0" w:line="52" w:lineRule="exact"/>
        <w:rPr>
          <w:sz w:val="20"/>
          <w:szCs w:val="20"/>
          <w:color w:val="auto"/>
        </w:rPr>
      </w:pPr>
    </w:p>
    <w:p>
      <w:pPr>
        <w:ind w:left="1560" w:right="1779"/>
        <w:spacing w:after="0" w:line="293" w:lineRule="auto"/>
        <w:rPr>
          <w:sz w:val="20"/>
          <w:szCs w:val="20"/>
          <w:color w:val="auto"/>
        </w:rPr>
      </w:pPr>
      <w:r>
        <w:rPr>
          <w:rFonts w:ascii="Arial" w:cs="Arial" w:eastAsia="Arial" w:hAnsi="Arial"/>
          <w:sz w:val="12"/>
          <w:szCs w:val="12"/>
          <w:color w:val="auto"/>
        </w:rPr>
        <w:t>Management considered all available evidence under existing tax law and anticipated expiration of tax statutes and determined that a valuation allowance of  $6.8 million and $16.8 million was required as of December 31, 2020 and 2021, respectively for those deferred tax assets that are not expected to provide future tax benefits.</w:t>
      </w:r>
    </w:p>
    <w:p>
      <w:pPr>
        <w:spacing w:after="0" w:line="80" w:lineRule="exact"/>
        <w:rPr>
          <w:sz w:val="20"/>
          <w:szCs w:val="20"/>
          <w:color w:val="auto"/>
        </w:rPr>
      </w:pPr>
    </w:p>
    <w:p>
      <w:pPr>
        <w:ind w:left="1560" w:right="1679"/>
        <w:spacing w:after="0" w:line="297" w:lineRule="auto"/>
        <w:rPr>
          <w:sz w:val="20"/>
          <w:szCs w:val="20"/>
          <w:color w:val="auto"/>
        </w:rPr>
      </w:pPr>
      <w:r>
        <w:rPr>
          <w:rFonts w:ascii="Arial" w:cs="Arial" w:eastAsia="Arial" w:hAnsi="Arial"/>
          <w:sz w:val="12"/>
          <w:szCs w:val="12"/>
          <w:color w:val="auto"/>
        </w:rPr>
        <w:t>As of December 31, 2021, the Company had available net operating loss carryforwards of  $51.5 million for federal income tax purposes, all of which were generated after 2017. The federal net operating loss carryforwards are not subject to expiration.</w:t>
      </w:r>
    </w:p>
    <w:p>
      <w:pPr>
        <w:spacing w:after="0" w:line="68" w:lineRule="exact"/>
        <w:rPr>
          <w:sz w:val="20"/>
          <w:szCs w:val="20"/>
          <w:color w:val="auto"/>
        </w:rPr>
      </w:pPr>
    </w:p>
    <w:p>
      <w:pPr>
        <w:ind w:left="1560" w:right="1799"/>
        <w:spacing w:after="0" w:line="325" w:lineRule="auto"/>
        <w:rPr>
          <w:sz w:val="20"/>
          <w:szCs w:val="20"/>
          <w:color w:val="auto"/>
        </w:rPr>
      </w:pPr>
      <w:r>
        <w:rPr>
          <w:rFonts w:ascii="Arial" w:cs="Arial" w:eastAsia="Arial" w:hAnsi="Arial"/>
          <w:sz w:val="12"/>
          <w:szCs w:val="12"/>
          <w:color w:val="auto"/>
        </w:rPr>
        <w:t>As of December 31, 2021, the net operating losses for state purposes was $43.4 million and will begin to expire in 2037 if not utilized.</w:t>
      </w:r>
    </w:p>
    <w:p>
      <w:pPr>
        <w:spacing w:after="0" w:line="52" w:lineRule="exact"/>
        <w:rPr>
          <w:sz w:val="20"/>
          <w:szCs w:val="20"/>
          <w:color w:val="auto"/>
        </w:rPr>
      </w:pPr>
    </w:p>
    <w:p>
      <w:pPr>
        <w:ind w:left="1560" w:right="1639"/>
        <w:spacing w:after="0" w:line="305" w:lineRule="auto"/>
        <w:rPr>
          <w:sz w:val="20"/>
          <w:szCs w:val="20"/>
          <w:color w:val="auto"/>
        </w:rPr>
      </w:pPr>
      <w:r>
        <w:rPr>
          <w:rFonts w:ascii="Arial" w:cs="Arial" w:eastAsia="Arial" w:hAnsi="Arial"/>
          <w:sz w:val="12"/>
          <w:szCs w:val="12"/>
          <w:color w:val="auto"/>
        </w:rPr>
        <w:t>As of December 31, 2021, the Company has federal and state income tax credit carryforwards, net of reserves, of  $0.3 million and $0.1 million, respectively. The federal credit carryovers begin to expire in 2029 and the state credit carryovers do not expire.</w:t>
      </w:r>
    </w:p>
    <w:p>
      <w:pPr>
        <w:spacing w:after="0" w:line="64" w:lineRule="exact"/>
        <w:rPr>
          <w:sz w:val="20"/>
          <w:szCs w:val="20"/>
          <w:color w:val="auto"/>
        </w:rPr>
      </w:pPr>
    </w:p>
    <w:p>
      <w:pPr>
        <w:ind w:left="1560" w:right="1579"/>
        <w:spacing w:after="0" w:line="284" w:lineRule="auto"/>
        <w:rPr>
          <w:sz w:val="20"/>
          <w:szCs w:val="20"/>
          <w:color w:val="auto"/>
        </w:rPr>
      </w:pPr>
      <w:r>
        <w:rPr>
          <w:rFonts w:ascii="Arial" w:cs="Arial" w:eastAsia="Arial" w:hAnsi="Arial"/>
          <w:sz w:val="12"/>
          <w:szCs w:val="12"/>
          <w:color w:val="auto"/>
        </w:rPr>
        <w:t>The Company has not completed a study to determine whether any ownership change per the provisions of Section 382 of the Internal Revenue Code of 1986, as amended (the “Code”), as well as similar state provisions, has occurred. Utilization of the Company’s net operating loss and income tax credit carryforwards may be subject to a substantial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“ownership change” as defined by Section 382 of the Code results from a transaction or series of transactions over a three-year period resulting in an ownership change of more than 50% of the outstanding ordinary shares of a company by certain shareholders.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7" w:name="page278"/>
    <w:bookmarkEnd w:id="27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6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44" w:lineRule="exact"/>
        <w:rPr>
          <w:sz w:val="20"/>
          <w:szCs w:val="20"/>
          <w:color w:val="auto"/>
        </w:rPr>
      </w:pPr>
    </w:p>
    <w:p>
      <w:pPr>
        <w:ind w:left="1560" w:right="1579"/>
        <w:spacing w:after="0" w:line="282" w:lineRule="auto"/>
        <w:rPr>
          <w:sz w:val="20"/>
          <w:szCs w:val="20"/>
          <w:color w:val="auto"/>
        </w:rPr>
      </w:pPr>
      <w:r>
        <w:rPr>
          <w:rFonts w:ascii="Arial" w:cs="Arial" w:eastAsia="Arial" w:hAnsi="Arial"/>
          <w:sz w:val="12"/>
          <w:szCs w:val="12"/>
          <w:color w:val="auto"/>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w:t>
      </w:r>
    </w:p>
    <w:p>
      <w:pPr>
        <w:spacing w:after="0" w:line="77" w:lineRule="exact"/>
        <w:rPr>
          <w:sz w:val="20"/>
          <w:szCs w:val="20"/>
          <w:color w:val="auto"/>
        </w:rPr>
      </w:pPr>
    </w:p>
    <w:p>
      <w:pPr>
        <w:ind w:left="1560" w:right="2199"/>
        <w:spacing w:after="0" w:line="308" w:lineRule="auto"/>
        <w:rPr>
          <w:sz w:val="20"/>
          <w:szCs w:val="20"/>
          <w:color w:val="auto"/>
        </w:rPr>
      </w:pPr>
      <w:r>
        <w:rPr>
          <w:rFonts w:ascii="Arial" w:cs="Arial" w:eastAsia="Arial" w:hAnsi="Arial"/>
          <w:sz w:val="12"/>
          <w:szCs w:val="12"/>
          <w:color w:val="auto"/>
        </w:rPr>
        <w:t>The following table reconciles the change in unrecognized tax benefits for the years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05" w:lineRule="exact"/>
        <w:rPr>
          <w:sz w:val="20"/>
          <w:szCs w:val="20"/>
          <w:color w:val="auto"/>
        </w:rPr>
      </w:pPr>
    </w:p>
    <w:tbl>
      <w:tblPr>
        <w:tblLayout w:type="fixed"/>
        <w:tblInd w:w="1560" w:type="dxa"/>
        <w:tblCellMar>
          <w:top w:w="0" w:type="dxa"/>
          <w:left w:w="0" w:type="dxa"/>
          <w:bottom w:w="0" w:type="dxa"/>
          <w:right w:w="0" w:type="dxa"/>
        </w:tblCellMar>
      </w:tblPr>
      <w:tr>
        <w:trPr>
          <w:trHeight w:val="263"/>
        </w:trPr>
        <w:tc>
          <w:tcPr>
            <w:tcW w:w="3500" w:type="dxa"/>
            <w:vAlign w:val="bottom"/>
          </w:tcPr>
          <w:p>
            <w:pPr>
              <w:spacing w:after="0"/>
              <w:rPr>
                <w:sz w:val="20"/>
                <w:szCs w:val="20"/>
                <w:color w:val="auto"/>
              </w:rPr>
            </w:pPr>
            <w:r>
              <w:rPr>
                <w:rFonts w:ascii="Arial" w:cs="Arial" w:eastAsia="Arial" w:hAnsi="Arial"/>
                <w:sz w:val="10"/>
                <w:szCs w:val="10"/>
                <w:b w:val="1"/>
                <w:bCs w:val="1"/>
                <w:color w:val="auto"/>
              </w:rPr>
              <w:t>​</w:t>
            </w:r>
          </w:p>
        </w:tc>
        <w:tc>
          <w:tcPr>
            <w:tcW w:w="2420" w:type="dxa"/>
            <w:vAlign w:val="bottom"/>
            <w:gridSpan w:val="7"/>
          </w:tcPr>
          <w:p>
            <w:pPr>
              <w:ind w:left="1400"/>
              <w:spacing w:after="0"/>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0"/>
                <w:szCs w:val="10"/>
                <w:b w:val="1"/>
                <w:bCs w:val="1"/>
                <w:color w:val="auto"/>
              </w:rPr>
              <w:t xml:space="preserve"> DECEMBER 31,</w:t>
            </w:r>
            <w:r>
              <w:rPr>
                <w:rFonts w:ascii="Arial" w:cs="Arial" w:eastAsia="Arial" w:hAnsi="Arial"/>
                <w:sz w:val="20"/>
                <w:szCs w:val="20"/>
                <w:b w:val="1"/>
                <w:bCs w:val="1"/>
                <w:color w:val="auto"/>
                <w:vertAlign w:val="subscript"/>
              </w:rPr>
              <w:t>​</w:t>
            </w:r>
          </w:p>
        </w:tc>
      </w:tr>
      <w:tr>
        <w:trPr>
          <w:trHeight w:val="20"/>
        </w:trPr>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3500" w:type="dxa"/>
            <w:vAlign w:val="bottom"/>
          </w:tcPr>
          <w:p>
            <w:pPr>
              <w:spacing w:after="0"/>
              <w:rPr>
                <w:sz w:val="20"/>
                <w:szCs w:val="20"/>
                <w:color w:val="auto"/>
              </w:rPr>
            </w:pPr>
            <w:r>
              <w:rPr>
                <w:rFonts w:ascii="Arial" w:cs="Arial" w:eastAsia="Arial" w:hAnsi="Arial"/>
                <w:sz w:val="10"/>
                <w:szCs w:val="10"/>
                <w:b w:val="1"/>
                <w:bCs w:val="1"/>
                <w:color w:val="auto"/>
              </w:rPr>
              <w:t>​</w:t>
            </w:r>
          </w:p>
        </w:tc>
        <w:tc>
          <w:tcPr>
            <w:tcW w:w="2420" w:type="dxa"/>
            <w:vAlign w:val="bottom"/>
            <w:gridSpan w:val="7"/>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2020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2021 </w:t>
            </w:r>
            <w:r>
              <w:rPr>
                <w:rFonts w:ascii="Arial" w:cs="Arial" w:eastAsia="Arial" w:hAnsi="Arial"/>
                <w:sz w:val="17"/>
                <w:szCs w:val="17"/>
                <w:b w:val="1"/>
                <w:bCs w:val="1"/>
                <w:color w:val="auto"/>
                <w:vertAlign w:val="subscript"/>
              </w:rPr>
              <w:t>​</w:t>
            </w:r>
          </w:p>
        </w:tc>
      </w:tr>
      <w:tr>
        <w:trPr>
          <w:trHeight w:val="20"/>
        </w:trPr>
        <w:tc>
          <w:tcPr>
            <w:tcW w:w="35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Beginning of year</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2"/>
                <w:szCs w:val="12"/>
                <w:color w:val="auto"/>
              </w:rPr>
              <w:t>​ ​​$</w:t>
            </w:r>
          </w:p>
        </w:tc>
        <w:tc>
          <w:tcPr>
            <w:tcW w:w="46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500" w:type="dxa"/>
            <w:vAlign w:val="bottom"/>
          </w:tcPr>
          <w:p>
            <w:pPr>
              <w:ind w:left="120"/>
              <w:spacing w:after="0"/>
              <w:rPr>
                <w:sz w:val="20"/>
                <w:szCs w:val="20"/>
                <w:color w:val="auto"/>
              </w:rPr>
            </w:pPr>
            <w:r>
              <w:rPr>
                <w:rFonts w:ascii="Arial" w:cs="Arial" w:eastAsia="Arial" w:hAnsi="Arial"/>
                <w:sz w:val="12"/>
                <w:szCs w:val="12"/>
                <w:color w:val="auto"/>
              </w:rPr>
              <w:t>Additions for tax positions related to:</w:t>
            </w:r>
          </w:p>
        </w:tc>
        <w:tc>
          <w:tcPr>
            <w:tcW w:w="1720" w:type="dxa"/>
            <w:vAlign w:val="bottom"/>
            <w:gridSpan w:val="2"/>
          </w:tcPr>
          <w:p>
            <w:pPr>
              <w:ind w:left="1400"/>
              <w:spacing w:after="0"/>
              <w:rPr>
                <w:sz w:val="20"/>
                <w:szCs w:val="20"/>
                <w:color w:val="auto"/>
              </w:rPr>
            </w:pPr>
            <w:r>
              <w:rPr>
                <w:rFonts w:ascii="Arial" w:cs="Arial" w:eastAsia="Arial" w:hAnsi="Arial"/>
                <w:sz w:val="12"/>
                <w:szCs w:val="12"/>
                <w:color w:val="auto"/>
              </w:rPr>
              <w:t>​ ​</w:t>
            </w:r>
          </w:p>
        </w:tc>
        <w:tc>
          <w:tcPr>
            <w:tcW w:w="180" w:type="dxa"/>
            <w:vAlign w:val="bottom"/>
          </w:tcPr>
          <w:p>
            <w:pPr>
              <w:spacing w:after="0"/>
              <w:rPr>
                <w:sz w:val="15"/>
                <w:szCs w:val="15"/>
                <w:color w:val="auto"/>
              </w:rPr>
            </w:pPr>
          </w:p>
        </w:tc>
        <w:tc>
          <w:tcPr>
            <w:tcW w:w="2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3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year</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2"/>
                <w:szCs w:val="12"/>
                <w:color w:val="auto"/>
              </w:rPr>
              <w:t>​ ​​ ​</w:t>
            </w:r>
          </w:p>
        </w:tc>
        <w:tc>
          <w:tcPr>
            <w:tcW w:w="46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500" w:type="dxa"/>
            <w:vAlign w:val="bottom"/>
          </w:tcPr>
          <w:p>
            <w:pPr>
              <w:ind w:left="240"/>
              <w:spacing w:after="0"/>
              <w:rPr>
                <w:sz w:val="20"/>
                <w:szCs w:val="20"/>
                <w:color w:val="auto"/>
              </w:rPr>
            </w:pPr>
            <w:r>
              <w:rPr>
                <w:rFonts w:ascii="Arial" w:cs="Arial" w:eastAsia="Arial" w:hAnsi="Arial"/>
                <w:sz w:val="12"/>
                <w:szCs w:val="12"/>
                <w:color w:val="auto"/>
              </w:rPr>
              <w:t>Prior years</w:t>
            </w:r>
          </w:p>
        </w:tc>
        <w:tc>
          <w:tcPr>
            <w:tcW w:w="1720" w:type="dxa"/>
            <w:vAlign w:val="bottom"/>
            <w:gridSpan w:val="2"/>
          </w:tcPr>
          <w:p>
            <w:pPr>
              <w:ind w:left="144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460" w:type="dxa"/>
            <w:vAlign w:val="bottom"/>
            <w:gridSpan w:val="3"/>
          </w:tcPr>
          <w:p>
            <w:pPr>
              <w:ind w:left="4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24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11</w:t>
            </w:r>
            <w:r>
              <w:rPr>
                <w:rFonts w:ascii="Arial" w:cs="Arial" w:eastAsia="Arial" w:hAnsi="Arial"/>
                <w:sz w:val="22"/>
                <w:szCs w:val="22"/>
                <w:color w:val="auto"/>
                <w:vertAlign w:val="subscript"/>
              </w:rPr>
              <w:t>​</w:t>
            </w:r>
          </w:p>
        </w:tc>
      </w:tr>
      <w:tr>
        <w:trPr>
          <w:trHeight w:val="20"/>
        </w:trPr>
        <w:tc>
          <w:tcPr>
            <w:tcW w:w="35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End of year</w:t>
            </w:r>
          </w:p>
        </w:tc>
        <w:tc>
          <w:tcPr>
            <w:tcW w:w="1720" w:type="dxa"/>
            <w:vAlign w:val="bottom"/>
            <w:gridSpan w:val="2"/>
            <w:shd w:val="clear" w:color="auto" w:fill="CCEEFF"/>
          </w:tcPr>
          <w:p>
            <w:pPr>
              <w:ind w:left="1440"/>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460" w:type="dxa"/>
            <w:vAlign w:val="bottom"/>
            <w:gridSpan w:val="3"/>
            <w:shd w:val="clear" w:color="auto" w:fill="CCEEFF"/>
          </w:tcPr>
          <w:p>
            <w:pPr>
              <w:ind w:left="40"/>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500" w:type="dxa"/>
            <w:vAlign w:val="bottom"/>
            <w:tcBorders>
              <w:top w:val="single" w:sz="8" w:color="CCEEFF"/>
              <w:bottom w:val="single" w:sz="8" w:color="auto"/>
            </w:tcBorders>
          </w:tcPr>
          <w:p>
            <w:pPr>
              <w:spacing w:after="0"/>
              <w:rPr>
                <w:sz w:val="6"/>
                <w:szCs w:val="6"/>
                <w:color w:val="auto"/>
              </w:rPr>
            </w:pPr>
          </w:p>
        </w:tc>
        <w:tc>
          <w:tcPr>
            <w:tcW w:w="156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52425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52425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-675005</wp:posOffset>
            </wp:positionV>
            <wp:extent cx="3517900"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17900" cy="6350"/>
                    </a:xfrm>
                    <a:prstGeom prst="rect">
                      <a:avLst/>
                    </a:prstGeom>
                    <a:noFill/>
                  </pic:spPr>
                </pic:pic>
              </a:graphicData>
            </a:graphic>
          </wp:anchor>
        </w:drawing>
      </w:r>
    </w:p>
    <w:p>
      <w:pPr>
        <w:spacing w:after="0" w:line="70" w:lineRule="exact"/>
        <w:rPr>
          <w:sz w:val="20"/>
          <w:szCs w:val="20"/>
          <w:color w:val="auto"/>
        </w:rPr>
      </w:pPr>
    </w:p>
    <w:p>
      <w:pPr>
        <w:jc w:val="both"/>
        <w:ind w:left="1560" w:right="1619"/>
        <w:spacing w:after="0" w:line="308" w:lineRule="auto"/>
        <w:rPr>
          <w:sz w:val="20"/>
          <w:szCs w:val="20"/>
          <w:color w:val="auto"/>
        </w:rPr>
      </w:pPr>
      <w:r>
        <w:rPr>
          <w:rFonts w:ascii="Arial" w:cs="Arial" w:eastAsia="Arial" w:hAnsi="Arial"/>
          <w:sz w:val="12"/>
          <w:szCs w:val="12"/>
          <w:color w:val="auto"/>
        </w:rPr>
        <w:t>The total unrecognized tax benefits do not impact the Company’s effective tax rate. The Company does not anticipate that there will be a substantial change in unrecognized tax benefits within the next twelve months.</w:t>
      </w:r>
    </w:p>
    <w:p>
      <w:pPr>
        <w:spacing w:after="0" w:line="52" w:lineRule="exact"/>
        <w:rPr>
          <w:sz w:val="20"/>
          <w:szCs w:val="20"/>
          <w:color w:val="auto"/>
        </w:rPr>
      </w:pPr>
    </w:p>
    <w:p>
      <w:pPr>
        <w:ind w:left="1560" w:right="1579"/>
        <w:spacing w:after="0" w:line="287" w:lineRule="auto"/>
        <w:rPr>
          <w:sz w:val="20"/>
          <w:szCs w:val="20"/>
          <w:color w:val="auto"/>
        </w:rPr>
      </w:pPr>
      <w:r>
        <w:rPr>
          <w:rFonts w:ascii="Arial" w:cs="Arial" w:eastAsia="Arial" w:hAnsi="Arial"/>
          <w:sz w:val="12"/>
          <w:szCs w:val="12"/>
          <w:color w:val="auto"/>
        </w:rPr>
        <w:t>The Company recognizes interest and penalties related to unrecognized tax positions within the income tax expense line in the accompanying consolidated statements of operations and comprehensive loss. There were no accrued interest and penalties associated with uncertain tax positions as of December 31, 2020 and 2021.</w:t>
      </w:r>
    </w:p>
    <w:p>
      <w:pPr>
        <w:spacing w:after="0" w:line="230" w:lineRule="exact"/>
        <w:rPr>
          <w:sz w:val="20"/>
          <w:szCs w:val="20"/>
          <w:color w:val="auto"/>
        </w:rPr>
      </w:pPr>
    </w:p>
    <w:p>
      <w:pPr>
        <w:ind w:left="1560" w:right="1779"/>
        <w:spacing w:after="0" w:line="278" w:lineRule="auto"/>
        <w:rPr>
          <w:sz w:val="20"/>
          <w:szCs w:val="20"/>
          <w:color w:val="auto"/>
        </w:rPr>
      </w:pPr>
      <w:r>
        <w:rPr>
          <w:rFonts w:ascii="Arial" w:cs="Arial" w:eastAsia="Arial" w:hAnsi="Arial"/>
          <w:sz w:val="12"/>
          <w:szCs w:val="12"/>
          <w:color w:val="auto"/>
        </w:rPr>
        <w:t>The Company and its subsidiaries are subject to U.S. federal, state and foreign income tax, and in the normal course of business, its income tax returns are subject to examination by the relevant taxing authorities. As of December 31, 2021, the 2017 to 2021 tax years remained subject to examination in the U.S. federal tax and various state tax jurisdictions. The Company is not currently under examination by federal, state, or foreign jurisdictions.</w:t>
      </w:r>
    </w:p>
    <w:p>
      <w:pPr>
        <w:spacing w:after="0" w:line="121"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Indefinite Reinvestment of Foreign Earnings</w:t>
      </w:r>
    </w:p>
    <w:p>
      <w:pPr>
        <w:spacing w:after="0" w:line="44"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The Company considers the earnings of certain subsidiaries to be indefinitely invested outside the Cayman Islands on the basis of estimates that future domestic cash generation will be sufficient to meet future domestic cash needs and the specific plans for reinvestment of those subsidiary earnings. The Company has not recorded a deferred tax liability related to the income taxes and foreign withholding taxes on indefinitely reinvested undistributed earnings of foreign subsidiaries. If the Company decides to repatriate the foreign earnings, it would need to adjust the income tax provision in the period it was determined that the earnings would no longer be indefinitely invested outside the Cayman Islands. The Company’s subsidiaries in the United States do not have undistributed earnings to distribute. A subsidiary in China has $1.2 million of undistributed earnings which would be subject to a 10% withholding tax if distributed.</w:t>
      </w:r>
    </w:p>
    <w:p>
      <w:pPr>
        <w:spacing w:after="0" w:line="8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13. Net Loss Per Share</w:t>
      </w:r>
    </w:p>
    <w:p>
      <w:pPr>
        <w:spacing w:after="0" w:line="113" w:lineRule="exact"/>
        <w:rPr>
          <w:sz w:val="20"/>
          <w:szCs w:val="20"/>
          <w:color w:val="auto"/>
        </w:rPr>
      </w:pPr>
    </w:p>
    <w:p>
      <w:pPr>
        <w:ind w:left="1560" w:right="1639"/>
        <w:spacing w:after="0" w:line="288" w:lineRule="auto"/>
        <w:rPr>
          <w:sz w:val="20"/>
          <w:szCs w:val="20"/>
          <w:color w:val="auto"/>
        </w:rPr>
      </w:pPr>
      <w:r>
        <w:rPr>
          <w:rFonts w:ascii="Arial" w:cs="Arial" w:eastAsia="Arial" w:hAnsi="Arial"/>
          <w:sz w:val="12"/>
          <w:szCs w:val="12"/>
          <w:color w:val="auto"/>
        </w:rPr>
        <w:t>The following table sets forth the computation of basic and diluted net loss per share attributable to ordinary shareholders, which excludes unvested restricted shares and shares which are legally outstanding, but subject to repurchase by the Company (in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8" w:name="page279"/>
    <w:bookmarkEnd w:id="27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115570</wp:posOffset>
            </wp:positionV>
            <wp:extent cx="3733165"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301"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rPr>
              <w:t>YEAR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4460" w:type="dxa"/>
            <w:vAlign w:val="bottom"/>
          </w:tcPr>
          <w:p>
            <w:pPr>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tcPr>
          <w:p>
            <w:pPr>
              <w:ind w:left="80"/>
              <w:spacing w:after="0"/>
              <w:rPr>
                <w:sz w:val="20"/>
                <w:szCs w:val="20"/>
                <w:color w:val="auto"/>
              </w:rPr>
            </w:pPr>
            <w:r>
              <w:rPr>
                <w:rFonts w:ascii="Arial" w:cs="Arial" w:eastAsia="Arial" w:hAnsi="Arial"/>
                <w:sz w:val="10"/>
                <w:szCs w:val="10"/>
                <w:b w:val="1"/>
                <w:bCs w:val="1"/>
                <w:color w:val="auto"/>
              </w:rPr>
              <w:t>​ ​</w:t>
            </w:r>
          </w:p>
        </w:tc>
        <w:tc>
          <w:tcPr>
            <w:tcW w:w="120" w:type="dxa"/>
            <w:vAlign w:val="bottom"/>
          </w:tcPr>
          <w:p>
            <w:pPr>
              <w:spacing w:after="0"/>
              <w:rPr>
                <w:sz w:val="13"/>
                <w:szCs w:val="13"/>
                <w:color w:val="auto"/>
              </w:rPr>
            </w:pPr>
          </w:p>
        </w:tc>
        <w:tc>
          <w:tcPr>
            <w:tcW w:w="460" w:type="dxa"/>
            <w:vAlign w:val="bottom"/>
            <w:gridSpan w:val="2"/>
          </w:tcPr>
          <w:p>
            <w:pPr>
              <w:jc w:val="right"/>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w:t>
            </w:r>
          </w:p>
        </w:tc>
        <w:tc>
          <w:tcPr>
            <w:tcW w:w="10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4"/>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Numerator:</w:t>
            </w:r>
          </w:p>
        </w:tc>
        <w:tc>
          <w:tcPr>
            <w:tcW w:w="220" w:type="dxa"/>
            <w:vAlign w:val="bottom"/>
            <w:tcBorders>
              <w:top w:val="single" w:sz="8" w:color="CCEEFF"/>
              <w:right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 ​</w:t>
            </w: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60" w:type="dxa"/>
            <w:vAlign w:val="bottom"/>
          </w:tcPr>
          <w:p>
            <w:pPr>
              <w:ind w:left="120"/>
              <w:spacing w:after="0"/>
              <w:rPr>
                <w:sz w:val="20"/>
                <w:szCs w:val="20"/>
                <w:color w:val="auto"/>
              </w:rPr>
            </w:pPr>
            <w:r>
              <w:rPr>
                <w:rFonts w:ascii="Arial" w:cs="Arial" w:eastAsia="Arial" w:hAnsi="Arial"/>
                <w:sz w:val="12"/>
                <w:szCs w:val="12"/>
                <w:color w:val="auto"/>
              </w:rPr>
              <w:t>Net loss attributable to ordinary shareholders</w:t>
            </w:r>
          </w:p>
        </w:tc>
        <w:tc>
          <w:tcPr>
            <w:tcW w:w="800" w:type="dxa"/>
            <w:vAlign w:val="bottom"/>
            <w:gridSpan w:val="5"/>
          </w:tcPr>
          <w:p>
            <w:pPr>
              <w:ind w:left="80"/>
              <w:spacing w:after="0"/>
              <w:rPr>
                <w:sz w:val="20"/>
                <w:szCs w:val="20"/>
                <w:color w:val="auto"/>
              </w:rPr>
            </w:pPr>
            <w:r>
              <w:rPr>
                <w:rFonts w:ascii="Arial" w:cs="Arial" w:eastAsia="Arial" w:hAnsi="Arial"/>
                <w:sz w:val="12"/>
                <w:szCs w:val="12"/>
                <w:color w:val="auto"/>
              </w:rPr>
              <w:t>​ ​​$ (15,876)​​</w:t>
            </w:r>
          </w:p>
        </w:tc>
        <w:tc>
          <w:tcPr>
            <w:tcW w:w="2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8"/>
              </w:rPr>
              <w:t>(38,049)​</w:t>
            </w:r>
          </w:p>
        </w:tc>
        <w:tc>
          <w:tcPr>
            <w:tcW w:w="0" w:type="dxa"/>
            <w:vAlign w:val="bottom"/>
          </w:tcPr>
          <w:p>
            <w:pPr>
              <w:spacing w:after="0"/>
              <w:rPr>
                <w:sz w:val="1"/>
                <w:szCs w:val="1"/>
                <w:color w:val="auto"/>
              </w:rPr>
            </w:pPr>
          </w:p>
        </w:tc>
      </w:tr>
      <w:tr>
        <w:trPr>
          <w:trHeight w:val="184"/>
        </w:trPr>
        <w:tc>
          <w:tcPr>
            <w:tcW w:w="4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Accretion of redeemable convertible preferred shares to their redemption value</w:t>
            </w:r>
          </w:p>
        </w:tc>
        <w:tc>
          <w:tcPr>
            <w:tcW w:w="34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460" w:type="dxa"/>
            <w:vAlign w:val="bottom"/>
          </w:tcPr>
          <w:p>
            <w:pPr>
              <w:ind w:left="120"/>
              <w:spacing w:after="0" w:line="136" w:lineRule="exact"/>
              <w:rPr>
                <w:sz w:val="20"/>
                <w:szCs w:val="20"/>
                <w:color w:val="auto"/>
              </w:rPr>
            </w:pPr>
            <w:r>
              <w:rPr>
                <w:rFonts w:ascii="Arial" w:cs="Arial" w:eastAsia="Arial" w:hAnsi="Arial"/>
                <w:sz w:val="12"/>
                <w:szCs w:val="12"/>
                <w:color w:val="auto"/>
              </w:rPr>
              <w:t>Excess of the fair value of the consideration paid over the carrying value of NCI</w:t>
            </w:r>
          </w:p>
        </w:tc>
        <w:tc>
          <w:tcPr>
            <w:tcW w:w="16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380" w:type="dxa"/>
            <w:vAlign w:val="bottom"/>
          </w:tcPr>
          <w:p>
            <w:pPr>
              <w:ind w:left="260"/>
              <w:spacing w:after="0" w:line="136" w:lineRule="exact"/>
              <w:rPr>
                <w:sz w:val="20"/>
                <w:szCs w:val="20"/>
                <w:color w:val="auto"/>
              </w:rPr>
            </w:pPr>
            <w:r>
              <w:rPr>
                <w:rFonts w:ascii="Arial" w:cs="Arial" w:eastAsia="Arial" w:hAnsi="Arial"/>
                <w:sz w:val="12"/>
                <w:szCs w:val="12"/>
                <w:color w:val="auto"/>
                <w:w w:val="82"/>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(1,959)</w:t>
            </w:r>
          </w:p>
        </w:tc>
        <w:tc>
          <w:tcPr>
            <w:tcW w:w="0" w:type="dxa"/>
            <w:vAlign w:val="bottom"/>
          </w:tcPr>
          <w:p>
            <w:pPr>
              <w:spacing w:after="0"/>
              <w:rPr>
                <w:sz w:val="1"/>
                <w:szCs w:val="1"/>
                <w:color w:val="auto"/>
              </w:rPr>
            </w:pPr>
          </w:p>
        </w:tc>
      </w:tr>
      <w:tr>
        <w:trPr>
          <w:trHeight w:val="58"/>
        </w:trPr>
        <w:tc>
          <w:tcPr>
            <w:tcW w:w="44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60" w:type="dxa"/>
            <w:vAlign w:val="bottom"/>
            <w:shd w:val="clear" w:color="auto" w:fill="CCEEFF"/>
          </w:tcPr>
          <w:p>
            <w:pPr>
              <w:ind w:left="120"/>
              <w:spacing w:after="0" w:line="125" w:lineRule="exact"/>
              <w:rPr>
                <w:sz w:val="20"/>
                <w:szCs w:val="20"/>
                <w:color w:val="auto"/>
              </w:rPr>
            </w:pPr>
            <w:r>
              <w:rPr>
                <w:rFonts w:ascii="Arial" w:cs="Arial" w:eastAsia="Arial" w:hAnsi="Arial"/>
                <w:sz w:val="12"/>
                <w:szCs w:val="12"/>
                <w:color w:val="auto"/>
              </w:rPr>
              <w:t>Net loss attributable to ordinary shareholders</w:t>
            </w:r>
          </w:p>
        </w:tc>
        <w:tc>
          <w:tcPr>
            <w:tcW w:w="16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580" w:type="dxa"/>
            <w:vAlign w:val="bottom"/>
            <w:tcBorders>
              <w:left w:val="single" w:sz="8" w:color="CCEEFF"/>
            </w:tcBorders>
            <w:gridSpan w:val="3"/>
            <w:shd w:val="clear" w:color="auto" w:fill="CCEEFF"/>
          </w:tcPr>
          <w:p>
            <w:pPr>
              <w:jc w:val="right"/>
              <w:ind w:right="3"/>
              <w:spacing w:after="0" w:line="125" w:lineRule="exact"/>
              <w:rPr>
                <w:sz w:val="20"/>
                <w:szCs w:val="20"/>
                <w:color w:val="auto"/>
              </w:rPr>
            </w:pPr>
            <w:r>
              <w:rPr>
                <w:rFonts w:ascii="Arial" w:cs="Arial" w:eastAsia="Arial" w:hAnsi="Arial"/>
                <w:sz w:val="12"/>
                <w:szCs w:val="12"/>
                <w:color w:val="auto"/>
                <w:w w:val="94"/>
              </w:rPr>
              <w:t>$ (16,039)</w:t>
            </w:r>
          </w:p>
        </w:tc>
        <w:tc>
          <w:tcPr>
            <w:tcW w:w="200" w:type="dxa"/>
            <w:vAlign w:val="bottom"/>
            <w:gridSpan w:val="2"/>
            <w:shd w:val="clear" w:color="auto" w:fill="CCEEFF"/>
          </w:tcPr>
          <w:p>
            <w:pPr>
              <w:ind w:left="100"/>
              <w:spacing w:after="0" w:line="12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89"/>
              </w:rPr>
              <w:t>(43,765)</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8"/>
        </w:trPr>
        <w:tc>
          <w:tcPr>
            <w:tcW w:w="446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0" w:type="dxa"/>
            <w:vAlign w:val="bottom"/>
            <w:tcBorders>
              <w:righ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120" w:type="dxa"/>
            <w:vAlign w:val="bottom"/>
            <w:tcBorders>
              <w:left w:val="single" w:sz="8" w:color="CCEEFF"/>
            </w:tcBorders>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ind w:left="4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left w:val="single" w:sz="8" w:color="CCEEFF"/>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46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Denominator:</w:t>
            </w:r>
          </w:p>
        </w:tc>
        <w:tc>
          <w:tcPr>
            <w:tcW w:w="220" w:type="dxa"/>
            <w:vAlign w:val="bottom"/>
            <w:tcBorders>
              <w:top w:val="single" w:sz="8" w:color="CCEEFF"/>
            </w:tcBorders>
            <w:gridSpan w:val="2"/>
          </w:tcPr>
          <w:p>
            <w:pPr>
              <w:ind w:left="60"/>
              <w:spacing w:after="0"/>
              <w:rPr>
                <w:sz w:val="20"/>
                <w:szCs w:val="20"/>
                <w:color w:val="auto"/>
              </w:rPr>
            </w:pPr>
            <w:r>
              <w:rPr>
                <w:rFonts w:ascii="Arial" w:cs="Arial" w:eastAsia="Arial" w:hAnsi="Arial"/>
                <w:sz w:val="12"/>
                <w:szCs w:val="12"/>
                <w:color w:val="auto"/>
              </w:rPr>
              <w:t>​ ​</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Weighted-average ordinary shares outstanding</w:t>
            </w:r>
          </w:p>
        </w:tc>
        <w:tc>
          <w:tcPr>
            <w:tcW w:w="1420" w:type="dxa"/>
            <w:vAlign w:val="bottom"/>
            <w:gridSpan w:val="8"/>
            <w:shd w:val="clear" w:color="auto" w:fill="CCEEFF"/>
          </w:tcPr>
          <w:p>
            <w:pPr>
              <w:jc w:val="right"/>
              <w:spacing w:after="0"/>
              <w:rPr>
                <w:sz w:val="20"/>
                <w:szCs w:val="20"/>
                <w:color w:val="auto"/>
              </w:rPr>
            </w:pPr>
            <w:r>
              <w:rPr>
                <w:rFonts w:ascii="Arial" w:cs="Arial" w:eastAsia="Arial" w:hAnsi="Arial"/>
                <w:sz w:val="12"/>
                <w:szCs w:val="12"/>
                <w:color w:val="auto"/>
              </w:rPr>
              <w:t>​ ​​ ​ 10,865​​ ​​ ​ 10,889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460" w:type="dxa"/>
            <w:vAlign w:val="bottom"/>
          </w:tcPr>
          <w:p>
            <w:pPr>
              <w:ind w:left="120"/>
              <w:spacing w:after="0"/>
              <w:rPr>
                <w:sz w:val="20"/>
                <w:szCs w:val="20"/>
                <w:color w:val="auto"/>
              </w:rPr>
            </w:pPr>
            <w:r>
              <w:rPr>
                <w:rFonts w:ascii="Arial" w:cs="Arial" w:eastAsia="Arial" w:hAnsi="Arial"/>
                <w:sz w:val="12"/>
                <w:szCs w:val="12"/>
                <w:color w:val="auto"/>
              </w:rPr>
              <w:t>Less: weighted-average unvested restricted ordinary shares subject to</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240"/>
              <w:spacing w:after="0"/>
              <w:rPr>
                <w:sz w:val="20"/>
                <w:szCs w:val="20"/>
                <w:color w:val="auto"/>
              </w:rPr>
            </w:pPr>
            <w:r>
              <w:rPr>
                <w:rFonts w:ascii="Arial" w:cs="Arial" w:eastAsia="Arial" w:hAnsi="Arial"/>
                <w:sz w:val="12"/>
                <w:szCs w:val="12"/>
                <w:color w:val="auto"/>
              </w:rPr>
              <w:t>repurchase</w:t>
            </w:r>
          </w:p>
        </w:tc>
        <w:tc>
          <w:tcPr>
            <w:tcW w:w="800" w:type="dxa"/>
            <w:vAlign w:val="bottom"/>
            <w:gridSpan w:val="5"/>
          </w:tcPr>
          <w:p>
            <w:pPr>
              <w:ind w:left="80"/>
              <w:spacing w:after="0"/>
              <w:rPr>
                <w:sz w:val="20"/>
                <w:szCs w:val="20"/>
                <w:color w:val="auto"/>
              </w:rPr>
            </w:pPr>
            <w:r>
              <w:rPr>
                <w:rFonts w:ascii="Arial" w:cs="Arial" w:eastAsia="Arial" w:hAnsi="Arial"/>
                <w:sz w:val="12"/>
                <w:szCs w:val="12"/>
                <w:color w:val="auto"/>
              </w:rPr>
              <w:t>​ ​​ ​ (4,603​​)</w:t>
            </w:r>
          </w:p>
        </w:tc>
        <w:tc>
          <w:tcPr>
            <w:tcW w:w="200" w:type="dxa"/>
            <w:vAlign w:val="bottom"/>
            <w:gridSpan w:val="2"/>
          </w:tcPr>
          <w:p>
            <w:pPr>
              <w:ind w:left="40"/>
              <w:spacing w:after="0"/>
              <w:rPr>
                <w:sz w:val="20"/>
                <w:szCs w:val="20"/>
                <w:color w:val="auto"/>
              </w:rPr>
            </w:pPr>
            <w:r>
              <w:rPr>
                <w:rFonts w:ascii="Arial" w:cs="Arial" w:eastAsia="Arial" w:hAnsi="Arial"/>
                <w:sz w:val="12"/>
                <w:szCs w:val="12"/>
                <w:color w:val="auto"/>
              </w:rPr>
              <w:t>​​ ​</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(2,748​)</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Weighted-average ordinary shares used in computing net loss per share</w:t>
            </w: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60" w:type="dxa"/>
            <w:vAlign w:val="bottom"/>
            <w:vMerge w:val="continue"/>
            <w:shd w:val="clear" w:color="auto" w:fill="CCEEFF"/>
          </w:tcPr>
          <w:p>
            <w:pPr>
              <w:spacing w:after="0"/>
              <w:rPr>
                <w:sz w:val="12"/>
                <w:szCs w:val="12"/>
                <w:color w:val="auto"/>
              </w:rPr>
            </w:pPr>
          </w:p>
        </w:tc>
        <w:tc>
          <w:tcPr>
            <w:tcW w:w="340" w:type="dxa"/>
            <w:vAlign w:val="bottom"/>
            <w:gridSpan w:val="3"/>
            <w:vMerge w:val="restart"/>
            <w:shd w:val="clear" w:color="auto" w:fill="CCEEFF"/>
          </w:tcPr>
          <w:p>
            <w:pPr>
              <w:ind w:left="80"/>
              <w:spacing w:after="0"/>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66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6,262</w:t>
            </w:r>
            <w:r>
              <w:rPr>
                <w:rFonts w:ascii="Arial" w:cs="Arial" w:eastAsia="Arial" w:hAnsi="Arial"/>
                <w:sz w:val="24"/>
                <w:szCs w:val="24"/>
                <w:color w:val="auto"/>
                <w:vertAlign w:val="subscript"/>
              </w:rPr>
              <w:t>​​ ​​</w:t>
            </w:r>
            <w:r>
              <w:rPr>
                <w:rFonts w:ascii="Arial" w:cs="Arial" w:eastAsia="Arial" w:hAnsi="Arial"/>
                <w:sz w:val="12"/>
                <w:szCs w:val="12"/>
                <w:color w:val="auto"/>
              </w:rPr>
              <w:t xml:space="preserve"> ​</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attributable to ordinary shareholders, basic and diluted</w:t>
            </w:r>
          </w:p>
        </w:tc>
        <w:tc>
          <w:tcPr>
            <w:tcW w:w="340" w:type="dxa"/>
            <w:vAlign w:val="bottom"/>
            <w:gridSpan w:val="3"/>
            <w:vMerge w:val="continue"/>
            <w:shd w:val="clear" w:color="auto" w:fill="CCEEFF"/>
          </w:tcPr>
          <w:p>
            <w:pPr>
              <w:spacing w:after="0"/>
              <w:rPr>
                <w:sz w:val="16"/>
                <w:szCs w:val="16"/>
                <w:color w:val="auto"/>
              </w:rPr>
            </w:pPr>
          </w:p>
        </w:tc>
        <w:tc>
          <w:tcPr>
            <w:tcW w:w="660" w:type="dxa"/>
            <w:vAlign w:val="bottom"/>
            <w:gridSpan w:val="4"/>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4460" w:type="dxa"/>
            <w:vAlign w:val="bottom"/>
            <w:tcBorders>
              <w:top w:val="single" w:sz="8" w:color="CCEEFF"/>
            </w:tcBorders>
          </w:tcPr>
          <w:p>
            <w:pPr>
              <w:spacing w:after="0" w:line="125" w:lineRule="exact"/>
              <w:rPr>
                <w:sz w:val="20"/>
                <w:szCs w:val="20"/>
                <w:color w:val="auto"/>
              </w:rPr>
            </w:pPr>
            <w:r>
              <w:rPr>
                <w:rFonts w:ascii="Arial" w:cs="Arial" w:eastAsia="Arial" w:hAnsi="Arial"/>
                <w:sz w:val="12"/>
                <w:szCs w:val="12"/>
                <w:color w:val="auto"/>
              </w:rPr>
              <w:t>Net loss per share attributable to ordinary shareholders, basic and diluted</w:t>
            </w:r>
          </w:p>
        </w:tc>
        <w:tc>
          <w:tcPr>
            <w:tcW w:w="160" w:type="dxa"/>
            <w:vAlign w:val="bottom"/>
            <w:tcBorders>
              <w:top w:val="single" w:sz="8" w:color="CCEEFF"/>
            </w:tcBorders>
            <w:vMerge w:val="restart"/>
          </w:tcPr>
          <w:p>
            <w:pPr>
              <w:ind w:left="8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gridSpan w:val="2"/>
          </w:tcPr>
          <w:p>
            <w:pPr>
              <w:jc w:val="right"/>
              <w:ind w:right="3"/>
              <w:spacing w:after="0" w:line="125" w:lineRule="exact"/>
              <w:rPr>
                <w:sz w:val="20"/>
                <w:szCs w:val="20"/>
                <w:color w:val="auto"/>
              </w:rPr>
            </w:pPr>
            <w:r>
              <w:rPr>
                <w:rFonts w:ascii="Arial" w:cs="Arial" w:eastAsia="Arial" w:hAnsi="Arial"/>
                <w:sz w:val="12"/>
                <w:szCs w:val="12"/>
                <w:color w:val="auto"/>
              </w:rPr>
              <w:t>(2.56)</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2"/>
                <w:szCs w:val="12"/>
                <w:color w:val="auto"/>
              </w:rPr>
              <w:t>(5.38)</w:t>
            </w:r>
          </w:p>
        </w:tc>
        <w:tc>
          <w:tcPr>
            <w:tcW w:w="0" w:type="dxa"/>
            <w:vAlign w:val="bottom"/>
          </w:tcPr>
          <w:p>
            <w:pPr>
              <w:spacing w:after="0"/>
              <w:rPr>
                <w:sz w:val="1"/>
                <w:szCs w:val="1"/>
                <w:color w:val="auto"/>
              </w:rPr>
            </w:pPr>
          </w:p>
        </w:tc>
      </w:tr>
      <w:tr>
        <w:trPr>
          <w:trHeight w:val="48"/>
        </w:trPr>
        <w:tc>
          <w:tcPr>
            <w:tcW w:w="44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tcPr>
          <w:p>
            <w:pPr>
              <w:spacing w:after="0" w:line="49" w:lineRule="exact"/>
              <w:rPr>
                <w:sz w:val="20"/>
                <w:szCs w:val="20"/>
                <w:color w:val="auto"/>
              </w:rPr>
            </w:pPr>
            <w:r>
              <w:rPr>
                <w:rFonts w:ascii="Arial" w:cs="Arial" w:eastAsia="Arial" w:hAnsi="Arial"/>
                <w:sz w:val="5"/>
                <w:szCs w:val="5"/>
                <w:color w:val="auto"/>
              </w:rPr>
              <w:t>​​</w:t>
            </w: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ind w:left="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-429260</wp:posOffset>
            </wp:positionV>
            <wp:extent cx="3395345"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9534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-1000125</wp:posOffset>
            </wp:positionV>
            <wp:extent cx="3395345"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9534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-1473200</wp:posOffset>
            </wp:positionV>
            <wp:extent cx="3733165"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70" w:lineRule="exact"/>
        <w:rPr>
          <w:sz w:val="20"/>
          <w:szCs w:val="20"/>
          <w:color w:val="auto"/>
        </w:rPr>
      </w:pPr>
    </w:p>
    <w:p>
      <w:pPr>
        <w:ind w:left="1560" w:right="1679"/>
        <w:spacing w:after="0" w:line="288" w:lineRule="auto"/>
        <w:rPr>
          <w:sz w:val="20"/>
          <w:szCs w:val="20"/>
          <w:color w:val="auto"/>
        </w:rPr>
      </w:pPr>
      <w:r>
        <w:rPr>
          <w:rFonts w:ascii="Arial" w:cs="Arial" w:eastAsia="Arial" w:hAnsi="Arial"/>
          <w:sz w:val="12"/>
          <w:szCs w:val="12"/>
          <w:color w:val="auto"/>
        </w:rPr>
        <w:t>The following outstanding shares of potentially dilutive securities were excluded from the computation of diluted net loss per share attributable to ordinary shareholders for the periods presented because including them would have been antidilutive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69215</wp:posOffset>
            </wp:positionV>
            <wp:extent cx="3733165"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69"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5080</wp:posOffset>
            </wp:positionV>
            <wp:extent cx="3733165" cy="1168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Redeemable convertible preferred shares</w:t>
      </w:r>
    </w:p>
    <w:p>
      <w:pPr>
        <w:spacing w:after="0" w:line="40"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Options to purchase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1168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Ordinary share warrants</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Unvested restricted ordinary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27305</wp:posOffset>
            </wp:positionV>
            <wp:extent cx="3733165" cy="135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733165" cy="135255"/>
                    </a:xfrm>
                    <a:prstGeom prst="rect">
                      <a:avLst/>
                    </a:prstGeom>
                    <a:noFill/>
                  </pic:spPr>
                </pic:pic>
              </a:graphicData>
            </a:graphic>
          </wp:anchor>
        </w:drawing>
      </w:r>
    </w:p>
    <w:p>
      <w:pPr>
        <w:spacing w:after="0" w:line="45"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94615</wp:posOffset>
            </wp:positionV>
            <wp:extent cx="3733165"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14. Defined Contribution Plan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rPr>
              <w:t>YEAR ENDED</w:t>
            </w:r>
          </w:p>
        </w:tc>
        <w:tc>
          <w:tcPr>
            <w:tcW w:w="40" w:type="dxa"/>
            <w:vAlign w:val="bottom"/>
          </w:tcPr>
          <w:p>
            <w:pPr>
              <w:spacing w:after="0"/>
              <w:rPr>
                <w:sz w:val="11"/>
                <w:szCs w:val="11"/>
                <w:color w:val="auto"/>
              </w:rPr>
            </w:pPr>
          </w:p>
        </w:tc>
      </w:tr>
      <w:tr>
        <w:trPr>
          <w:trHeight w:val="152"/>
        </w:trPr>
        <w:tc>
          <w:tcPr>
            <w:tcW w:w="160" w:type="dxa"/>
            <w:vAlign w:val="bottom"/>
          </w:tcPr>
          <w:p>
            <w:pPr>
              <w:spacing w:after="0"/>
              <w:rPr>
                <w:sz w:val="20"/>
                <w:szCs w:val="20"/>
                <w:color w:val="auto"/>
              </w:rPr>
            </w:pPr>
            <w:r>
              <w:rPr>
                <w:rFonts w:ascii="Arial" w:cs="Arial" w:eastAsia="Arial" w:hAnsi="Arial"/>
                <w:sz w:val="10"/>
                <w:szCs w:val="10"/>
                <w:b w:val="1"/>
                <w:bCs w:val="1"/>
                <w:color w:val="auto"/>
              </w:rPr>
              <w:t>​ ​</w:t>
            </w: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r>
      <w:tr>
        <w:trPr>
          <w:trHeight w:val="154"/>
        </w:trPr>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980" w:type="dxa"/>
            <w:vAlign w:val="bottom"/>
            <w:gridSpan w:val="3"/>
          </w:tcPr>
          <w:p>
            <w:pPr>
              <w:jc w:val="center"/>
              <w:spacing w:after="0" w:line="154" w:lineRule="exact"/>
              <w:rPr>
                <w:sz w:val="20"/>
                <w:szCs w:val="20"/>
                <w:color w:val="auto"/>
              </w:rPr>
            </w:pPr>
            <w:r>
              <w:rPr>
                <w:rFonts w:ascii="Arial" w:cs="Arial" w:eastAsia="Arial" w:hAnsi="Arial"/>
                <w:sz w:val="9"/>
                <w:szCs w:val="9"/>
                <w:b w:val="1"/>
                <w:bCs w:val="1"/>
                <w:color w:val="auto"/>
              </w:rPr>
              <w:t xml:space="preserve">2020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2021</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​​32,000​​ ​​58,863​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 1,524​​ ​​ 4,646​</w:t>
      </w:r>
    </w:p>
    <w:p>
      <w:pPr>
        <w:spacing w:after="0" w:line="46" w:lineRule="exact"/>
        <w:rPr>
          <w:sz w:val="20"/>
          <w:szCs w:val="20"/>
          <w:color w:val="auto"/>
        </w:rPr>
      </w:pPr>
    </w:p>
    <w:p>
      <w:pPr>
        <w:ind w:left="40"/>
        <w:spacing w:after="0"/>
        <w:tabs>
          <w:tab w:leader="none" w:pos="340" w:val="left"/>
          <w:tab w:leader="none" w:pos="920" w:val="left"/>
        </w:tabs>
        <w:rPr>
          <w:sz w:val="20"/>
          <w:szCs w:val="20"/>
          <w:color w:val="auto"/>
        </w:rPr>
      </w:pPr>
      <w:r>
        <w:rPr>
          <w:rFonts w:ascii="Arial" w:cs="Arial" w:eastAsia="Arial" w:hAnsi="Arial"/>
          <w:sz w:val="12"/>
          <w:szCs w:val="12"/>
          <w:color w:val="auto"/>
        </w:rPr>
        <w:t>​ ​​</w:t>
        <w:tab/>
        <w:t>179​​ ​​</w:t>
        <w:tab/>
        <w:t>135​</w:t>
      </w:r>
    </w:p>
    <w:p>
      <w:pPr>
        <w:ind w:left="40"/>
        <w:spacing w:after="0" w:line="204" w:lineRule="auto"/>
        <w:rPr>
          <w:sz w:val="20"/>
          <w:szCs w:val="20"/>
          <w:color w:val="auto"/>
        </w:rPr>
      </w:pPr>
      <w:r>
        <w:rPr>
          <w:rFonts w:ascii="Arial" w:cs="Arial" w:eastAsia="Arial" w:hAnsi="Arial"/>
          <w:sz w:val="24"/>
          <w:szCs w:val="24"/>
          <w:color w:val="auto"/>
          <w:vertAlign w:val="subscript"/>
        </w:rPr>
        <w:t>​ ​</w:t>
      </w:r>
      <w:r>
        <w:rPr>
          <w:rFonts w:ascii="Arial" w:cs="Arial" w:eastAsia="Arial" w:hAnsi="Arial"/>
          <w:sz w:val="24"/>
          <w:szCs w:val="24"/>
          <w:u w:val="single" w:color="auto"/>
          <w:color w:val="auto"/>
          <w:vertAlign w:val="subscript"/>
        </w:rPr>
        <w:t>​</w:t>
      </w:r>
      <w:r>
        <w:rPr>
          <w:rFonts w:ascii="Arial" w:cs="Arial" w:eastAsia="Arial" w:hAnsi="Arial"/>
          <w:sz w:val="12"/>
          <w:szCs w:val="12"/>
          <w:u w:val="single" w:color="auto"/>
          <w:color w:val="auto"/>
        </w:rPr>
        <w:t>​ 3,436</w:t>
      </w:r>
      <w:r>
        <w:rPr>
          <w:rFonts w:ascii="Arial" w:cs="Arial" w:eastAsia="Arial" w:hAnsi="Arial"/>
          <w:sz w:val="24"/>
          <w:szCs w:val="24"/>
          <w:color w:val="auto"/>
          <w:vertAlign w:val="subscript"/>
        </w:rPr>
        <w:t>​​ ​</w:t>
      </w:r>
      <w:r>
        <w:rPr>
          <w:rFonts w:ascii="Arial" w:cs="Arial" w:eastAsia="Arial" w:hAnsi="Arial"/>
          <w:sz w:val="24"/>
          <w:szCs w:val="24"/>
          <w:u w:val="single" w:color="auto"/>
          <w:color w:val="auto"/>
          <w:vertAlign w:val="subscript"/>
        </w:rPr>
        <w:t>​</w:t>
      </w:r>
      <w:r>
        <w:rPr>
          <w:rFonts w:ascii="Arial" w:cs="Arial" w:eastAsia="Arial" w:hAnsi="Arial"/>
          <w:sz w:val="12"/>
          <w:szCs w:val="12"/>
          <w:u w:val="single" w:color="auto"/>
          <w:color w:val="auto"/>
        </w:rPr>
        <w:t>​ 1,513</w:t>
      </w:r>
      <w:r>
        <w:rPr>
          <w:rFonts w:ascii="Arial" w:cs="Arial" w:eastAsia="Arial" w:hAnsi="Arial"/>
          <w:sz w:val="24"/>
          <w:szCs w:val="24"/>
          <w:color w:val="auto"/>
          <w:vertAlign w:val="subscript"/>
        </w:rPr>
        <w:t>​</w:t>
      </w:r>
    </w:p>
    <w:p>
      <w:pPr>
        <w:ind w:left="40"/>
        <w:spacing w:after="0" w:line="185" w:lineRule="auto"/>
        <w:rPr>
          <w:sz w:val="20"/>
          <w:szCs w:val="20"/>
          <w:color w:val="auto"/>
        </w:rPr>
      </w:pPr>
      <w:r>
        <w:rPr>
          <w:rFonts w:ascii="Arial" w:cs="Arial" w:eastAsia="Arial" w:hAnsi="Arial"/>
          <w:sz w:val="24"/>
          <w:szCs w:val="24"/>
          <w:color w:val="auto"/>
          <w:vertAlign w:val="subscript"/>
        </w:rPr>
        <w:t>​ ​</w:t>
      </w:r>
      <w:r>
        <w:rPr>
          <w:rFonts w:ascii="Arial" w:cs="Arial" w:eastAsia="Arial" w:hAnsi="Arial"/>
          <w:sz w:val="24"/>
          <w:szCs w:val="24"/>
          <w:u w:val="single" w:color="auto"/>
          <w:color w:val="auto"/>
          <w:vertAlign w:val="subscript"/>
        </w:rPr>
        <w:t>​</w:t>
      </w:r>
      <w:r>
        <w:rPr>
          <w:rFonts w:ascii="Arial" w:cs="Arial" w:eastAsia="Arial" w:hAnsi="Arial"/>
          <w:sz w:val="12"/>
          <w:szCs w:val="12"/>
          <w:u w:val="single" w:color="auto"/>
          <w:color w:val="auto"/>
        </w:rPr>
        <w:t>​37,139</w:t>
      </w:r>
      <w:r>
        <w:rPr>
          <w:rFonts w:ascii="Arial" w:cs="Arial" w:eastAsia="Arial" w:hAnsi="Arial"/>
          <w:sz w:val="24"/>
          <w:szCs w:val="24"/>
          <w:color w:val="auto"/>
          <w:vertAlign w:val="subscript"/>
        </w:rPr>
        <w:t>​​ ​</w:t>
      </w:r>
      <w:r>
        <w:rPr>
          <w:rFonts w:ascii="Arial" w:cs="Arial" w:eastAsia="Arial" w:hAnsi="Arial"/>
          <w:sz w:val="24"/>
          <w:szCs w:val="24"/>
          <w:u w:val="single" w:color="auto"/>
          <w:color w:val="auto"/>
          <w:vertAlign w:val="subscript"/>
        </w:rPr>
        <w:t>​</w:t>
      </w:r>
      <w:r>
        <w:rPr>
          <w:rFonts w:ascii="Arial" w:cs="Arial" w:eastAsia="Arial" w:hAnsi="Arial"/>
          <w:sz w:val="12"/>
          <w:szCs w:val="12"/>
          <w:u w:val="single" w:color="auto"/>
          <w:color w:val="auto"/>
        </w:rPr>
        <w:t>​65,157</w:t>
      </w:r>
      <w:r>
        <w:rPr>
          <w:rFonts w:ascii="Arial" w:cs="Arial" w:eastAsia="Arial" w:hAnsi="Arial"/>
          <w:sz w:val="24"/>
          <w:szCs w:val="24"/>
          <w:color w:val="auto"/>
          <w:vertAlign w:val="subscript"/>
        </w:rPr>
        <w:t>​</w:t>
      </w:r>
    </w:p>
    <w:p>
      <w:pPr>
        <w:spacing w:after="0" w:line="449" w:lineRule="exact"/>
        <w:rPr>
          <w:sz w:val="20"/>
          <w:szCs w:val="20"/>
          <w:color w:val="auto"/>
        </w:rPr>
      </w:pPr>
    </w:p>
    <w:p>
      <w:pPr>
        <w:sectPr>
          <w:pgSz w:w="11900" w:h="16838" w:orient="portrait"/>
          <w:cols w:equalWidth="0" w:num="2">
            <w:col w:w="5580" w:space="720"/>
            <w:col w:w="2719"/>
          </w:cols>
          <w:pgMar w:left="1440" w:top="109" w:right="1440" w:bottom="1440" w:gutter="0" w:footer="0" w:header="0"/>
          <w:type w:val="continuous"/>
        </w:sectPr>
      </w:pPr>
    </w:p>
    <w:p>
      <w:pPr>
        <w:jc w:val="both"/>
        <w:ind w:left="1560" w:right="1599"/>
        <w:spacing w:after="0" w:line="282" w:lineRule="auto"/>
        <w:rPr>
          <w:sz w:val="20"/>
          <w:szCs w:val="20"/>
          <w:color w:val="auto"/>
        </w:rPr>
      </w:pPr>
      <w:r>
        <w:rPr>
          <w:rFonts w:ascii="Arial" w:cs="Arial" w:eastAsia="Arial" w:hAnsi="Arial"/>
          <w:sz w:val="12"/>
          <w:szCs w:val="12"/>
          <w:color w:val="auto"/>
        </w:rPr>
        <w:t>The Company maintains a defined contribution plan under Section 401(k) of the Code covering substantially all full-time U.S. employees. Employee contributions are voluntary and are determined on an individual basis subject to the maximum allowable under federal tax regulations. The Company does not make contributions to the 401(k) plan.</w:t>
      </w:r>
    </w:p>
    <w:p>
      <w:pPr>
        <w:spacing w:after="0" w:line="77"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15. Related Party Transactions</w:t>
      </w:r>
    </w:p>
    <w:p>
      <w:pPr>
        <w:spacing w:after="0" w:line="113" w:lineRule="exact"/>
        <w:rPr>
          <w:sz w:val="20"/>
          <w:szCs w:val="20"/>
          <w:color w:val="auto"/>
        </w:rPr>
      </w:pPr>
    </w:p>
    <w:p>
      <w:pPr>
        <w:ind w:left="1560" w:right="1619"/>
        <w:spacing w:after="0" w:line="276" w:lineRule="auto"/>
        <w:rPr>
          <w:sz w:val="20"/>
          <w:szCs w:val="20"/>
          <w:color w:val="auto"/>
        </w:rPr>
      </w:pPr>
      <w:r>
        <w:rPr>
          <w:rFonts w:ascii="Arial" w:cs="Arial" w:eastAsia="Arial" w:hAnsi="Arial"/>
          <w:sz w:val="12"/>
          <w:szCs w:val="12"/>
          <w:color w:val="auto"/>
        </w:rPr>
        <w:t>Ramy Farid, the President and Chief Executive Officer of Schrödinger, Inc. (“Schrödinger”) is a member of the Company’s board of directors. During the years ended December 31, 2020 and 2021, the Company had existing collaboration agreements to use the results provided by Schrödinger’s software platform for its research purposes. During the years ended December 31, 2020 and 2021, the Company paid $0.3 million and $0.7 million to Schrödinger, respectively, and had none and less than $0.1 million payable balance to Schrödinger as of December 31, 2020 and 2021, respectively.</w:t>
      </w:r>
    </w:p>
    <w:p>
      <w:pPr>
        <w:spacing w:after="0" w:line="82"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As discussed in Note 8 during the year ended December 31, 2021, existing Company shareholders acquired a redeemable noncontrolling interest in Basecamp and ultimately exchanged that interest for Series B-1 redeemable convertible preferred shares of the Company.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79" w:name="page280"/>
    <w:bookmarkEnd w:id="27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 (CONTINUED)</w:t>
      </w:r>
    </w:p>
    <w:p>
      <w:pPr>
        <w:spacing w:after="0" w:line="175"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16. Subsequent Events</w:t>
      </w:r>
    </w:p>
    <w:p>
      <w:pPr>
        <w:spacing w:after="0" w:line="123" w:lineRule="exact"/>
        <w:rPr>
          <w:sz w:val="20"/>
          <w:szCs w:val="20"/>
          <w:color w:val="auto"/>
        </w:rPr>
      </w:pPr>
    </w:p>
    <w:p>
      <w:pPr>
        <w:ind w:left="1560" w:right="1679"/>
        <w:spacing w:after="0" w:line="308" w:lineRule="auto"/>
        <w:rPr>
          <w:sz w:val="20"/>
          <w:szCs w:val="20"/>
          <w:color w:val="auto"/>
        </w:rPr>
      </w:pPr>
      <w:r>
        <w:rPr>
          <w:rFonts w:ascii="Arial" w:cs="Arial" w:eastAsia="Arial" w:hAnsi="Arial"/>
          <w:sz w:val="12"/>
          <w:szCs w:val="12"/>
          <w:color w:val="auto"/>
        </w:rPr>
        <w:t>The Company has evaluated subsequent events through May 12, 2022, the date the consolidated financial statements were available to be issued.</w:t>
      </w:r>
    </w:p>
    <w:p>
      <w:pPr>
        <w:spacing w:after="0" w:line="52" w:lineRule="exact"/>
        <w:rPr>
          <w:sz w:val="20"/>
          <w:szCs w:val="20"/>
          <w:color w:val="auto"/>
        </w:rPr>
      </w:pPr>
    </w:p>
    <w:p>
      <w:pPr>
        <w:ind w:left="1560" w:right="1699"/>
        <w:spacing w:after="0" w:line="308" w:lineRule="auto"/>
        <w:rPr>
          <w:sz w:val="20"/>
          <w:szCs w:val="20"/>
          <w:color w:val="auto"/>
        </w:rPr>
      </w:pPr>
      <w:r>
        <w:rPr>
          <w:rFonts w:ascii="Arial" w:cs="Arial" w:eastAsia="Arial" w:hAnsi="Arial"/>
          <w:sz w:val="12"/>
          <w:szCs w:val="12"/>
          <w:color w:val="auto"/>
        </w:rPr>
        <w:t>Since January 1, 2022, the Company has granted options to purchase a total of 3,610,872 ordinary shares at a weighted average exercise price of  $2.61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0" w:name="page281"/>
    <w:bookmarkEnd w:id="280"/>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102" w:lineRule="exact"/>
        <w:rPr>
          <w:sz w:val="20"/>
          <w:szCs w:val="20"/>
          <w:color w:val="auto"/>
        </w:rPr>
      </w:pPr>
    </w:p>
    <w:p>
      <w:pPr>
        <w:ind w:left="2820"/>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3"/>
          <w:szCs w:val="13"/>
          <w:b w:val="1"/>
          <w:bCs w:val="1"/>
          <w:i w:val="1"/>
          <w:iCs w:val="1"/>
          <w:color w:val="auto"/>
        </w:rPr>
        <w:t>(IN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4273550"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273550" cy="6350"/>
                    </a:xfrm>
                    <a:prstGeom prst="rect">
                      <a:avLst/>
                    </a:prstGeom>
                    <a:noFill/>
                  </pic:spPr>
                </pic:pic>
              </a:graphicData>
            </a:graphic>
          </wp:anchor>
        </w:drawing>
      </w:r>
    </w:p>
    <w:p>
      <w:pPr>
        <w:spacing w:after="0" w:line="39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960" w:type="dxa"/>
            <w:vAlign w:val="bottom"/>
          </w:tcPr>
          <w:p>
            <w:pPr>
              <w:spacing w:after="0"/>
              <w:rPr>
                <w:sz w:val="11"/>
                <w:szCs w:val="11"/>
                <w:color w:val="auto"/>
              </w:rPr>
            </w:pPr>
          </w:p>
        </w:tc>
        <w:tc>
          <w:tcPr>
            <w:tcW w:w="1740" w:type="dxa"/>
            <w:vAlign w:val="bottom"/>
            <w:gridSpan w:val="10"/>
          </w:tcPr>
          <w:p>
            <w:pPr>
              <w:spacing w:after="0"/>
              <w:rPr>
                <w:sz w:val="20"/>
                <w:szCs w:val="20"/>
                <w:color w:val="auto"/>
              </w:rPr>
            </w:pPr>
            <w:r>
              <w:rPr>
                <w:rFonts w:ascii="Arial" w:cs="Arial" w:eastAsia="Arial" w:hAnsi="Arial"/>
                <w:sz w:val="10"/>
                <w:szCs w:val="10"/>
                <w:b w:val="1"/>
                <w:bCs w:val="1"/>
                <w:color w:val="auto"/>
              </w:rPr>
              <w:t>DECEMBER 31, 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60" w:type="dxa"/>
            <w:vAlign w:val="bottom"/>
          </w:tcPr>
          <w:p>
            <w:pPr>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2022</w:t>
            </w:r>
          </w:p>
        </w:tc>
        <w:tc>
          <w:tcPr>
            <w:tcW w:w="60" w:type="dxa"/>
            <w:vAlign w:val="bottom"/>
            <w:tcBorders>
              <w:bottom w:val="single" w:sz="8" w:color="auto"/>
            </w:tcBorders>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5"/>
        </w:trPr>
        <w:tc>
          <w:tcPr>
            <w:tcW w:w="4960" w:type="dxa"/>
            <w:vAlign w:val="bottom"/>
          </w:tcPr>
          <w:p>
            <w:pPr>
              <w:spacing w:after="0" w:line="125" w:lineRule="exact"/>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line="125" w:lineRule="exact"/>
              <w:rPr>
                <w:sz w:val="20"/>
                <w:szCs w:val="20"/>
                <w:color w:val="auto"/>
              </w:rPr>
            </w:pPr>
            <w:r>
              <w:rPr>
                <w:rFonts w:ascii="Arial" w:cs="Arial" w:eastAsia="Arial" w:hAnsi="Arial"/>
                <w:sz w:val="12"/>
                <w:szCs w:val="12"/>
                <w:b w:val="1"/>
                <w:bCs w:val="1"/>
                <w:color w:val="auto"/>
              </w:rPr>
              <w:t>​</w:t>
            </w:r>
          </w:p>
        </w:tc>
        <w:tc>
          <w:tcPr>
            <w:tcW w:w="1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0"/>
                <w:szCs w:val="10"/>
                <w:color w:val="auto"/>
              </w:rPr>
            </w:pPr>
          </w:p>
        </w:tc>
        <w:tc>
          <w:tcPr>
            <w:tcW w:w="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w:t>
            </w:r>
          </w:p>
        </w:tc>
        <w:tc>
          <w:tcPr>
            <w:tcW w:w="22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 ​</w:t>
            </w:r>
          </w:p>
        </w:tc>
        <w:tc>
          <w:tcPr>
            <w:tcW w:w="100" w:type="dxa"/>
            <w:vAlign w:val="bottom"/>
          </w:tcPr>
          <w:p>
            <w:pPr>
              <w:spacing w:after="0" w:line="125" w:lineRule="exact"/>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0"/>
                <w:szCs w:val="10"/>
                <w:color w:val="auto"/>
              </w:rPr>
            </w:pPr>
          </w:p>
        </w:tc>
        <w:tc>
          <w:tcPr>
            <w:tcW w:w="12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 ​​</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105,305</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28,092</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Short-term investments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2,002</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74,659</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1,943</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2,016</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960" w:type="dxa"/>
            <w:vAlign w:val="bottom"/>
          </w:tcPr>
          <w:p>
            <w:pPr>
              <w:ind w:left="240"/>
              <w:spacing w:after="0" w:line="125" w:lineRule="exact"/>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109,250</w:t>
            </w:r>
          </w:p>
        </w:tc>
        <w:tc>
          <w:tcPr>
            <w:tcW w:w="80" w:type="dxa"/>
            <w:vAlign w:val="bottom"/>
          </w:tcPr>
          <w:p>
            <w:pPr>
              <w:spacing w:after="0"/>
              <w:rPr>
                <w:sz w:val="10"/>
                <w:szCs w:val="10"/>
                <w:color w:val="auto"/>
              </w:rPr>
            </w:pPr>
          </w:p>
        </w:tc>
        <w:tc>
          <w:tcPr>
            <w:tcW w:w="22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 ​</w:t>
            </w:r>
          </w:p>
        </w:tc>
        <w:tc>
          <w:tcPr>
            <w:tcW w:w="10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5" w:lineRule="exact"/>
              <w:rPr>
                <w:sz w:val="20"/>
                <w:szCs w:val="20"/>
                <w:color w:val="auto"/>
              </w:rPr>
            </w:pPr>
            <w:r>
              <w:rPr>
                <w:rFonts w:ascii="Arial" w:cs="Arial" w:eastAsia="Arial" w:hAnsi="Arial"/>
                <w:sz w:val="12"/>
                <w:szCs w:val="12"/>
                <w:color w:val="auto"/>
              </w:rPr>
              <w:t>104,767</w:t>
            </w:r>
          </w:p>
        </w:tc>
        <w:tc>
          <w:tcPr>
            <w:tcW w:w="60" w:type="dxa"/>
            <w:vAlign w:val="bottom"/>
          </w:tcPr>
          <w:p>
            <w:pPr>
              <w:spacing w:after="0"/>
              <w:rPr>
                <w:sz w:val="10"/>
                <w:szCs w:val="10"/>
                <w:color w:val="auto"/>
              </w:rPr>
            </w:pPr>
          </w:p>
        </w:tc>
        <w:tc>
          <w:tcPr>
            <w:tcW w:w="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Property and equipment, net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1,185</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1,032</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Operating right-of-use assets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609</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338</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111</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2,269</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60" w:type="dxa"/>
            <w:vAlign w:val="bottom"/>
          </w:tcPr>
          <w:p>
            <w:pPr>
              <w:ind w:left="380"/>
              <w:spacing w:after="0" w:line="135" w:lineRule="exact"/>
              <w:rPr>
                <w:sz w:val="20"/>
                <w:szCs w:val="20"/>
                <w:color w:val="auto"/>
              </w:rPr>
            </w:pPr>
            <w:r>
              <w:rPr>
                <w:rFonts w:ascii="Arial" w:cs="Arial" w:eastAsia="Arial" w:hAnsi="Arial"/>
                <w:sz w:val="12"/>
                <w:szCs w:val="12"/>
                <w:color w:val="auto"/>
              </w:rPr>
              <w:t>Total assets</w:t>
            </w:r>
          </w:p>
        </w:tc>
        <w:tc>
          <w:tcPr>
            <w:tcW w:w="1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111,155</w:t>
            </w:r>
          </w:p>
        </w:tc>
        <w:tc>
          <w:tcPr>
            <w:tcW w:w="80" w:type="dxa"/>
            <w:vAlign w:val="bottom"/>
          </w:tcPr>
          <w:p>
            <w:pPr>
              <w:spacing w:after="0"/>
              <w:rPr>
                <w:sz w:val="12"/>
                <w:szCs w:val="12"/>
                <w:color w:val="auto"/>
              </w:rPr>
            </w:pPr>
          </w:p>
        </w:tc>
        <w:tc>
          <w:tcPr>
            <w:tcW w:w="220" w:type="dxa"/>
            <w:vAlign w:val="bottom"/>
            <w:gridSpan w:val="3"/>
          </w:tcPr>
          <w:p>
            <w:pPr>
              <w:ind w:left="40"/>
              <w:spacing w:after="0" w:line="135" w:lineRule="exact"/>
              <w:rPr>
                <w:sz w:val="20"/>
                <w:szCs w:val="20"/>
                <w:color w:val="auto"/>
              </w:rPr>
            </w:pPr>
            <w:r>
              <w:rPr>
                <w:rFonts w:ascii="Arial" w:cs="Arial" w:eastAsia="Arial" w:hAnsi="Arial"/>
                <w:sz w:val="9"/>
                <w:szCs w:val="9"/>
                <w:color w:val="auto"/>
              </w:rPr>
              <w:t>​​ ​</w:t>
            </w:r>
            <w:r>
              <w:rPr>
                <w:rFonts w:ascii="Arial" w:cs="Arial" w:eastAsia="Arial" w:hAnsi="Arial"/>
                <w:sz w:val="15"/>
                <w:szCs w:val="15"/>
                <w:color w:val="auto"/>
                <w:vertAlign w:val="superscript"/>
              </w:rPr>
              <w:t>$</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108,406</w:t>
            </w:r>
          </w:p>
        </w:tc>
        <w:tc>
          <w:tcPr>
            <w:tcW w:w="60" w:type="dxa"/>
            <w:vAlign w:val="bottom"/>
          </w:tcPr>
          <w:p>
            <w:pPr>
              <w:spacing w:after="0"/>
              <w:rPr>
                <w:sz w:val="12"/>
                <w:szCs w:val="12"/>
                <w:color w:val="auto"/>
              </w:rPr>
            </w:pPr>
          </w:p>
        </w:tc>
        <w:tc>
          <w:tcPr>
            <w:tcW w:w="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line="136" w:lineRule="exact"/>
              <w:rPr>
                <w:sz w:val="20"/>
                <w:szCs w:val="20"/>
                <w:color w:val="auto"/>
              </w:rPr>
            </w:pPr>
            <w:r>
              <w:rPr>
                <w:rFonts w:ascii="Arial" w:cs="Arial" w:eastAsia="Arial" w:hAnsi="Arial"/>
                <w:sz w:val="12"/>
                <w:szCs w:val="12"/>
                <w:b w:val="1"/>
                <w:bCs w:val="1"/>
                <w:color w:val="auto"/>
              </w:rPr>
              <w:t>Liabilities, redeemable convertible preferred shares and shareholders’ deficit​</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spacing w:after="0" w:line="136" w:lineRule="exact"/>
              <w:rPr>
                <w:sz w:val="20"/>
                <w:szCs w:val="20"/>
                <w:color w:val="auto"/>
              </w:rPr>
            </w:pPr>
            <w:r>
              <w:rPr>
                <w:rFonts w:ascii="Arial" w:cs="Arial" w:eastAsia="Arial" w:hAnsi="Arial"/>
                <w:sz w:val="12"/>
                <w:szCs w:val="12"/>
                <w:b w:val="1"/>
                <w:bCs w:val="1"/>
                <w:color w:val="auto"/>
              </w:rPr>
              <w:t>​ ​​</w:t>
            </w:r>
          </w:p>
        </w:tc>
        <w:tc>
          <w:tcPr>
            <w:tcW w:w="0" w:type="dxa"/>
            <w:vAlign w:val="bottom"/>
          </w:tcPr>
          <w:p>
            <w:pPr>
              <w:spacing w:after="0" w:line="20" w:lineRule="exact"/>
              <w:rPr>
                <w:sz w:val="1"/>
                <w:szCs w:val="1"/>
                <w:color w:val="auto"/>
              </w:rPr>
            </w:pPr>
          </w:p>
        </w:tc>
      </w:tr>
      <w:tr>
        <w:trPr>
          <w:trHeight w:val="115"/>
        </w:trPr>
        <w:tc>
          <w:tcPr>
            <w:tcW w:w="5080" w:type="dxa"/>
            <w:vAlign w:val="bottom"/>
            <w:gridSpan w:val="2"/>
            <w:vMerge w:val="continue"/>
          </w:tcPr>
          <w:p>
            <w:pPr>
              <w:spacing w:after="0"/>
              <w:rPr>
                <w:sz w:val="10"/>
                <w:szCs w:val="10"/>
                <w:color w:val="auto"/>
              </w:rPr>
            </w:pPr>
          </w:p>
        </w:tc>
        <w:tc>
          <w:tcPr>
            <w:tcW w:w="14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20" w:type="dxa"/>
            <w:vAlign w:val="bottom"/>
            <w:gridSpan w:val="3"/>
          </w:tcPr>
          <w:p>
            <w:pPr>
              <w:ind w:left="40"/>
              <w:spacing w:after="0" w:line="115" w:lineRule="exact"/>
              <w:rPr>
                <w:sz w:val="20"/>
                <w:szCs w:val="20"/>
                <w:color w:val="auto"/>
              </w:rPr>
            </w:pPr>
            <w:r>
              <w:rPr>
                <w:rFonts w:ascii="Arial" w:cs="Arial" w:eastAsia="Arial" w:hAnsi="Arial"/>
                <w:sz w:val="12"/>
                <w:szCs w:val="12"/>
                <w:b w:val="1"/>
                <w:bCs w:val="1"/>
                <w:color w:val="auto"/>
              </w:rPr>
              <w:t>​​ ​</w:t>
            </w:r>
          </w:p>
        </w:tc>
        <w:tc>
          <w:tcPr>
            <w:tcW w:w="100" w:type="dxa"/>
            <w:vAlign w:val="bottom"/>
          </w:tcPr>
          <w:p>
            <w:pPr>
              <w:spacing w:after="0" w:line="115" w:lineRule="exact"/>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60" w:type="dxa"/>
            <w:vAlign w:val="bottom"/>
          </w:tcPr>
          <w:p>
            <w:pPr>
              <w:spacing w:after="0"/>
              <w:rPr>
                <w:sz w:val="20"/>
                <w:szCs w:val="20"/>
                <w:color w:val="auto"/>
              </w:rPr>
            </w:pPr>
            <w:r>
              <w:rPr>
                <w:rFonts w:ascii="Arial" w:cs="Arial" w:eastAsia="Arial" w:hAnsi="Arial"/>
                <w:sz w:val="12"/>
                <w:szCs w:val="12"/>
                <w:color w:val="auto"/>
              </w:rPr>
              <w:t>Current liabilities: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3,484</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5,703</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4,825</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6,196</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 current portion</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349</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330</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960" w:type="dxa"/>
            <w:vAlign w:val="bottom"/>
          </w:tcPr>
          <w:p>
            <w:pPr>
              <w:ind w:left="240"/>
              <w:spacing w:after="0" w:line="125" w:lineRule="exact"/>
              <w:rPr>
                <w:sz w:val="20"/>
                <w:szCs w:val="20"/>
                <w:color w:val="auto"/>
              </w:rPr>
            </w:pPr>
            <w:r>
              <w:rPr>
                <w:rFonts w:ascii="Arial" w:cs="Arial" w:eastAsia="Arial" w:hAnsi="Arial"/>
                <w:sz w:val="12"/>
                <w:szCs w:val="12"/>
                <w:color w:val="auto"/>
              </w:rPr>
              <w:t>Total current liabilities</w:t>
            </w:r>
          </w:p>
        </w:tc>
        <w:tc>
          <w:tcPr>
            <w:tcW w:w="12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8,658</w:t>
            </w:r>
          </w:p>
        </w:tc>
        <w:tc>
          <w:tcPr>
            <w:tcW w:w="80" w:type="dxa"/>
            <w:vAlign w:val="bottom"/>
          </w:tcPr>
          <w:p>
            <w:pPr>
              <w:spacing w:after="0"/>
              <w:rPr>
                <w:sz w:val="10"/>
                <w:szCs w:val="10"/>
                <w:color w:val="auto"/>
              </w:rPr>
            </w:pPr>
          </w:p>
        </w:tc>
        <w:tc>
          <w:tcPr>
            <w:tcW w:w="22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 ​</w:t>
            </w:r>
          </w:p>
        </w:tc>
        <w:tc>
          <w:tcPr>
            <w:tcW w:w="10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5" w:lineRule="exact"/>
              <w:rPr>
                <w:sz w:val="20"/>
                <w:szCs w:val="20"/>
                <w:color w:val="auto"/>
              </w:rPr>
            </w:pPr>
            <w:r>
              <w:rPr>
                <w:rFonts w:ascii="Arial" w:cs="Arial" w:eastAsia="Arial" w:hAnsi="Arial"/>
                <w:sz w:val="12"/>
                <w:szCs w:val="12"/>
                <w:color w:val="auto"/>
              </w:rPr>
              <w:t>12,229</w:t>
            </w:r>
          </w:p>
        </w:tc>
        <w:tc>
          <w:tcPr>
            <w:tcW w:w="60" w:type="dxa"/>
            <w:vAlign w:val="bottom"/>
          </w:tcPr>
          <w:p>
            <w:pPr>
              <w:spacing w:after="0"/>
              <w:rPr>
                <w:sz w:val="10"/>
                <w:szCs w:val="10"/>
                <w:color w:val="auto"/>
              </w:rPr>
            </w:pPr>
          </w:p>
        </w:tc>
        <w:tc>
          <w:tcPr>
            <w:tcW w:w="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liabilities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272</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115</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960" w:type="dxa"/>
            <w:vAlign w:val="bottom"/>
          </w:tcPr>
          <w:p>
            <w:pPr>
              <w:ind w:left="380"/>
              <w:spacing w:after="0" w:line="125" w:lineRule="exact"/>
              <w:rPr>
                <w:sz w:val="20"/>
                <w:szCs w:val="20"/>
                <w:color w:val="auto"/>
              </w:rPr>
            </w:pPr>
            <w:r>
              <w:rPr>
                <w:rFonts w:ascii="Arial" w:cs="Arial" w:eastAsia="Arial" w:hAnsi="Arial"/>
                <w:sz w:val="12"/>
                <w:szCs w:val="12"/>
                <w:color w:val="auto"/>
              </w:rPr>
              <w:t>Total liabilities</w:t>
            </w:r>
          </w:p>
        </w:tc>
        <w:tc>
          <w:tcPr>
            <w:tcW w:w="12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8,930</w:t>
            </w:r>
          </w:p>
        </w:tc>
        <w:tc>
          <w:tcPr>
            <w:tcW w:w="80" w:type="dxa"/>
            <w:vAlign w:val="bottom"/>
          </w:tcPr>
          <w:p>
            <w:pPr>
              <w:spacing w:after="0"/>
              <w:rPr>
                <w:sz w:val="10"/>
                <w:szCs w:val="10"/>
                <w:color w:val="auto"/>
              </w:rPr>
            </w:pPr>
          </w:p>
        </w:tc>
        <w:tc>
          <w:tcPr>
            <w:tcW w:w="22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 ​</w:t>
            </w:r>
          </w:p>
        </w:tc>
        <w:tc>
          <w:tcPr>
            <w:tcW w:w="10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5" w:lineRule="exact"/>
              <w:rPr>
                <w:sz w:val="20"/>
                <w:szCs w:val="20"/>
                <w:color w:val="auto"/>
              </w:rPr>
            </w:pPr>
            <w:r>
              <w:rPr>
                <w:rFonts w:ascii="Arial" w:cs="Arial" w:eastAsia="Arial" w:hAnsi="Arial"/>
                <w:sz w:val="12"/>
                <w:szCs w:val="12"/>
                <w:color w:val="auto"/>
              </w:rPr>
              <w:t>12,344</w:t>
            </w:r>
          </w:p>
        </w:tc>
        <w:tc>
          <w:tcPr>
            <w:tcW w:w="60" w:type="dxa"/>
            <w:vAlign w:val="bottom"/>
          </w:tcPr>
          <w:p>
            <w:pPr>
              <w:spacing w:after="0"/>
              <w:rPr>
                <w:sz w:val="10"/>
                <w:szCs w:val="10"/>
                <w:color w:val="auto"/>
              </w:rPr>
            </w:pPr>
          </w:p>
        </w:tc>
        <w:tc>
          <w:tcPr>
            <w:tcW w:w="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20"/>
                <w:szCs w:val="20"/>
                <w:color w:val="auto"/>
              </w:rPr>
            </w:pPr>
            <w:r>
              <w:rPr>
                <w:rFonts w:ascii="Arial" w:cs="Arial" w:eastAsia="Arial" w:hAnsi="Arial"/>
                <w:sz w:val="12"/>
                <w:szCs w:val="12"/>
                <w:color w:val="auto"/>
              </w:rPr>
              <w:t>Commitments and contingencies (Note 6)</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2"/>
                <w:szCs w:val="12"/>
                <w:color w:val="auto"/>
              </w:rPr>
              <w:t>Series A redeemable convertible preferred shares – $0.0001 par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19,200 shares authorized, issued and outstanding as of 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2021 and September 30, 2022 (liquidation preference of  $32,001 as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120"/>
              <w:spacing w:after="0"/>
              <w:rPr>
                <w:sz w:val="20"/>
                <w:szCs w:val="20"/>
                <w:color w:val="auto"/>
              </w:rPr>
            </w:pPr>
            <w:r>
              <w:rPr>
                <w:rFonts w:ascii="Arial" w:cs="Arial" w:eastAsia="Arial" w:hAnsi="Arial"/>
                <w:sz w:val="12"/>
                <w:szCs w:val="12"/>
                <w:color w:val="auto"/>
              </w:rPr>
              <w:t>December 31, 2021 and September 30, 2022)</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32,001</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32,001</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2"/>
                <w:szCs w:val="12"/>
                <w:color w:val="auto"/>
              </w:rPr>
              <w:t>Series A+ redeemable convertible preferred shares – $0.0001 par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12,800 shares authorized, issued and outstanding as of 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2021 and September 30, 2022 (liquidation preference of  $26,000 as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120"/>
              <w:spacing w:after="0"/>
              <w:rPr>
                <w:sz w:val="20"/>
                <w:szCs w:val="20"/>
                <w:color w:val="auto"/>
              </w:rPr>
            </w:pPr>
            <w:r>
              <w:rPr>
                <w:rFonts w:ascii="Arial" w:cs="Arial" w:eastAsia="Arial" w:hAnsi="Arial"/>
                <w:sz w:val="12"/>
                <w:szCs w:val="12"/>
                <w:color w:val="auto"/>
              </w:rPr>
              <w:t>December 31, 2021 and September 30, 2022)</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26,000</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26,000</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2"/>
                <w:szCs w:val="12"/>
                <w:color w:val="auto"/>
              </w:rPr>
              <w:t>Series B redeemable convertible preferred stock – $0.0001 par value, 24,702 and 32,857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shares authorized, issued and outstanding as of December 31, 2021 and 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2022, respectively, (liquidation preference of  $100,000 and $133,015 as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120"/>
              <w:spacing w:after="0"/>
              <w:rPr>
                <w:sz w:val="20"/>
                <w:szCs w:val="20"/>
                <w:color w:val="auto"/>
              </w:rPr>
            </w:pPr>
            <w:r>
              <w:rPr>
                <w:rFonts w:ascii="Arial" w:cs="Arial" w:eastAsia="Arial" w:hAnsi="Arial"/>
                <w:sz w:val="12"/>
                <w:szCs w:val="12"/>
                <w:color w:val="auto"/>
              </w:rPr>
              <w:t>December 31, 2021 and September 30, 2022, respectively)</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100,000</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133,015</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2"/>
                <w:szCs w:val="12"/>
                <w:color w:val="auto"/>
              </w:rPr>
              <w:t>Series B-1 redeemable convertible preferred stock – $0.0001 par value, 2,161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authorized, issued and outstanding as of December 31, 2021 and September 30, 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120"/>
              <w:spacing w:after="0"/>
              <w:rPr>
                <w:sz w:val="20"/>
                <w:szCs w:val="20"/>
                <w:color w:val="auto"/>
              </w:rPr>
            </w:pPr>
            <w:r>
              <w:rPr>
                <w:rFonts w:ascii="Arial" w:cs="Arial" w:eastAsia="Arial" w:hAnsi="Arial"/>
                <w:sz w:val="12"/>
                <w:szCs w:val="12"/>
                <w:color w:val="auto"/>
              </w:rPr>
              <w:t>(liquidation preference of  $7,000 as of December 31, 2021 and September 30, 2022)</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8,959</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8,959</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20"/>
                <w:szCs w:val="20"/>
                <w:color w:val="auto"/>
              </w:rPr>
            </w:pPr>
            <w:r>
              <w:rPr>
                <w:rFonts w:ascii="Arial" w:cs="Arial" w:eastAsia="Arial" w:hAnsi="Arial"/>
                <w:sz w:val="12"/>
                <w:szCs w:val="12"/>
                <w:color w:val="auto"/>
              </w:rPr>
              <w:t>Shareholders’ deficit: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2"/>
                <w:szCs w:val="12"/>
                <w:color w:val="auto"/>
              </w:rPr>
              <w:t>Ordinary shares – $0.0001 par value; 441,137 and 432,982 shares authorized as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240"/>
              <w:spacing w:after="0"/>
              <w:rPr>
                <w:sz w:val="20"/>
                <w:szCs w:val="20"/>
                <w:color w:val="auto"/>
              </w:rPr>
            </w:pPr>
            <w:r>
              <w:rPr>
                <w:rFonts w:ascii="Arial" w:cs="Arial" w:eastAsia="Arial" w:hAnsi="Arial"/>
                <w:sz w:val="12"/>
                <w:szCs w:val="12"/>
                <w:color w:val="auto"/>
              </w:rPr>
              <w:t>December 31, 2021 and September 30, 2022, respectively; 10,894 and 10,527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tcPr>
          <w:p>
            <w:pPr>
              <w:ind w:left="240"/>
              <w:spacing w:after="0"/>
              <w:rPr>
                <w:sz w:val="20"/>
                <w:szCs w:val="20"/>
                <w:color w:val="auto"/>
              </w:rPr>
            </w:pPr>
            <w:r>
              <w:rPr>
                <w:rFonts w:ascii="Arial" w:cs="Arial" w:eastAsia="Arial" w:hAnsi="Arial"/>
                <w:sz w:val="12"/>
                <w:szCs w:val="12"/>
                <w:color w:val="auto"/>
              </w:rPr>
              <w:t>issued and outstanding as of December 31, 2021 and September 30, 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ind w:left="240"/>
              <w:spacing w:after="0"/>
              <w:rPr>
                <w:sz w:val="20"/>
                <w:szCs w:val="20"/>
                <w:color w:val="auto"/>
              </w:rPr>
            </w:pPr>
            <w:r>
              <w:rPr>
                <w:rFonts w:ascii="Arial" w:cs="Arial" w:eastAsia="Arial" w:hAnsi="Arial"/>
                <w:sz w:val="12"/>
                <w:szCs w:val="12"/>
                <w:color w:val="auto"/>
              </w:rPr>
              <w:t>respectively</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96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1,298</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96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(135) ​​</w:t>
            </w:r>
          </w:p>
        </w:tc>
        <w:tc>
          <w:tcPr>
            <w:tcW w:w="0" w:type="dxa"/>
            <w:vAlign w:val="bottom"/>
          </w:tcPr>
          <w:p>
            <w:pPr>
              <w:spacing w:after="0"/>
              <w:rPr>
                <w:sz w:val="1"/>
                <w:szCs w:val="1"/>
                <w:color w:val="auto"/>
              </w:rPr>
            </w:pPr>
          </w:p>
        </w:tc>
      </w:tr>
      <w:tr>
        <w:trPr>
          <w:trHeight w:val="155"/>
        </w:trPr>
        <w:tc>
          <w:tcPr>
            <w:tcW w:w="496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(64,736)</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(105,077) ​​</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ind w:left="240"/>
              <w:spacing w:after="0"/>
              <w:rPr>
                <w:sz w:val="20"/>
                <w:szCs w:val="20"/>
                <w:color w:val="auto"/>
              </w:rPr>
            </w:pPr>
            <w:r>
              <w:rPr>
                <w:rFonts w:ascii="Arial" w:cs="Arial" w:eastAsia="Arial" w:hAnsi="Arial"/>
                <w:sz w:val="12"/>
                <w:szCs w:val="12"/>
                <w:color w:val="auto"/>
              </w:rPr>
              <w:t>Total shareholders’ deficit</w:t>
            </w:r>
          </w:p>
        </w:tc>
        <w:tc>
          <w:tcPr>
            <w:tcW w:w="120" w:type="dxa"/>
            <w:vAlign w:val="bottom"/>
            <w:vMerge w:val="restart"/>
          </w:tcPr>
          <w:p>
            <w:pPr>
              <w:spacing w:after="0"/>
              <w:rPr>
                <w:sz w:val="20"/>
                <w:szCs w:val="20"/>
                <w:color w:val="auto"/>
              </w:rPr>
            </w:pPr>
            <w:r>
              <w:rPr>
                <w:rFonts w:ascii="Arial" w:cs="Arial" w:eastAsia="Arial" w:hAnsi="Arial"/>
                <w:sz w:val="12"/>
                <w:szCs w:val="12"/>
                <w:color w:val="auto"/>
              </w:rPr>
              <w:t>​</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35"/>
        </w:trPr>
        <w:tc>
          <w:tcPr>
            <w:tcW w:w="4960" w:type="dxa"/>
            <w:vAlign w:val="bottom"/>
            <w:vMerge w:val="continue"/>
            <w:shd w:val="clear" w:color="auto" w:fill="CCEEFF"/>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(64,735)</w:t>
            </w:r>
          </w:p>
        </w:tc>
        <w:tc>
          <w:tcPr>
            <w:tcW w:w="80" w:type="dxa"/>
            <w:vAlign w:val="bottom"/>
            <w:vMerge w:val="continue"/>
          </w:tcPr>
          <w:p>
            <w:pPr>
              <w:spacing w:after="0"/>
              <w:rPr>
                <w:sz w:val="11"/>
                <w:szCs w:val="11"/>
                <w:color w:val="auto"/>
              </w:rPr>
            </w:pP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color w:val="auto"/>
              </w:rPr>
              <w:t>​​ ​</w:t>
            </w:r>
          </w:p>
        </w:tc>
        <w:tc>
          <w:tcPr>
            <w:tcW w:w="10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(103,913)</w:t>
            </w: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960" w:type="dxa"/>
            <w:vAlign w:val="bottom"/>
          </w:tcPr>
          <w:p>
            <w:pPr>
              <w:ind w:left="380"/>
              <w:spacing w:after="0"/>
              <w:rPr>
                <w:sz w:val="20"/>
                <w:szCs w:val="20"/>
                <w:color w:val="auto"/>
              </w:rPr>
            </w:pPr>
            <w:r>
              <w:rPr>
                <w:rFonts w:ascii="Arial" w:cs="Arial" w:eastAsia="Arial" w:hAnsi="Arial"/>
                <w:sz w:val="12"/>
                <w:szCs w:val="12"/>
                <w:color w:val="auto"/>
              </w:rPr>
              <w:t>Total liabilities, redeemable convertible preferred shares and shareholders’ deficit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2"/>
                <w:szCs w:val="12"/>
                <w:color w:val="auto"/>
              </w:rPr>
              <w:t>111,155</w:t>
            </w:r>
          </w:p>
        </w:tc>
        <w:tc>
          <w:tcPr>
            <w:tcW w:w="220" w:type="dxa"/>
            <w:vAlign w:val="bottom"/>
            <w:gridSpan w:val="3"/>
          </w:tcPr>
          <w:p>
            <w:pPr>
              <w:ind w:lef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108,406</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-4156075</wp:posOffset>
            </wp:positionV>
            <wp:extent cx="4273550" cy="920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273550"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-3971925</wp:posOffset>
            </wp:positionV>
            <wp:extent cx="4273550" cy="984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273550" cy="9842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-3781425</wp:posOffset>
            </wp:positionV>
            <wp:extent cx="4273550" cy="920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273550"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-3597275</wp:posOffset>
            </wp:positionV>
            <wp:extent cx="4273550" cy="984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273550" cy="9842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-3388360</wp:posOffset>
            </wp:positionV>
            <wp:extent cx="4273550" cy="920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273550"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-3204210</wp:posOffset>
            </wp:positionV>
            <wp:extent cx="4273550" cy="920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273550"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-3020060</wp:posOffset>
            </wp:positionV>
            <wp:extent cx="4273550" cy="9842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273550" cy="9842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-2829560</wp:posOffset>
            </wp:positionV>
            <wp:extent cx="4273550" cy="984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273550" cy="9842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-2639695</wp:posOffset>
            </wp:positionV>
            <wp:extent cx="4273550" cy="920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273550"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-2154555</wp:posOffset>
            </wp:positionV>
            <wp:extent cx="4273550" cy="3930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273550" cy="3930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-1368425</wp:posOffset>
            </wp:positionV>
            <wp:extent cx="4273550" cy="2946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273550" cy="2946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-981710</wp:posOffset>
            </wp:positionV>
            <wp:extent cx="4273550" cy="3930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273550" cy="3930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-496570</wp:posOffset>
            </wp:positionV>
            <wp:extent cx="4273550" cy="920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273550"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-306070</wp:posOffset>
            </wp:positionV>
            <wp:extent cx="4273550" cy="984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273550" cy="9842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-4340225</wp:posOffset>
            </wp:positionV>
            <wp:extent cx="4273550" cy="920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273550" cy="92075"/>
                    </a:xfrm>
                    <a:prstGeom prst="rect">
                      <a:avLst/>
                    </a:prstGeom>
                    <a:noFill/>
                  </pic:spPr>
                </pic:pic>
              </a:graphicData>
            </a:graphic>
          </wp:anchor>
        </w:drawing>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1" w:name="page282"/>
    <w:bookmarkEnd w:id="281"/>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CONDENSED CONSOLIDATED STATEMENTS OF OPERATIONS AND COMPREHENSIVE</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LOSS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i w:val="1"/>
          <w:iCs w:val="1"/>
          <w:color w:val="auto"/>
        </w:rPr>
        <w:t>(IN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3733165"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39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7"/>
          </w:tcPr>
          <w:p>
            <w:pPr>
              <w:spacing w:after="0"/>
              <w:rPr>
                <w:sz w:val="20"/>
                <w:szCs w:val="20"/>
                <w:color w:val="auto"/>
              </w:rPr>
            </w:pPr>
            <w:r>
              <w:rPr>
                <w:rFonts w:ascii="Arial" w:cs="Arial" w:eastAsia="Arial" w:hAnsi="Arial"/>
                <w:sz w:val="10"/>
                <w:szCs w:val="10"/>
                <w:b w:val="1"/>
                <w:bCs w:val="1"/>
                <w:color w:val="auto"/>
              </w:rPr>
              <w:t>NINE MONTHS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450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0"/>
                <w:szCs w:val="10"/>
                <w:b w:val="1"/>
                <w:bCs w:val="1"/>
                <w:color w:val="auto"/>
              </w:rPr>
              <w:t>​ ​</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1"/>
              <w:spacing w:after="0" w:line="154" w:lineRule="exact"/>
              <w:rPr>
                <w:sz w:val="20"/>
                <w:szCs w:val="20"/>
                <w:color w:val="auto"/>
              </w:rPr>
            </w:pPr>
            <w:r>
              <w:rPr>
                <w:rFonts w:ascii="Arial" w:cs="Arial" w:eastAsia="Arial" w:hAnsi="Arial"/>
                <w:sz w:val="9"/>
                <w:szCs w:val="9"/>
                <w:b w:val="1"/>
                <w:bCs w:val="1"/>
                <w:color w:val="auto"/>
              </w:rPr>
              <w:t xml:space="preserve">2021   </w:t>
            </w:r>
            <w:r>
              <w:rPr>
                <w:rFonts w:ascii="Arial" w:cs="Arial" w:eastAsia="Arial" w:hAnsi="Arial"/>
                <w:sz w:val="17"/>
                <w:szCs w:val="17"/>
                <w:b w:val="1"/>
                <w:bCs w:val="1"/>
                <w:color w:val="auto"/>
                <w:vertAlign w:val="subscript"/>
              </w:rPr>
              <w:t>​</w:t>
            </w: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00" w:type="dxa"/>
            <w:vAlign w:val="bottom"/>
            <w:vMerge w:val="continue"/>
            <w:shd w:val="clear" w:color="auto" w:fill="CCEEFF"/>
          </w:tcPr>
          <w:p>
            <w:pPr>
              <w:spacing w:after="0"/>
              <w:rPr>
                <w:sz w:val="14"/>
                <w:szCs w:val="14"/>
                <w:color w:val="auto"/>
              </w:rPr>
            </w:pPr>
          </w:p>
        </w:tc>
        <w:tc>
          <w:tcPr>
            <w:tcW w:w="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2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240" w:type="dxa"/>
            <w:vAlign w:val="bottom"/>
            <w:gridSpan w:val="3"/>
          </w:tcPr>
          <w:p>
            <w:pPr>
              <w:ind w:left="20"/>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19,204​​</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27,833​</w:t>
            </w:r>
          </w:p>
        </w:tc>
        <w:tc>
          <w:tcPr>
            <w:tcW w:w="0" w:type="dxa"/>
            <w:vAlign w:val="bottom"/>
          </w:tcPr>
          <w:p>
            <w:pPr>
              <w:spacing w:after="0"/>
              <w:rPr>
                <w:sz w:val="1"/>
                <w:szCs w:val="1"/>
                <w:color w:val="auto"/>
              </w:rPr>
            </w:pPr>
          </w:p>
        </w:tc>
      </w:tr>
      <w:tr>
        <w:trPr>
          <w:trHeight w:val="193"/>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280" w:type="dxa"/>
            <w:vAlign w:val="bottom"/>
            <w:gridSpan w:val="4"/>
            <w:shd w:val="clear" w:color="auto" w:fill="CCEEFF"/>
          </w:tcPr>
          <w:p>
            <w:pPr>
              <w:ind w:left="2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50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2"/>
                <w:szCs w:val="12"/>
                <w:color w:val="auto"/>
              </w:rPr>
              <w:t>5,218</w:t>
            </w:r>
            <w:r>
              <w:rPr>
                <w:rFonts w:ascii="Arial" w:cs="Arial" w:eastAsia="Arial" w:hAnsi="Arial"/>
                <w:sz w:val="22"/>
                <w:szCs w:val="22"/>
                <w:color w:val="auto"/>
                <w:vertAlign w:val="subscript"/>
              </w:rPr>
              <w:t>​​</w:t>
            </w:r>
          </w:p>
        </w:tc>
        <w:tc>
          <w:tcPr>
            <w:tcW w:w="600" w:type="dxa"/>
            <w:vAlign w:val="bottom"/>
            <w:tcBorders>
              <w:left w:val="single" w:sz="8" w:color="CCEEFF"/>
            </w:tcBorders>
            <w:gridSpan w:val="3"/>
            <w:shd w:val="clear" w:color="auto" w:fill="CCEEFF"/>
          </w:tcPr>
          <w:p>
            <w:pPr>
              <w:jc w:val="right"/>
              <w:spacing w:after="0" w:line="193"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 11,772</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780" w:type="dxa"/>
            <w:vAlign w:val="bottom"/>
            <w:gridSpan w:val="6"/>
          </w:tcPr>
          <w:p>
            <w:pPr>
              <w:jc w:val="right"/>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 xml:space="preserve"> ​ 24,422</w:t>
            </w:r>
            <w:r>
              <w:rPr>
                <w:rFonts w:ascii="Arial" w:cs="Arial" w:eastAsia="Arial" w:hAnsi="Arial"/>
                <w:sz w:val="20"/>
                <w:szCs w:val="20"/>
                <w:color w:val="auto"/>
                <w:vertAlign w:val="subscript"/>
              </w:rPr>
              <w:t>​​</w:t>
            </w:r>
          </w:p>
        </w:tc>
        <w:tc>
          <w:tcPr>
            <w:tcW w:w="640" w:type="dxa"/>
            <w:vAlign w:val="bottom"/>
            <w:gridSpan w:val="4"/>
          </w:tcPr>
          <w:p>
            <w:pPr>
              <w:jc w:val="right"/>
              <w:spacing w:after="0" w:line="173"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 39,605</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 ​​ ​(24,422​​)</w:t>
            </w:r>
          </w:p>
        </w:tc>
        <w:tc>
          <w:tcPr>
            <w:tcW w:w="6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​(39,605)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00" w:type="dxa"/>
            <w:vAlign w:val="bottom"/>
          </w:tcPr>
          <w:p>
            <w:pPr>
              <w:spacing w:after="0" w:line="136" w:lineRule="exact"/>
              <w:rPr>
                <w:sz w:val="20"/>
                <w:szCs w:val="20"/>
                <w:color w:val="auto"/>
              </w:rPr>
            </w:pPr>
            <w:r>
              <w:rPr>
                <w:rFonts w:ascii="Arial" w:cs="Arial" w:eastAsia="Arial" w:hAnsi="Arial"/>
                <w:sz w:val="12"/>
                <w:szCs w:val="12"/>
                <w:color w:val="auto"/>
              </w:rPr>
              <w:t>Interest and other income (expense), net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1"/>
              <w:spacing w:after="0" w:line="136" w:lineRule="exact"/>
              <w:rPr>
                <w:sz w:val="20"/>
                <w:szCs w:val="20"/>
                <w:color w:val="auto"/>
              </w:rPr>
            </w:pPr>
            <w:r>
              <w:rPr>
                <w:rFonts w:ascii="Arial" w:cs="Arial" w:eastAsia="Arial" w:hAnsi="Arial"/>
                <w:sz w:val="12"/>
                <w:szCs w:val="12"/>
                <w:color w:val="auto"/>
              </w:rPr>
              <w:t>(121)</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356</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4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 ​​ ​(24,543​​)</w:t>
            </w:r>
          </w:p>
        </w:tc>
        <w:tc>
          <w:tcPr>
            <w:tcW w:w="6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​(39,249)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450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280" w:type="dxa"/>
            <w:vAlign w:val="bottom"/>
            <w:gridSpan w:val="4"/>
          </w:tcPr>
          <w:p>
            <w:pPr>
              <w:ind w:left="2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50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150</w:t>
            </w:r>
            <w:r>
              <w:rPr>
                <w:rFonts w:ascii="Arial" w:cs="Arial" w:eastAsia="Arial" w:hAnsi="Arial"/>
                <w:sz w:val="22"/>
                <w:szCs w:val="22"/>
                <w:color w:val="auto"/>
                <w:vertAlign w:val="subscript"/>
              </w:rPr>
              <w:t>​​</w:t>
            </w:r>
          </w:p>
        </w:tc>
        <w:tc>
          <w:tcPr>
            <w:tcW w:w="180" w:type="dxa"/>
            <w:vAlign w:val="bottom"/>
            <w:gridSpan w:val="2"/>
          </w:tcPr>
          <w:p>
            <w:pPr>
              <w:ind w:left="2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46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197</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 ​​ ​(24,693​​)</w:t>
            </w:r>
          </w:p>
        </w:tc>
        <w:tc>
          <w:tcPr>
            <w:tcW w:w="6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​(39,446)</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500" w:type="dxa"/>
            <w:vAlign w:val="bottom"/>
          </w:tcPr>
          <w:p>
            <w:pPr>
              <w:ind w:left="120"/>
              <w:spacing w:after="0"/>
              <w:rPr>
                <w:sz w:val="20"/>
                <w:szCs w:val="20"/>
                <w:color w:val="auto"/>
              </w:rPr>
            </w:pPr>
            <w:r>
              <w:rPr>
                <w:rFonts w:ascii="Arial" w:cs="Arial" w:eastAsia="Arial" w:hAnsi="Arial"/>
                <w:sz w:val="12"/>
                <w:szCs w:val="12"/>
                <w:color w:val="auto"/>
              </w:rPr>
              <w:t>Less: Accretion of redeemable convertible preferred shares to their redemption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00" w:type="dxa"/>
            <w:vAlign w:val="bottom"/>
          </w:tcPr>
          <w:p>
            <w:pPr>
              <w:ind w:left="240"/>
              <w:spacing w:after="0"/>
              <w:rPr>
                <w:sz w:val="20"/>
                <w:szCs w:val="20"/>
                <w:color w:val="auto"/>
              </w:rPr>
            </w:pPr>
            <w:r>
              <w:rPr>
                <w:rFonts w:ascii="Arial" w:cs="Arial" w:eastAsia="Arial" w:hAnsi="Arial"/>
                <w:sz w:val="12"/>
                <w:szCs w:val="12"/>
                <w:color w:val="auto"/>
              </w:rPr>
              <w:t>value</w:t>
            </w:r>
          </w:p>
        </w:tc>
        <w:tc>
          <w:tcPr>
            <w:tcW w:w="280" w:type="dxa"/>
            <w:vAlign w:val="bottom"/>
            <w:gridSpan w:val="4"/>
          </w:tcPr>
          <w:p>
            <w:pPr>
              <w:ind w:left="20"/>
              <w:spacing w:after="0"/>
              <w:rPr>
                <w:sz w:val="20"/>
                <w:szCs w:val="20"/>
                <w:color w:val="auto"/>
              </w:rPr>
            </w:pPr>
            <w:r>
              <w:rPr>
                <w:rFonts w:ascii="Arial" w:cs="Arial" w:eastAsia="Arial" w:hAnsi="Arial"/>
                <w:sz w:val="12"/>
                <w:szCs w:val="12"/>
                <w:color w:val="auto"/>
              </w:rPr>
              <w:t>​ ​​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(3,642​​)</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(1,515​)</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Net loss attributable to ordinary shareholders</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20" w:type="dxa"/>
            <w:vAlign w:val="bottom"/>
            <w:gridSpan w:val="4"/>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w w:val="98"/>
              </w:rPr>
              <w:t>$ (28,335)</w:t>
            </w:r>
          </w:p>
        </w:tc>
        <w:tc>
          <w:tcPr>
            <w:tcW w:w="140" w:type="dxa"/>
            <w:vAlign w:val="bottom"/>
            <w:tcBorders>
              <w:lef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(40,961)</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45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gridSpan w:val="2"/>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tcBorders>
              <w:left w:val="single" w:sz="8" w:color="CCEEFF"/>
            </w:tcBorders>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4500" w:type="dxa"/>
            <w:vAlign w:val="bottom"/>
            <w:tcBorders>
              <w:top w:val="single" w:sz="8" w:color="CCEEFF"/>
            </w:tcBorders>
          </w:tcPr>
          <w:p>
            <w:pPr>
              <w:spacing w:after="0" w:line="125" w:lineRule="exact"/>
              <w:rPr>
                <w:sz w:val="20"/>
                <w:szCs w:val="20"/>
                <w:color w:val="auto"/>
              </w:rPr>
            </w:pPr>
            <w:r>
              <w:rPr>
                <w:rFonts w:ascii="Arial" w:cs="Arial" w:eastAsia="Arial" w:hAnsi="Arial"/>
                <w:sz w:val="12"/>
                <w:szCs w:val="12"/>
                <w:color w:val="auto"/>
              </w:rPr>
              <w:t>Net loss per share attributable to ordinary shareholders, basic and diluted</w:t>
            </w:r>
          </w:p>
        </w:tc>
        <w:tc>
          <w:tcPr>
            <w:tcW w:w="10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w w:val="89"/>
              </w:rPr>
              <w:t>$</w:t>
            </w: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21"/>
              <w:spacing w:after="0" w:line="125" w:lineRule="exact"/>
              <w:rPr>
                <w:sz w:val="20"/>
                <w:szCs w:val="20"/>
                <w:color w:val="auto"/>
              </w:rPr>
            </w:pPr>
            <w:r>
              <w:rPr>
                <w:rFonts w:ascii="Arial" w:cs="Arial" w:eastAsia="Arial" w:hAnsi="Arial"/>
                <w:sz w:val="12"/>
                <w:szCs w:val="12"/>
                <w:color w:val="auto"/>
              </w:rPr>
              <w:t>(3.56)</w:t>
            </w:r>
          </w:p>
        </w:tc>
        <w:tc>
          <w:tcPr>
            <w:tcW w:w="140" w:type="dxa"/>
            <w:vAlign w:val="bottom"/>
            <w:tcBorders>
              <w:top w:val="single" w:sz="8" w:color="auto"/>
            </w:tcBorders>
          </w:tcPr>
          <w:p>
            <w:pPr>
              <w:ind w:left="80"/>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2"/>
                <w:szCs w:val="12"/>
                <w:color w:val="auto"/>
              </w:rPr>
              <w:t>(4.34)</w:t>
            </w:r>
          </w:p>
        </w:tc>
        <w:tc>
          <w:tcPr>
            <w:tcW w:w="0" w:type="dxa"/>
            <w:vAlign w:val="bottom"/>
          </w:tcPr>
          <w:p>
            <w:pPr>
              <w:spacing w:after="0"/>
              <w:rPr>
                <w:sz w:val="1"/>
                <w:szCs w:val="1"/>
                <w:color w:val="auto"/>
              </w:rPr>
            </w:pPr>
          </w:p>
        </w:tc>
      </w:tr>
      <w:tr>
        <w:trPr>
          <w:trHeight w:val="57"/>
        </w:trPr>
        <w:tc>
          <w:tcPr>
            <w:tcW w:w="45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gridSpan w:val="2"/>
          </w:tcPr>
          <w:p>
            <w:pPr>
              <w:spacing w:after="0" w:line="49"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Weighted-average ordinary shares used in computing net loss per share</w:t>
            </w:r>
          </w:p>
        </w:tc>
        <w:tc>
          <w:tcPr>
            <w:tcW w:w="1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20" w:type="dxa"/>
            <w:vAlign w:val="bottom"/>
            <w:tcBorders>
              <w:top w:val="single" w:sz="8" w:color="CCEEFF"/>
            </w:tcBorders>
            <w:gridSpan w:val="2"/>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top w:val="single" w:sz="8" w:color="auto"/>
              <w:left w:val="single" w:sz="8" w:color="CCEEFF"/>
            </w:tcBorders>
            <w:gridSpan w:val="2"/>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shd w:val="clear" w:color="auto" w:fill="CCEEFF"/>
          </w:tcPr>
          <w:p>
            <w:pPr>
              <w:spacing w:after="0"/>
              <w:rPr>
                <w:sz w:val="12"/>
                <w:szCs w:val="12"/>
                <w:color w:val="auto"/>
              </w:rPr>
            </w:pPr>
          </w:p>
        </w:tc>
        <w:tc>
          <w:tcPr>
            <w:tcW w:w="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4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120"/>
              <w:spacing w:after="0"/>
              <w:rPr>
                <w:sz w:val="20"/>
                <w:szCs w:val="20"/>
                <w:color w:val="auto"/>
              </w:rPr>
            </w:pPr>
            <w:r>
              <w:rPr>
                <w:rFonts w:ascii="Arial" w:cs="Arial" w:eastAsia="Arial" w:hAnsi="Arial"/>
                <w:sz w:val="12"/>
                <w:szCs w:val="12"/>
                <w:color w:val="auto"/>
              </w:rPr>
              <w:t>attributable to ordinary shareholders, basic and diluted</w:t>
            </w:r>
          </w:p>
        </w:tc>
        <w:tc>
          <w:tcPr>
            <w:tcW w:w="280" w:type="dxa"/>
            <w:vAlign w:val="bottom"/>
            <w:gridSpan w:val="4"/>
          </w:tcPr>
          <w:p>
            <w:pPr>
              <w:ind w:left="20"/>
              <w:spacing w:after="0" w:line="193"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perscript"/>
              </w:rPr>
              <w:t>​</w:t>
            </w:r>
          </w:p>
        </w:tc>
        <w:tc>
          <w:tcPr>
            <w:tcW w:w="50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7,955</w:t>
            </w:r>
            <w:r>
              <w:rPr>
                <w:rFonts w:ascii="Arial" w:cs="Arial" w:eastAsia="Arial" w:hAnsi="Arial"/>
                <w:sz w:val="22"/>
                <w:szCs w:val="22"/>
                <w:color w:val="auto"/>
                <w:vertAlign w:val="subscript"/>
              </w:rPr>
              <w:t>​​</w:t>
            </w:r>
          </w:p>
        </w:tc>
        <w:tc>
          <w:tcPr>
            <w:tcW w:w="180" w:type="dxa"/>
            <w:vAlign w:val="bottom"/>
            <w:gridSpan w:val="2"/>
          </w:tcPr>
          <w:p>
            <w:pPr>
              <w:ind w:left="2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46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9,428</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1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20" w:type="dxa"/>
            <w:vAlign w:val="bottom"/>
            <w:tcBorders>
              <w:top w:val="single" w:sz="8" w:color="CCEEFF"/>
            </w:tcBorders>
            <w:gridSpan w:val="2"/>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top w:val="single" w:sz="8" w:color="auto"/>
              <w:left w:val="single" w:sz="8" w:color="CCEEFF"/>
            </w:tcBorders>
            <w:gridSpan w:val="2"/>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shd w:val="clear" w:color="auto" w:fill="CCEEFF"/>
          </w:tcPr>
          <w:p>
            <w:pPr>
              <w:spacing w:after="0"/>
              <w:rPr>
                <w:sz w:val="12"/>
                <w:szCs w:val="12"/>
                <w:color w:val="auto"/>
              </w:rPr>
            </w:pPr>
          </w:p>
        </w:tc>
        <w:tc>
          <w:tcPr>
            <w:tcW w:w="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 ​​ ​</w:t>
            </w:r>
          </w:p>
        </w:tc>
        <w:tc>
          <w:tcPr>
            <w:tcW w:w="4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tcPr>
          <w:p>
            <w:pPr>
              <w:ind w:left="120"/>
              <w:spacing w:after="0" w:line="136" w:lineRule="exact"/>
              <w:rPr>
                <w:sz w:val="20"/>
                <w:szCs w:val="20"/>
                <w:color w:val="auto"/>
              </w:rPr>
            </w:pPr>
            <w:r>
              <w:rPr>
                <w:rFonts w:ascii="Arial" w:cs="Arial" w:eastAsia="Arial" w:hAnsi="Arial"/>
                <w:sz w:val="12"/>
                <w:szCs w:val="12"/>
                <w:color w:val="auto"/>
              </w:rPr>
              <w:t>Unrealized gain (loss) on investments, net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61"/>
              <w:spacing w:after="0" w:line="136" w:lineRule="exact"/>
              <w:rPr>
                <w:sz w:val="20"/>
                <w:szCs w:val="20"/>
                <w:color w:val="auto"/>
              </w:rPr>
            </w:pPr>
            <w:r>
              <w:rPr>
                <w:rFonts w:ascii="Arial" w:cs="Arial" w:eastAsia="Arial" w:hAnsi="Arial"/>
                <w:sz w:val="12"/>
                <w:szCs w:val="12"/>
                <w:color w:val="auto"/>
              </w:rPr>
              <w:t>1</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58"/>
        </w:trPr>
        <w:tc>
          <w:tcPr>
            <w:tcW w:w="45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line="136" w:lineRule="exact"/>
              <w:rPr>
                <w:sz w:val="20"/>
                <w:szCs w:val="20"/>
                <w:color w:val="auto"/>
              </w:rPr>
            </w:pPr>
            <w:r>
              <w:rPr>
                <w:rFonts w:ascii="Arial" w:cs="Arial" w:eastAsia="Arial" w:hAnsi="Arial"/>
                <w:sz w:val="12"/>
                <w:szCs w:val="12"/>
                <w:color w:val="auto"/>
              </w:rPr>
              <w:t>Total other comprehensive (loss) gain</w:t>
            </w: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00" w:type="dxa"/>
            <w:vAlign w:val="bottom"/>
            <w:vMerge w:val="continue"/>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1"/>
              <w:spacing w:after="0" w:line="115" w:lineRule="exact"/>
              <w:rPr>
                <w:sz w:val="20"/>
                <w:szCs w:val="20"/>
                <w:color w:val="auto"/>
              </w:rPr>
            </w:pPr>
            <w:r>
              <w:rPr>
                <w:rFonts w:ascii="Arial" w:cs="Arial" w:eastAsia="Arial" w:hAnsi="Arial"/>
                <w:sz w:val="12"/>
                <w:szCs w:val="12"/>
                <w:color w:val="auto"/>
              </w:rPr>
              <w:t>1</w:t>
            </w:r>
          </w:p>
        </w:tc>
        <w:tc>
          <w:tcPr>
            <w:tcW w:w="14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(135)</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45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line="58" w:lineRule="exact"/>
              <w:rPr>
                <w:sz w:val="20"/>
                <w:szCs w:val="20"/>
                <w:color w:val="auto"/>
              </w:rPr>
            </w:pPr>
            <w:r>
              <w:rPr>
                <w:rFonts w:ascii="Arial" w:cs="Arial" w:eastAsia="Arial" w:hAnsi="Arial"/>
                <w:sz w:val="6"/>
                <w:szCs w:val="6"/>
                <w:color w:val="auto"/>
              </w:rPr>
              <w:t>​​</w:t>
            </w:r>
          </w:p>
        </w:tc>
        <w:tc>
          <w:tcPr>
            <w:tcW w:w="140" w:type="dxa"/>
            <w:vAlign w:val="bottom"/>
            <w:tcBorders>
              <w:lef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00" w:type="dxa"/>
            <w:vAlign w:val="bottom"/>
          </w:tcPr>
          <w:p>
            <w:pPr>
              <w:spacing w:after="0" w:line="125" w:lineRule="exact"/>
              <w:rPr>
                <w:sz w:val="20"/>
                <w:szCs w:val="20"/>
                <w:color w:val="auto"/>
              </w:rPr>
            </w:pPr>
            <w:r>
              <w:rPr>
                <w:rFonts w:ascii="Arial" w:cs="Arial" w:eastAsia="Arial" w:hAnsi="Arial"/>
                <w:sz w:val="12"/>
                <w:szCs w:val="12"/>
                <w:color w:val="auto"/>
              </w:rPr>
              <w:t>Comprehensive loss</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gridSpan w:val="4"/>
          </w:tcPr>
          <w:p>
            <w:pPr>
              <w:jc w:val="right"/>
              <w:ind w:right="21"/>
              <w:spacing w:after="0" w:line="125" w:lineRule="exact"/>
              <w:rPr>
                <w:sz w:val="20"/>
                <w:szCs w:val="20"/>
                <w:color w:val="auto"/>
              </w:rPr>
            </w:pPr>
            <w:r>
              <w:rPr>
                <w:rFonts w:ascii="Arial" w:cs="Arial" w:eastAsia="Arial" w:hAnsi="Arial"/>
                <w:sz w:val="12"/>
                <w:szCs w:val="12"/>
                <w:color w:val="auto"/>
                <w:w w:val="98"/>
              </w:rPr>
              <w:t>$ (24,692)</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0"/>
                <w:szCs w:val="10"/>
                <w:color w:val="auto"/>
              </w:rPr>
            </w:pPr>
          </w:p>
        </w:tc>
        <w:tc>
          <w:tcPr>
            <w:tcW w:w="460" w:type="dxa"/>
            <w:vAlign w:val="bottom"/>
            <w:gridSpan w:val="2"/>
          </w:tcPr>
          <w:p>
            <w:pPr>
              <w:jc w:val="right"/>
              <w:spacing w:after="0" w:line="125" w:lineRule="exact"/>
              <w:rPr>
                <w:sz w:val="20"/>
                <w:szCs w:val="20"/>
                <w:color w:val="auto"/>
              </w:rPr>
            </w:pPr>
            <w:r>
              <w:rPr>
                <w:rFonts w:ascii="Arial" w:cs="Arial" w:eastAsia="Arial" w:hAnsi="Arial"/>
                <w:sz w:val="12"/>
                <w:szCs w:val="12"/>
                <w:color w:val="auto"/>
                <w:w w:val="98"/>
              </w:rPr>
              <w:t>(39,581)</w:t>
            </w: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gridSpan w:val="2"/>
          </w:tcPr>
          <w:p>
            <w:pPr>
              <w:spacing w:after="0" w:line="49"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140" w:type="dxa"/>
            <w:vAlign w:val="bottom"/>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-324485</wp:posOffset>
            </wp:positionV>
            <wp:extent cx="3388995"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889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-1080135</wp:posOffset>
            </wp:positionV>
            <wp:extent cx="3388995"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889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-1405255</wp:posOffset>
            </wp:positionV>
            <wp:extent cx="3388995"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889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-1644650</wp:posOffset>
            </wp:positionV>
            <wp:extent cx="3388995"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3889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-1884045</wp:posOffset>
            </wp:positionV>
            <wp:extent cx="3388995"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3889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-2363470</wp:posOffset>
            </wp:positionV>
            <wp:extent cx="3383280"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832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2" w:name="page283"/>
    <w:bookmarkEnd w:id="282"/>
    <w:p>
      <w:pPr>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CONDENSED CONSOLIDATED STATEMENTS OF REDEEMABLE CONVERTIBLE PREFERRED SHARES, REDEEMABLE</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auto"/>
        </w:rPr>
        <w:t>NONCONTROLLING INTEREST AND SHAREHOLDERS’ DEFICIT</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3"/>
          <w:szCs w:val="13"/>
          <w:b w:val="1"/>
          <w:bCs w:val="1"/>
          <w:i w:val="1"/>
          <w:iCs w:val="1"/>
          <w:color w:val="auto"/>
        </w:rPr>
        <w:t>(IN THOUSANDS)</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3"/>
          <w:szCs w:val="13"/>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175895</wp:posOffset>
            </wp:positionV>
            <wp:extent cx="6423025" cy="12649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423025" cy="1264920"/>
                    </a:xfrm>
                    <a:prstGeom prst="rect">
                      <a:avLst/>
                    </a:prstGeom>
                    <a:noFill/>
                  </pic:spPr>
                </pic:pic>
              </a:graphicData>
            </a:graphic>
          </wp:anchor>
        </w:drawing>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251"/>
        </w:trPr>
        <w:tc>
          <w:tcPr>
            <w:tcW w:w="2440" w:type="dxa"/>
            <w:vAlign w:val="bottom"/>
          </w:tcPr>
          <w:p>
            <w:pPr>
              <w:spacing w:after="0"/>
              <w:rPr>
                <w:sz w:val="20"/>
                <w:szCs w:val="20"/>
                <w:color w:val="auto"/>
              </w:rPr>
            </w:pPr>
            <w:r>
              <w:rPr>
                <w:rFonts w:ascii="Arial" w:cs="Arial" w:eastAsia="Arial" w:hAnsi="Arial"/>
                <w:sz w:val="8"/>
                <w:szCs w:val="8"/>
                <w:b w:val="1"/>
                <w:bCs w:val="1"/>
                <w:color w:val="auto"/>
              </w:rPr>
              <w:t>​</w:t>
            </w:r>
          </w:p>
        </w:tc>
        <w:tc>
          <w:tcPr>
            <w:tcW w:w="140" w:type="dxa"/>
            <w:vAlign w:val="bottom"/>
            <w:gridSpan w:val="5"/>
          </w:tcPr>
          <w:p>
            <w:pPr>
              <w:ind w:left="20"/>
              <w:spacing w:after="0"/>
              <w:rPr>
                <w:sz w:val="20"/>
                <w:szCs w:val="20"/>
                <w:color w:val="auto"/>
              </w:rPr>
            </w:pPr>
            <w:r>
              <w:rPr>
                <w:rFonts w:ascii="Arial" w:cs="Arial" w:eastAsia="Arial" w:hAnsi="Arial"/>
                <w:sz w:val="8"/>
                <w:szCs w:val="8"/>
                <w:b w:val="1"/>
                <w:bCs w:val="1"/>
                <w:color w:val="auto"/>
              </w:rPr>
              <w: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40" w:type="dxa"/>
            <w:vAlign w:val="bottom"/>
            <w:gridSpan w:val="31"/>
          </w:tcPr>
          <w:p>
            <w:pPr>
              <w:jc w:val="right"/>
              <w:ind w:right="18"/>
              <w:spacing w:after="0"/>
              <w:rPr>
                <w:sz w:val="20"/>
                <w:szCs w:val="20"/>
                <w:color w:val="auto"/>
              </w:rPr>
            </w:pPr>
            <w:r>
              <w:rPr>
                <w:rFonts w:ascii="Arial" w:cs="Arial" w:eastAsia="Arial" w:hAnsi="Arial"/>
                <w:sz w:val="8"/>
                <w:szCs w:val="8"/>
                <w:b w:val="1"/>
                <w:bCs w:val="1"/>
                <w:color w:val="auto"/>
              </w:rPr>
              <w:t>REDEEMABLE CONVERTIBLE PREFERRED SHARES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ind w:left="40"/>
              <w:spacing w:after="0"/>
              <w:rPr>
                <w:sz w:val="20"/>
                <w:szCs w:val="20"/>
                <w:color w:val="auto"/>
              </w:rPr>
            </w:pPr>
            <w:r>
              <w:rPr>
                <w:rFonts w:ascii="Arial" w:cs="Arial" w:eastAsia="Arial" w:hAnsi="Arial"/>
                <w:sz w:val="8"/>
                <w:szCs w:val="8"/>
                <w:b w:val="1"/>
                <w:bCs w:val="1"/>
                <w:color w:val="auto"/>
              </w:rPr>
              <w:t>​</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3"/>
          </w:tcPr>
          <w:p>
            <w:pPr>
              <w:spacing w:after="0"/>
              <w:rPr>
                <w:sz w:val="20"/>
                <w:szCs w:val="20"/>
                <w:color w:val="auto"/>
              </w:rPr>
            </w:pPr>
            <w:r>
              <w:rPr>
                <w:rFonts w:ascii="Arial" w:cs="Arial" w:eastAsia="Arial" w:hAnsi="Arial"/>
                <w:sz w:val="8"/>
                <w:szCs w:val="8"/>
                <w:b w:val="1"/>
                <w:bCs w:val="1"/>
                <w:color w:val="auto"/>
              </w:rPr>
              <w:t>​​</w:t>
            </w:r>
          </w:p>
        </w:tc>
        <w:tc>
          <w:tcPr>
            <w:tcW w:w="280" w:type="dxa"/>
            <w:vAlign w:val="bottom"/>
          </w:tcPr>
          <w:p>
            <w:pPr>
              <w:spacing w:after="0"/>
              <w:rPr>
                <w:sz w:val="21"/>
                <w:szCs w:val="21"/>
                <w:color w:val="auto"/>
              </w:rPr>
            </w:pPr>
          </w:p>
        </w:tc>
        <w:tc>
          <w:tcPr>
            <w:tcW w:w="140" w:type="dxa"/>
            <w:vAlign w:val="bottom"/>
            <w:gridSpan w:val="2"/>
          </w:tcPr>
          <w:p>
            <w:pPr>
              <w:jc w:val="right"/>
              <w:ind w:right="38"/>
              <w:spacing w:after="0"/>
              <w:rPr>
                <w:sz w:val="20"/>
                <w:szCs w:val="20"/>
                <w:color w:val="auto"/>
              </w:rPr>
            </w:pPr>
            <w:r>
              <w:rPr>
                <w:rFonts w:ascii="Arial" w:cs="Arial" w:eastAsia="Arial" w:hAnsi="Arial"/>
                <w:sz w:val="8"/>
                <w:szCs w:val="8"/>
                <w:b w:val="1"/>
                <w:bCs w:val="1"/>
                <w:color w:val="auto"/>
              </w:rPr>
              <w:t>​​​</w:t>
            </w:r>
          </w:p>
        </w:tc>
        <w:tc>
          <w:tcPr>
            <w:tcW w:w="100" w:type="dxa"/>
            <w:vAlign w:val="bottom"/>
            <w:gridSpan w:val="2"/>
          </w:tcPr>
          <w:p>
            <w:pPr>
              <w:spacing w:after="0"/>
              <w:rPr>
                <w:sz w:val="20"/>
                <w:szCs w:val="20"/>
                <w:color w:val="auto"/>
              </w:rPr>
            </w:pPr>
            <w:r>
              <w:rPr>
                <w:rFonts w:ascii="Arial" w:cs="Arial" w:eastAsia="Arial" w:hAnsi="Arial"/>
                <w:sz w:val="8"/>
                <w:szCs w:val="8"/>
                <w:b w:val="1"/>
                <w:bCs w:val="1"/>
                <w:color w:val="auto"/>
              </w:rPr>
              <w:t>​ ​</w:t>
            </w:r>
          </w:p>
        </w:tc>
        <w:tc>
          <w:tcPr>
            <w:tcW w:w="80" w:type="dxa"/>
            <w:vAlign w:val="bottom"/>
          </w:tcPr>
          <w:p>
            <w:pPr>
              <w:spacing w:after="0"/>
              <w:rPr>
                <w:sz w:val="21"/>
                <w:szCs w:val="21"/>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220" w:type="dxa"/>
            <w:vAlign w:val="bottom"/>
            <w:gridSpan w:val="4"/>
          </w:tcPr>
          <w:p>
            <w:pPr>
              <w:ind w:left="80"/>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7"/>
          </w:tcPr>
          <w:p>
            <w:pPr>
              <w:jc w:val="center"/>
              <w:spacing w:after="0"/>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480" w:type="dxa"/>
            <w:vAlign w:val="bottom"/>
            <w:gridSpan w:val="2"/>
          </w:tcPr>
          <w:p>
            <w:pPr>
              <w:spacing w:after="0"/>
              <w:rPr>
                <w:sz w:val="7"/>
                <w:szCs w:val="7"/>
                <w:color w:val="auto"/>
              </w:rPr>
            </w:pPr>
          </w:p>
        </w:tc>
        <w:tc>
          <w:tcPr>
            <w:tcW w:w="3340" w:type="dxa"/>
            <w:vAlign w:val="bottom"/>
            <w:tcBorders>
              <w:top w:val="single" w:sz="8" w:color="auto"/>
            </w:tcBorders>
            <w:gridSpan w:val="46"/>
          </w:tcPr>
          <w:p>
            <w:pPr>
              <w:spacing w:after="0"/>
              <w:rPr>
                <w:sz w:val="7"/>
                <w:szCs w:val="7"/>
                <w:color w:val="auto"/>
              </w:rPr>
            </w:pPr>
          </w:p>
        </w:tc>
        <w:tc>
          <w:tcPr>
            <w:tcW w:w="1100" w:type="dxa"/>
            <w:vAlign w:val="bottom"/>
            <w:gridSpan w:val="13"/>
          </w:tcPr>
          <w:p>
            <w:pPr>
              <w:spacing w:after="0"/>
              <w:rPr>
                <w:sz w:val="20"/>
                <w:szCs w:val="20"/>
                <w:color w:val="auto"/>
              </w:rPr>
            </w:pPr>
            <w:r>
              <w:rPr>
                <w:rFonts w:ascii="Arial" w:cs="Arial" w:eastAsia="Arial" w:hAnsi="Arial"/>
                <w:sz w:val="8"/>
                <w:szCs w:val="8"/>
                <w:b w:val="1"/>
                <w:bCs w:val="1"/>
                <w:color w:val="auto"/>
              </w:rPr>
              <w:t>REDEEMABLE</w:t>
            </w:r>
          </w:p>
        </w:tc>
        <w:tc>
          <w:tcPr>
            <w:tcW w:w="760" w:type="dxa"/>
            <w:vAlign w:val="bottom"/>
            <w:gridSpan w:val="10"/>
          </w:tcPr>
          <w:p>
            <w:pPr>
              <w:ind w:left="60"/>
              <w:spacing w:after="0" w:line="90" w:lineRule="exact"/>
              <w:rPr>
                <w:sz w:val="20"/>
                <w:szCs w:val="20"/>
                <w:color w:val="auto"/>
              </w:rPr>
            </w:pPr>
            <w:r>
              <w:rPr>
                <w:rFonts w:ascii="Arial" w:cs="Arial" w:eastAsia="Arial" w:hAnsi="Arial"/>
                <w:sz w:val="8"/>
                <w:szCs w:val="8"/>
                <w:b w:val="1"/>
                <w:bCs w:val="1"/>
                <w:color w:val="auto"/>
              </w:rPr>
              <w:t>ORDINARY</w:t>
            </w:r>
          </w:p>
        </w:tc>
        <w:tc>
          <w:tcPr>
            <w:tcW w:w="880" w:type="dxa"/>
            <w:vAlign w:val="bottom"/>
            <w:gridSpan w:val="9"/>
          </w:tcPr>
          <w:p>
            <w:pPr>
              <w:jc w:val="center"/>
              <w:ind w:right="307"/>
              <w:spacing w:after="0" w:line="90" w:lineRule="exact"/>
              <w:rPr>
                <w:sz w:val="20"/>
                <w:szCs w:val="20"/>
                <w:color w:val="auto"/>
              </w:rPr>
            </w:pPr>
            <w:r>
              <w:rPr>
                <w:rFonts w:ascii="Arial" w:cs="Arial" w:eastAsia="Arial" w:hAnsi="Arial"/>
                <w:sz w:val="8"/>
                <w:szCs w:val="8"/>
                <w:b w:val="1"/>
                <w:bCs w:val="1"/>
                <w:color w:val="auto"/>
              </w:rPr>
              <w:t>ADDITIONAL</w:t>
            </w:r>
          </w:p>
        </w:tc>
        <w:tc>
          <w:tcPr>
            <w:tcW w:w="1560" w:type="dxa"/>
            <w:vAlign w:val="bottom"/>
            <w:gridSpan w:val="16"/>
          </w:tcPr>
          <w:p>
            <w:pPr>
              <w:jc w:val="center"/>
              <w:ind w:right="1218"/>
              <w:spacing w:after="0" w:line="90" w:lineRule="exact"/>
              <w:rPr>
                <w:sz w:val="20"/>
                <w:szCs w:val="20"/>
                <w:color w:val="auto"/>
              </w:rPr>
            </w:pPr>
            <w:r>
              <w:rPr>
                <w:rFonts w:ascii="Arial" w:cs="Arial" w:eastAsia="Arial" w:hAnsi="Arial"/>
                <w:sz w:val="8"/>
                <w:szCs w:val="8"/>
                <w:b w:val="1"/>
                <w:bCs w:val="1"/>
                <w:color w:val="auto"/>
              </w:rPr>
              <w:t>OTHER</w:t>
            </w:r>
          </w:p>
        </w:tc>
        <w:tc>
          <w:tcPr>
            <w:tcW w:w="0" w:type="dxa"/>
            <w:vAlign w:val="bottom"/>
          </w:tcPr>
          <w:p>
            <w:pPr>
              <w:spacing w:after="0"/>
              <w:rPr>
                <w:sz w:val="1"/>
                <w:szCs w:val="1"/>
                <w:color w:val="auto"/>
              </w:rPr>
            </w:pPr>
          </w:p>
        </w:tc>
      </w:tr>
      <w:tr>
        <w:trPr>
          <w:trHeight w:val="112"/>
        </w:trPr>
        <w:tc>
          <w:tcPr>
            <w:tcW w:w="2440" w:type="dxa"/>
            <w:vAlign w:val="bottom"/>
          </w:tcPr>
          <w:p>
            <w:pPr>
              <w:spacing w:after="0"/>
              <w:rPr>
                <w:sz w:val="20"/>
                <w:szCs w:val="20"/>
                <w:color w:val="auto"/>
              </w:rPr>
            </w:pPr>
            <w:r>
              <w:rPr>
                <w:rFonts w:ascii="Arial" w:cs="Arial" w:eastAsia="Arial" w:hAnsi="Arial"/>
                <w:sz w:val="8"/>
                <w:szCs w:val="8"/>
                <w:b w:val="1"/>
                <w:bCs w:val="1"/>
                <w:color w:val="auto"/>
              </w:rPr>
              <w:t>​</w:t>
            </w:r>
          </w:p>
        </w:tc>
        <w:tc>
          <w:tcPr>
            <w:tcW w:w="140" w:type="dxa"/>
            <w:vAlign w:val="bottom"/>
            <w:gridSpan w:val="5"/>
          </w:tcPr>
          <w:p>
            <w:pPr>
              <w:ind w:left="20"/>
              <w:spacing w:after="0"/>
              <w:rPr>
                <w:sz w:val="20"/>
                <w:szCs w:val="20"/>
                <w:color w:val="auto"/>
              </w:rPr>
            </w:pPr>
            <w:r>
              <w:rPr>
                <w:rFonts w:ascii="Arial" w:cs="Arial" w:eastAsia="Arial" w:hAnsi="Arial"/>
                <w:sz w:val="8"/>
                <w:szCs w:val="8"/>
                <w:b w:val="1"/>
                <w:bCs w:val="1"/>
                <w:color w:val="auto"/>
              </w:rPr>
              <w:t>​​</w:t>
            </w:r>
          </w:p>
        </w:tc>
        <w:tc>
          <w:tcPr>
            <w:tcW w:w="580" w:type="dxa"/>
            <w:vAlign w:val="bottom"/>
            <w:gridSpan w:val="6"/>
          </w:tcPr>
          <w:p>
            <w:pPr>
              <w:jc w:val="center"/>
              <w:spacing w:after="0"/>
              <w:rPr>
                <w:sz w:val="20"/>
                <w:szCs w:val="20"/>
                <w:color w:val="auto"/>
              </w:rPr>
            </w:pPr>
            <w:r>
              <w:rPr>
                <w:rFonts w:ascii="Arial" w:cs="Arial" w:eastAsia="Arial" w:hAnsi="Arial"/>
                <w:sz w:val="8"/>
                <w:szCs w:val="8"/>
                <w:b w:val="1"/>
                <w:bCs w:val="1"/>
                <w:color w:val="auto"/>
              </w:rPr>
              <w:t>SERIES A</w:t>
            </w:r>
          </w:p>
        </w:tc>
        <w:tc>
          <w:tcPr>
            <w:tcW w:w="140" w:type="dxa"/>
            <w:vAlign w:val="bottom"/>
          </w:tcPr>
          <w:p>
            <w:pPr>
              <w:spacing w:after="0"/>
              <w:rPr>
                <w:sz w:val="9"/>
                <w:szCs w:val="9"/>
                <w:color w:val="auto"/>
              </w:rPr>
            </w:pPr>
          </w:p>
        </w:tc>
        <w:tc>
          <w:tcPr>
            <w:tcW w:w="120" w:type="dxa"/>
            <w:vAlign w:val="bottom"/>
            <w:gridSpan w:val="5"/>
          </w:tcPr>
          <w:p>
            <w:pPr>
              <w:spacing w:after="0"/>
              <w:rPr>
                <w:sz w:val="20"/>
                <w:szCs w:val="20"/>
                <w:color w:val="auto"/>
              </w:rPr>
            </w:pPr>
            <w:r>
              <w:rPr>
                <w:rFonts w:ascii="Arial" w:cs="Arial" w:eastAsia="Arial" w:hAnsi="Arial"/>
                <w:sz w:val="8"/>
                <w:szCs w:val="8"/>
                <w:b w:val="1"/>
                <w:bCs w:val="1"/>
                <w:color w:val="auto"/>
              </w:rPr>
              <w:t>​​</w:t>
            </w:r>
          </w:p>
        </w:tc>
        <w:tc>
          <w:tcPr>
            <w:tcW w:w="620" w:type="dxa"/>
            <w:vAlign w:val="bottom"/>
            <w:gridSpan w:val="5"/>
          </w:tcPr>
          <w:p>
            <w:pPr>
              <w:jc w:val="center"/>
              <w:spacing w:after="0"/>
              <w:rPr>
                <w:sz w:val="20"/>
                <w:szCs w:val="20"/>
                <w:color w:val="auto"/>
              </w:rPr>
            </w:pPr>
            <w:r>
              <w:rPr>
                <w:rFonts w:ascii="Arial" w:cs="Arial" w:eastAsia="Arial" w:hAnsi="Arial"/>
                <w:sz w:val="8"/>
                <w:szCs w:val="8"/>
                <w:b w:val="1"/>
                <w:bCs w:val="1"/>
                <w:color w:val="auto"/>
              </w:rPr>
              <w:t>SERIES A+</w:t>
            </w:r>
          </w:p>
        </w:tc>
        <w:tc>
          <w:tcPr>
            <w:tcW w:w="100" w:type="dxa"/>
            <w:vAlign w:val="bottom"/>
          </w:tcPr>
          <w:p>
            <w:pPr>
              <w:spacing w:after="0"/>
              <w:rPr>
                <w:sz w:val="9"/>
                <w:szCs w:val="9"/>
                <w:color w:val="auto"/>
              </w:rPr>
            </w:pPr>
          </w:p>
        </w:tc>
        <w:tc>
          <w:tcPr>
            <w:tcW w:w="140" w:type="dxa"/>
            <w:vAlign w:val="bottom"/>
            <w:gridSpan w:val="5"/>
          </w:tcPr>
          <w:p>
            <w:pPr>
              <w:jc w:val="right"/>
              <w:ind w:right="53"/>
              <w:spacing w:after="0"/>
              <w:rPr>
                <w:sz w:val="20"/>
                <w:szCs w:val="20"/>
                <w:color w:val="auto"/>
              </w:rPr>
            </w:pPr>
            <w:r>
              <w:rPr>
                <w:rFonts w:ascii="Arial" w:cs="Arial" w:eastAsia="Arial" w:hAnsi="Arial"/>
                <w:sz w:val="8"/>
                <w:szCs w:val="8"/>
                <w:b w:val="1"/>
                <w:bCs w:val="1"/>
                <w:color w:val="auto"/>
              </w:rPr>
              <w:t>​​</w:t>
            </w:r>
          </w:p>
        </w:tc>
        <w:tc>
          <w:tcPr>
            <w:tcW w:w="600" w:type="dxa"/>
            <w:vAlign w:val="bottom"/>
            <w:gridSpan w:val="6"/>
          </w:tcPr>
          <w:p>
            <w:pPr>
              <w:jc w:val="center"/>
              <w:spacing w:after="0"/>
              <w:rPr>
                <w:sz w:val="20"/>
                <w:szCs w:val="20"/>
                <w:color w:val="auto"/>
              </w:rPr>
            </w:pPr>
            <w:r>
              <w:rPr>
                <w:rFonts w:ascii="Arial" w:cs="Arial" w:eastAsia="Arial" w:hAnsi="Arial"/>
                <w:sz w:val="8"/>
                <w:szCs w:val="8"/>
                <w:b w:val="1"/>
                <w:bCs w:val="1"/>
                <w:color w:val="auto"/>
              </w:rPr>
              <w:t>SERIES B</w:t>
            </w:r>
          </w:p>
        </w:tc>
        <w:tc>
          <w:tcPr>
            <w:tcW w:w="120" w:type="dxa"/>
            <w:vAlign w:val="bottom"/>
          </w:tcPr>
          <w:p>
            <w:pPr>
              <w:spacing w:after="0"/>
              <w:rPr>
                <w:sz w:val="9"/>
                <w:szCs w:val="9"/>
                <w:color w:val="auto"/>
              </w:rPr>
            </w:pPr>
          </w:p>
        </w:tc>
        <w:tc>
          <w:tcPr>
            <w:tcW w:w="160" w:type="dxa"/>
            <w:vAlign w:val="bottom"/>
            <w:gridSpan w:val="4"/>
          </w:tcPr>
          <w:p>
            <w:pPr>
              <w:spacing w:after="0"/>
              <w:rPr>
                <w:sz w:val="20"/>
                <w:szCs w:val="20"/>
                <w:color w:val="auto"/>
              </w:rPr>
            </w:pPr>
            <w:r>
              <w:rPr>
                <w:rFonts w:ascii="Arial" w:cs="Arial" w:eastAsia="Arial" w:hAnsi="Arial"/>
                <w:sz w:val="8"/>
                <w:szCs w:val="8"/>
                <w:b w:val="1"/>
                <w:bCs w:val="1"/>
                <w:color w:val="auto"/>
              </w:rPr>
              <w:t>​​</w:t>
            </w:r>
          </w:p>
        </w:tc>
        <w:tc>
          <w:tcPr>
            <w:tcW w:w="20" w:type="dxa"/>
            <w:vAlign w:val="bottom"/>
          </w:tcPr>
          <w:p>
            <w:pPr>
              <w:spacing w:after="0"/>
              <w:rPr>
                <w:sz w:val="9"/>
                <w:szCs w:val="9"/>
                <w:color w:val="auto"/>
              </w:rPr>
            </w:pPr>
          </w:p>
        </w:tc>
        <w:tc>
          <w:tcPr>
            <w:tcW w:w="520" w:type="dxa"/>
            <w:vAlign w:val="bottom"/>
            <w:gridSpan w:val="6"/>
          </w:tcPr>
          <w:p>
            <w:pPr>
              <w:jc w:val="center"/>
              <w:spacing w:after="0"/>
              <w:rPr>
                <w:sz w:val="20"/>
                <w:szCs w:val="20"/>
                <w:color w:val="auto"/>
              </w:rPr>
            </w:pPr>
            <w:r>
              <w:rPr>
                <w:rFonts w:ascii="Arial" w:cs="Arial" w:eastAsia="Arial" w:hAnsi="Arial"/>
                <w:sz w:val="8"/>
                <w:szCs w:val="8"/>
                <w:b w:val="1"/>
                <w:bCs w:val="1"/>
                <w:color w:val="auto"/>
              </w:rPr>
              <w:t>SERIES B-1</w:t>
            </w:r>
          </w:p>
        </w:tc>
        <w:tc>
          <w:tcPr>
            <w:tcW w:w="120" w:type="dxa"/>
            <w:vAlign w:val="bottom"/>
          </w:tcPr>
          <w:p>
            <w:pPr>
              <w:spacing w:after="0"/>
              <w:rPr>
                <w:sz w:val="9"/>
                <w:szCs w:val="9"/>
                <w:color w:val="auto"/>
              </w:rPr>
            </w:pPr>
          </w:p>
        </w:tc>
        <w:tc>
          <w:tcPr>
            <w:tcW w:w="980" w:type="dxa"/>
            <w:vAlign w:val="bottom"/>
            <w:gridSpan w:val="9"/>
          </w:tcPr>
          <w:p>
            <w:pPr>
              <w:ind w:left="40"/>
              <w:spacing w:after="0"/>
              <w:rPr>
                <w:sz w:val="20"/>
                <w:szCs w:val="20"/>
                <w:color w:val="auto"/>
              </w:rPr>
            </w:pPr>
            <w:r>
              <w:rPr>
                <w:rFonts w:ascii="Arial" w:cs="Arial" w:eastAsia="Arial" w:hAnsi="Arial"/>
                <w:sz w:val="8"/>
                <w:szCs w:val="8"/>
                <w:b w:val="1"/>
                <w:bCs w:val="1"/>
                <w:color w:val="auto"/>
              </w:rPr>
              <w:t>​NONCONTROLLING</w:t>
            </w:r>
          </w:p>
        </w:tc>
        <w:tc>
          <w:tcPr>
            <w:tcW w:w="20" w:type="dxa"/>
            <w:vAlign w:val="bottom"/>
          </w:tcPr>
          <w:p>
            <w:pPr>
              <w:spacing w:after="0"/>
              <w:rPr>
                <w:sz w:val="9"/>
                <w:szCs w:val="9"/>
                <w:color w:val="auto"/>
              </w:rPr>
            </w:pPr>
          </w:p>
        </w:tc>
        <w:tc>
          <w:tcPr>
            <w:tcW w:w="100" w:type="dxa"/>
            <w:vAlign w:val="bottom"/>
            <w:gridSpan w:val="3"/>
          </w:tcPr>
          <w:p>
            <w:pPr>
              <w:spacing w:after="0"/>
              <w:rPr>
                <w:sz w:val="20"/>
                <w:szCs w:val="20"/>
                <w:color w:val="auto"/>
              </w:rPr>
            </w:pPr>
            <w:r>
              <w:rPr>
                <w:rFonts w:ascii="Arial" w:cs="Arial" w:eastAsia="Arial" w:hAnsi="Arial"/>
                <w:sz w:val="8"/>
                <w:szCs w:val="8"/>
                <w:b w:val="1"/>
                <w:bCs w:val="1"/>
                <w:color w:val="auto"/>
              </w:rPr>
              <w:t>​</w:t>
            </w:r>
          </w:p>
        </w:tc>
        <w:tc>
          <w:tcPr>
            <w:tcW w:w="520" w:type="dxa"/>
            <w:vAlign w:val="bottom"/>
            <w:gridSpan w:val="5"/>
          </w:tcPr>
          <w:p>
            <w:pPr>
              <w:jc w:val="center"/>
              <w:ind w:left="58"/>
              <w:spacing w:after="0"/>
              <w:rPr>
                <w:sz w:val="20"/>
                <w:szCs w:val="20"/>
                <w:color w:val="auto"/>
              </w:rPr>
            </w:pPr>
            <w:r>
              <w:rPr>
                <w:rFonts w:ascii="Arial" w:cs="Arial" w:eastAsia="Arial" w:hAnsi="Arial"/>
                <w:sz w:val="8"/>
                <w:szCs w:val="8"/>
                <w:b w:val="1"/>
                <w:bCs w:val="1"/>
                <w:color w:val="auto"/>
              </w:rPr>
              <w:t>SHARES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gridSpan w:val="3"/>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9"/>
                <w:szCs w:val="9"/>
                <w:color w:val="auto"/>
              </w:rPr>
            </w:pPr>
          </w:p>
        </w:tc>
        <w:tc>
          <w:tcPr>
            <w:tcW w:w="46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rPr>
              <w:t>PAID-IN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8"/>
          </w:tcPr>
          <w:p>
            <w:pPr>
              <w:jc w:val="center"/>
              <w:spacing w:after="0"/>
              <w:rPr>
                <w:sz w:val="20"/>
                <w:szCs w:val="20"/>
                <w:color w:val="auto"/>
              </w:rPr>
            </w:pPr>
            <w:r>
              <w:rPr>
                <w:rFonts w:ascii="Arial" w:cs="Arial" w:eastAsia="Arial" w:hAnsi="Arial"/>
                <w:sz w:val="8"/>
                <w:szCs w:val="8"/>
                <w:b w:val="1"/>
                <w:bCs w:val="1"/>
                <w:color w:val="auto"/>
              </w:rPr>
              <w:t>COMPREHENSIVE</w:t>
            </w:r>
          </w:p>
        </w:tc>
        <w:tc>
          <w:tcPr>
            <w:tcW w:w="680" w:type="dxa"/>
            <w:vAlign w:val="bottom"/>
            <w:gridSpan w:val="5"/>
          </w:tcPr>
          <w:p>
            <w:pPr>
              <w:jc w:val="right"/>
              <w:spacing w:after="0"/>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3"/>
          </w:tcPr>
          <w:p>
            <w:pPr>
              <w:spacing w:after="0"/>
              <w:rPr>
                <w:sz w:val="20"/>
                <w:szCs w:val="20"/>
                <w:color w:val="auto"/>
              </w:rPr>
            </w:pPr>
            <w:r>
              <w:rPr>
                <w:rFonts w:ascii="Arial" w:cs="Arial" w:eastAsia="Arial" w:hAnsi="Arial"/>
                <w:sz w:val="8"/>
                <w:szCs w:val="8"/>
                <w:b w:val="1"/>
                <w:bCs w:val="1"/>
                <w:color w:val="auto"/>
              </w:rPr>
              <w:t>SHA</w:t>
            </w:r>
          </w:p>
        </w:tc>
        <w:tc>
          <w:tcPr>
            <w:tcW w:w="0" w:type="dxa"/>
            <w:vAlign w:val="bottom"/>
          </w:tcPr>
          <w:p>
            <w:pPr>
              <w:spacing w:after="0"/>
              <w:rPr>
                <w:sz w:val="1"/>
                <w:szCs w:val="1"/>
                <w:color w:val="auto"/>
              </w:rPr>
            </w:pPr>
          </w:p>
        </w:tc>
      </w:tr>
      <w:tr>
        <w:trPr>
          <w:trHeight w:val="106"/>
        </w:trPr>
        <w:tc>
          <w:tcPr>
            <w:tcW w:w="2440" w:type="dxa"/>
            <w:vAlign w:val="bottom"/>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294942296"/>
              </w:rPr>
              <w:t>​</w:t>
            </w:r>
          </w:p>
        </w:tc>
        <w:tc>
          <w:tcPr>
            <w:tcW w:w="820" w:type="dxa"/>
            <w:vAlign w:val="bottom"/>
            <w:tcBorders>
              <w:top w:val="single" w:sz="8" w:color="auto"/>
            </w:tcBorders>
            <w:gridSpan w:val="11"/>
          </w:tcPr>
          <w:p>
            <w:pPr>
              <w:jc w:val="center"/>
              <w:spacing w:after="0"/>
              <w:rPr>
                <w:sz w:val="20"/>
                <w:szCs w:val="20"/>
                <w:color w:val="auto"/>
              </w:rPr>
            </w:pPr>
            <w:r>
              <w:rPr>
                <w:rFonts w:ascii="Arial" w:cs="Arial" w:eastAsia="Arial" w:hAnsi="Arial"/>
                <w:sz w:val="8"/>
                <w:szCs w:val="8"/>
                <w:b w:val="1"/>
                <w:bCs w:val="1"/>
                <w:color w:val="auto"/>
              </w:rPr>
              <w:t>​SHARES ​​AMOUNT</w:t>
            </w:r>
          </w:p>
        </w:tc>
        <w:tc>
          <w:tcPr>
            <w:tcW w:w="20" w:type="dxa"/>
            <w:vAlign w:val="bottom"/>
          </w:tcPr>
          <w:p>
            <w:pPr>
              <w:spacing w:after="0"/>
              <w:rPr>
                <w:sz w:val="20"/>
                <w:szCs w:val="20"/>
                <w:color w:val="auto"/>
              </w:rPr>
            </w:pPr>
            <w:r>
              <w:rPr>
                <w:rFonts w:ascii="Arial" w:cs="Arial" w:eastAsia="Arial" w:hAnsi="Arial"/>
                <w:sz w:val="8"/>
                <w:szCs w:val="8"/>
                <w:b w:val="1"/>
                <w:bCs w:val="1"/>
                <w:color w:val="auto"/>
              </w:rPr>
              <w:t>​</w:t>
            </w:r>
          </w:p>
        </w:tc>
        <w:tc>
          <w:tcPr>
            <w:tcW w:w="820" w:type="dxa"/>
            <w:vAlign w:val="bottom"/>
            <w:tcBorders>
              <w:top w:val="single" w:sz="8" w:color="auto"/>
            </w:tcBorders>
            <w:gridSpan w:val="10"/>
          </w:tcPr>
          <w:p>
            <w:pPr>
              <w:jc w:val="center"/>
              <w:spacing w:after="0"/>
              <w:rPr>
                <w:sz w:val="20"/>
                <w:szCs w:val="20"/>
                <w:color w:val="auto"/>
              </w:rPr>
            </w:pPr>
            <w:r>
              <w:rPr>
                <w:rFonts w:ascii="Arial" w:cs="Arial" w:eastAsia="Arial" w:hAnsi="Arial"/>
                <w:sz w:val="8"/>
                <w:szCs w:val="8"/>
                <w:b w:val="1"/>
                <w:bCs w:val="1"/>
                <w:color w:val="auto"/>
              </w:rPr>
              <w:t>​SHARES ​​AMOUNT</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rPr>
              <w:t>​</w:t>
            </w:r>
          </w:p>
        </w:tc>
        <w:tc>
          <w:tcPr>
            <w:tcW w:w="820" w:type="dxa"/>
            <w:vAlign w:val="bottom"/>
            <w:tcBorders>
              <w:top w:val="single" w:sz="8" w:color="auto"/>
            </w:tcBorders>
            <w:gridSpan w:val="11"/>
          </w:tcPr>
          <w:p>
            <w:pPr>
              <w:jc w:val="center"/>
              <w:spacing w:after="0"/>
              <w:rPr>
                <w:sz w:val="20"/>
                <w:szCs w:val="20"/>
                <w:color w:val="auto"/>
              </w:rPr>
            </w:pPr>
            <w:r>
              <w:rPr>
                <w:rFonts w:ascii="Arial" w:cs="Arial" w:eastAsia="Arial" w:hAnsi="Arial"/>
                <w:sz w:val="8"/>
                <w:szCs w:val="8"/>
                <w:b w:val="1"/>
                <w:bCs w:val="1"/>
                <w:color w:val="auto"/>
              </w:rPr>
              <w:t>​SHARES ​​AMOUNT</w:t>
            </w:r>
          </w:p>
        </w:tc>
        <w:tc>
          <w:tcPr>
            <w:tcW w:w="20" w:type="dxa"/>
            <w:vAlign w:val="bottom"/>
          </w:tcPr>
          <w:p>
            <w:pPr>
              <w:spacing w:after="0"/>
              <w:rPr>
                <w:sz w:val="20"/>
                <w:szCs w:val="20"/>
                <w:color w:val="auto"/>
              </w:rPr>
            </w:pPr>
            <w:r>
              <w:rPr>
                <w:rFonts w:ascii="Arial" w:cs="Arial" w:eastAsia="Arial" w:hAnsi="Arial"/>
                <w:sz w:val="8"/>
                <w:szCs w:val="8"/>
                <w:b w:val="1"/>
                <w:bCs w:val="1"/>
                <w:color w:val="auto"/>
              </w:rPr>
              <w:t>​</w:t>
            </w:r>
          </w:p>
        </w:tc>
        <w:tc>
          <w:tcPr>
            <w:tcW w:w="800" w:type="dxa"/>
            <w:vAlign w:val="bottom"/>
            <w:tcBorders>
              <w:top w:val="single" w:sz="8" w:color="auto"/>
            </w:tcBorders>
            <w:gridSpan w:val="11"/>
          </w:tcPr>
          <w:p>
            <w:pPr>
              <w:jc w:val="center"/>
              <w:spacing w:after="0"/>
              <w:rPr>
                <w:sz w:val="20"/>
                <w:szCs w:val="20"/>
                <w:color w:val="auto"/>
              </w:rPr>
            </w:pPr>
            <w:r>
              <w:rPr>
                <w:rFonts w:ascii="Arial" w:cs="Arial" w:eastAsia="Arial" w:hAnsi="Arial"/>
                <w:sz w:val="8"/>
                <w:szCs w:val="8"/>
                <w:b w:val="1"/>
                <w:bCs w:val="1"/>
                <w:color w:val="auto"/>
              </w:rPr>
              <w:t>​SHARES ​​AMOUNT</w:t>
            </w:r>
          </w:p>
        </w:tc>
        <w:tc>
          <w:tcPr>
            <w:tcW w:w="160" w:type="dxa"/>
            <w:vAlign w:val="bottom"/>
            <w:gridSpan w:val="2"/>
          </w:tcPr>
          <w:p>
            <w:pPr>
              <w:ind w:left="40"/>
              <w:spacing w:after="0"/>
              <w:rPr>
                <w:sz w:val="20"/>
                <w:szCs w:val="20"/>
                <w:color w:val="auto"/>
              </w:rPr>
            </w:pPr>
            <w:r>
              <w:rPr>
                <w:rFonts w:ascii="Arial" w:cs="Arial" w:eastAsia="Arial" w:hAnsi="Arial"/>
                <w:sz w:val="8"/>
                <w:szCs w:val="8"/>
                <w:b w:val="1"/>
                <w:bCs w:val="1"/>
                <w:color w:val="auto"/>
              </w:rPr>
              <w:t>​​</w:t>
            </w:r>
          </w:p>
        </w:tc>
        <w:tc>
          <w:tcPr>
            <w:tcW w:w="720" w:type="dxa"/>
            <w:vAlign w:val="bottom"/>
            <w:gridSpan w:val="6"/>
          </w:tcPr>
          <w:p>
            <w:pPr>
              <w:jc w:val="center"/>
              <w:ind w:right="20"/>
              <w:spacing w:after="0" w:line="88" w:lineRule="exact"/>
              <w:rPr>
                <w:sz w:val="20"/>
                <w:szCs w:val="20"/>
                <w:color w:val="auto"/>
              </w:rPr>
            </w:pPr>
            <w:r>
              <w:rPr>
                <w:rFonts w:ascii="Arial" w:cs="Arial" w:eastAsia="Arial" w:hAnsi="Arial"/>
                <w:sz w:val="8"/>
                <w:szCs w:val="8"/>
                <w:b w:val="1"/>
                <w:bCs w:val="1"/>
                <w:color w:val="auto"/>
              </w:rPr>
              <w:t>INTEREST</w:t>
            </w:r>
          </w:p>
        </w:tc>
        <w:tc>
          <w:tcPr>
            <w:tcW w:w="100" w:type="dxa"/>
            <w:vAlign w:val="bottom"/>
          </w:tcPr>
          <w:p>
            <w:pPr>
              <w:spacing w:after="0"/>
              <w:rPr>
                <w:sz w:val="9"/>
                <w:szCs w:val="9"/>
                <w:color w:val="auto"/>
              </w:rPr>
            </w:pPr>
          </w:p>
        </w:tc>
        <w:tc>
          <w:tcPr>
            <w:tcW w:w="840" w:type="dxa"/>
            <w:vAlign w:val="bottom"/>
            <w:tcBorders>
              <w:top w:val="single" w:sz="8" w:color="auto"/>
            </w:tcBorders>
            <w:gridSpan w:val="12"/>
          </w:tcPr>
          <w:p>
            <w:pPr>
              <w:spacing w:after="0"/>
              <w:rPr>
                <w:sz w:val="20"/>
                <w:szCs w:val="20"/>
                <w:color w:val="auto"/>
              </w:rPr>
            </w:pPr>
            <w:r>
              <w:rPr>
                <w:rFonts w:ascii="Arial" w:cs="Arial" w:eastAsia="Arial" w:hAnsi="Arial"/>
                <w:sz w:val="8"/>
                <w:szCs w:val="8"/>
                <w:b w:val="1"/>
                <w:bCs w:val="1"/>
                <w:color w:val="auto"/>
              </w:rPr>
              <w:t>​​SHARES ​​AMOUNT</w:t>
            </w:r>
          </w:p>
        </w:tc>
        <w:tc>
          <w:tcPr>
            <w:tcW w:w="120" w:type="dxa"/>
            <w:vAlign w:val="bottom"/>
            <w:gridSpan w:val="3"/>
          </w:tcPr>
          <w:p>
            <w:pPr>
              <w:spacing w:after="0"/>
              <w:rPr>
                <w:sz w:val="20"/>
                <w:szCs w:val="20"/>
                <w:color w:val="auto"/>
              </w:rPr>
            </w:pPr>
            <w:r>
              <w:rPr>
                <w:rFonts w:ascii="Arial" w:cs="Arial" w:eastAsia="Arial" w:hAnsi="Arial"/>
                <w:sz w:val="8"/>
                <w:szCs w:val="8"/>
                <w:b w:val="1"/>
                <w:bCs w:val="1"/>
                <w:color w:val="auto"/>
              </w:rPr>
              <w:t>​​</w:t>
            </w:r>
          </w:p>
        </w:tc>
        <w:tc>
          <w:tcPr>
            <w:tcW w:w="500" w:type="dxa"/>
            <w:vAlign w:val="bottom"/>
            <w:gridSpan w:val="4"/>
          </w:tcPr>
          <w:p>
            <w:pPr>
              <w:jc w:val="center"/>
              <w:ind w:right="80"/>
              <w:spacing w:after="0" w:line="88" w:lineRule="exact"/>
              <w:rPr>
                <w:sz w:val="20"/>
                <w:szCs w:val="20"/>
                <w:color w:val="auto"/>
              </w:rPr>
            </w:pPr>
            <w:r>
              <w:rPr>
                <w:rFonts w:ascii="Arial" w:cs="Arial" w:eastAsia="Arial" w:hAnsi="Arial"/>
                <w:sz w:val="8"/>
                <w:szCs w:val="8"/>
                <w:b w:val="1"/>
                <w:bCs w:val="1"/>
                <w:color w:val="auto"/>
              </w:rPr>
              <w:t>CAPITAL</w:t>
            </w:r>
          </w:p>
        </w:tc>
        <w:tc>
          <w:tcPr>
            <w:tcW w:w="120" w:type="dxa"/>
            <w:vAlign w:val="bottom"/>
            <w:gridSpan w:val="3"/>
          </w:tcPr>
          <w:p>
            <w:pPr>
              <w:ind w:left="20"/>
              <w:spacing w:after="0"/>
              <w:rPr>
                <w:sz w:val="20"/>
                <w:szCs w:val="20"/>
                <w:color w:val="auto"/>
              </w:rPr>
            </w:pPr>
            <w:r>
              <w:rPr>
                <w:rFonts w:ascii="Arial" w:cs="Arial" w:eastAsia="Arial" w:hAnsi="Arial"/>
                <w:sz w:val="8"/>
                <w:szCs w:val="8"/>
                <w:b w:val="1"/>
                <w:bCs w:val="1"/>
                <w:color w:val="auto"/>
              </w:rPr>
              <w:t>​​</w:t>
            </w:r>
          </w:p>
        </w:tc>
        <w:tc>
          <w:tcPr>
            <w:tcW w:w="180" w:type="dxa"/>
            <w:vAlign w:val="bottom"/>
          </w:tcPr>
          <w:p>
            <w:pPr>
              <w:spacing w:after="0"/>
              <w:rPr>
                <w:sz w:val="9"/>
                <w:szCs w:val="9"/>
                <w:color w:val="auto"/>
              </w:rPr>
            </w:pPr>
          </w:p>
        </w:tc>
        <w:tc>
          <w:tcPr>
            <w:tcW w:w="520" w:type="dxa"/>
            <w:vAlign w:val="bottom"/>
            <w:gridSpan w:val="5"/>
          </w:tcPr>
          <w:p>
            <w:pPr>
              <w:jc w:val="center"/>
              <w:ind w:right="158"/>
              <w:spacing w:after="0"/>
              <w:rPr>
                <w:sz w:val="20"/>
                <w:szCs w:val="20"/>
                <w:color w:val="auto"/>
              </w:rPr>
            </w:pPr>
            <w:r>
              <w:rPr>
                <w:rFonts w:ascii="Arial" w:cs="Arial" w:eastAsia="Arial" w:hAnsi="Arial"/>
                <w:sz w:val="8"/>
                <w:szCs w:val="8"/>
                <w:b w:val="1"/>
                <w:bCs w:val="1"/>
                <w:color w:val="auto"/>
              </w:rPr>
              <w:t>LOSS</w:t>
            </w:r>
          </w:p>
        </w:tc>
        <w:tc>
          <w:tcPr>
            <w:tcW w:w="40" w:type="dxa"/>
            <w:vAlign w:val="bottom"/>
          </w:tcPr>
          <w:p>
            <w:pPr>
              <w:spacing w:after="0"/>
              <w:rPr>
                <w:sz w:val="9"/>
                <w:szCs w:val="9"/>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b w:val="1"/>
                <w:bCs w:val="1"/>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58"/>
              <w:spacing w:after="0" w:line="88" w:lineRule="exact"/>
              <w:rPr>
                <w:sz w:val="20"/>
                <w:szCs w:val="20"/>
                <w:color w:val="auto"/>
              </w:rPr>
            </w:pPr>
            <w:r>
              <w:rPr>
                <w:rFonts w:ascii="Arial" w:cs="Arial" w:eastAsia="Arial" w:hAnsi="Arial"/>
                <w:sz w:val="8"/>
                <w:szCs w:val="8"/>
                <w:b w:val="1"/>
                <w:bCs w:val="1"/>
                <w:color w:val="auto"/>
              </w:rPr>
              <w:t>DEFICIT</w:t>
            </w:r>
          </w:p>
        </w:tc>
        <w:tc>
          <w:tcPr>
            <w:tcW w:w="100" w:type="dxa"/>
            <w:vAlign w:val="bottom"/>
          </w:tcPr>
          <w:p>
            <w:pPr>
              <w:spacing w:after="0"/>
              <w:rPr>
                <w:sz w:val="9"/>
                <w:szCs w:val="9"/>
                <w:color w:val="auto"/>
              </w:rPr>
            </w:pPr>
          </w:p>
        </w:tc>
        <w:tc>
          <w:tcPr>
            <w:tcW w:w="100" w:type="dxa"/>
            <w:vAlign w:val="bottom"/>
            <w:gridSpan w:val="2"/>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CEEFF"/>
          </w:tcPr>
          <w:p>
            <w:pPr>
              <w:spacing w:after="0"/>
              <w:rPr>
                <w:sz w:val="20"/>
                <w:szCs w:val="20"/>
                <w:color w:val="auto"/>
              </w:rPr>
            </w:pPr>
            <w:r>
              <w:rPr>
                <w:rFonts w:ascii="Arial" w:cs="Arial" w:eastAsia="Arial" w:hAnsi="Arial"/>
                <w:sz w:val="8"/>
                <w:szCs w:val="8"/>
                <w:b w:val="1"/>
                <w:bCs w:val="1"/>
                <w:color w:val="auto"/>
              </w:rPr>
              <w:t>Balance at December 31, 2021</w:t>
            </w:r>
          </w:p>
        </w:tc>
        <w:tc>
          <w:tcPr>
            <w:tcW w:w="420" w:type="dxa"/>
            <w:vAlign w:val="bottom"/>
            <w:gridSpan w:val="6"/>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380" w:type="dxa"/>
            <w:vAlign w:val="bottom"/>
            <w:tcBorders>
              <w:left w:val="single" w:sz="8" w:color="CCEEFF"/>
            </w:tcBorders>
            <w:gridSpan w:val="5"/>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380" w:type="dxa"/>
            <w:vAlign w:val="bottom"/>
            <w:tcBorders>
              <w:left w:val="single" w:sz="8" w:color="CCEEFF"/>
            </w:tcBorders>
            <w:gridSpan w:val="5"/>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3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0" w:type="dxa"/>
            <w:vAlign w:val="bottom"/>
            <w:tcBorders>
              <w:right w:val="single" w:sz="8" w:color="CCEEFF"/>
            </w:tcBorders>
            <w:gridSpan w:val="6"/>
            <w:shd w:val="clear" w:color="auto" w:fill="000000"/>
          </w:tcPr>
          <w:p>
            <w:pPr>
              <w:spacing w:after="0" w:line="20" w:lineRule="exact"/>
              <w:rPr>
                <w:sz w:val="1"/>
                <w:szCs w:val="1"/>
                <w:color w:val="auto"/>
              </w:rPr>
            </w:pPr>
          </w:p>
        </w:tc>
        <w:tc>
          <w:tcPr>
            <w:tcW w:w="400" w:type="dxa"/>
            <w:vAlign w:val="bottom"/>
            <w:gridSpan w:val="5"/>
            <w:shd w:val="clear" w:color="auto" w:fill="CCEEFF"/>
          </w:tcPr>
          <w:p>
            <w:pPr>
              <w:spacing w:after="0" w:line="20" w:lineRule="exact"/>
              <w:rPr>
                <w:sz w:val="1"/>
                <w:szCs w:val="1"/>
                <w:color w:val="auto"/>
              </w:rPr>
            </w:pPr>
          </w:p>
        </w:tc>
        <w:tc>
          <w:tcPr>
            <w:tcW w:w="4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gridSpan w:val="2"/>
            <w:vMerge w:val="restart"/>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spacing w:after="0"/>
              <w:rPr>
                <w:sz w:val="20"/>
                <w:szCs w:val="20"/>
                <w:color w:val="auto"/>
              </w:rPr>
            </w:pPr>
            <w:r>
              <w:rPr>
                <w:rFonts w:ascii="Arial" w:cs="Arial" w:eastAsia="Arial" w:hAnsi="Arial"/>
                <w:sz w:val="8"/>
                <w:szCs w:val="8"/>
                <w:color w:val="auto"/>
              </w:rPr>
              <w:t>​​​</w:t>
            </w:r>
          </w:p>
        </w:tc>
        <w:tc>
          <w:tcPr>
            <w:tcW w:w="540" w:type="dxa"/>
            <w:vAlign w:val="bottom"/>
            <w:tcBorders>
              <w:left w:val="single" w:sz="8" w:color="auto"/>
              <w:right w:val="single" w:sz="8" w:color="auto"/>
            </w:tcBorders>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440" w:type="dxa"/>
            <w:vAlign w:val="bottom"/>
            <w:vMerge w:val="continue"/>
            <w:shd w:val="clear" w:color="auto" w:fill="CCEEFF"/>
          </w:tcPr>
          <w:p>
            <w:pPr>
              <w:spacing w:after="0"/>
              <w:rPr>
                <w:sz w:val="6"/>
                <w:szCs w:val="6"/>
                <w:color w:val="auto"/>
              </w:rPr>
            </w:pPr>
          </w:p>
        </w:tc>
        <w:tc>
          <w:tcPr>
            <w:tcW w:w="140" w:type="dxa"/>
            <w:vAlign w:val="bottom"/>
            <w:gridSpan w:val="5"/>
            <w:shd w:val="clear" w:color="auto" w:fill="CCEEFF"/>
          </w:tcPr>
          <w:p>
            <w:pPr>
              <w:ind w:left="20"/>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280" w:type="dxa"/>
            <w:vAlign w:val="bottom"/>
            <w:shd w:val="clear" w:color="auto" w:fill="CCEEFF"/>
          </w:tcPr>
          <w:p>
            <w:pPr>
              <w:ind w:left="20"/>
              <w:spacing w:after="0" w:line="77" w:lineRule="exact"/>
              <w:rPr>
                <w:sz w:val="20"/>
                <w:szCs w:val="20"/>
                <w:color w:val="auto"/>
              </w:rPr>
            </w:pPr>
            <w:r>
              <w:rPr>
                <w:rFonts w:ascii="Arial" w:cs="Arial" w:eastAsia="Arial" w:hAnsi="Arial"/>
                <w:sz w:val="8"/>
                <w:szCs w:val="8"/>
                <w:color w:val="auto"/>
                <w:w w:val="97"/>
              </w:rPr>
              <w:t>19,200​​​​</w:t>
            </w:r>
          </w:p>
        </w:tc>
        <w:tc>
          <w:tcPr>
            <w:tcW w:w="20" w:type="dxa"/>
            <w:vAlign w:val="bottom"/>
            <w:vMerge w:val="continue"/>
            <w:shd w:val="clear" w:color="auto" w:fill="CCEEFF"/>
          </w:tcPr>
          <w:p>
            <w:pPr>
              <w:spacing w:after="0"/>
              <w:rPr>
                <w:sz w:val="6"/>
                <w:szCs w:val="6"/>
                <w:color w:val="auto"/>
              </w:rPr>
            </w:pPr>
          </w:p>
        </w:tc>
        <w:tc>
          <w:tcPr>
            <w:tcW w:w="80" w:type="dxa"/>
            <w:vAlign w:val="bottom"/>
            <w:tcBorders>
              <w:lef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6"/>
                <w:szCs w:val="6"/>
                <w:color w:val="auto"/>
              </w:rPr>
            </w:pPr>
          </w:p>
        </w:tc>
        <w:tc>
          <w:tcPr>
            <w:tcW w:w="280" w:type="dxa"/>
            <w:vAlign w:val="bottom"/>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rPr>
              <w:t>32,001​​​</w:t>
            </w:r>
          </w:p>
        </w:tc>
        <w:tc>
          <w:tcPr>
            <w:tcW w:w="20" w:type="dxa"/>
            <w:vAlign w:val="bottom"/>
            <w:vMerge w:val="continue"/>
            <w:shd w:val="clear" w:color="auto" w:fill="CCEEFF"/>
          </w:tcPr>
          <w:p>
            <w:pPr>
              <w:spacing w:after="0"/>
              <w:rPr>
                <w:sz w:val="6"/>
                <w:szCs w:val="6"/>
                <w:color w:val="auto"/>
              </w:rPr>
            </w:pPr>
          </w:p>
        </w:tc>
        <w:tc>
          <w:tcPr>
            <w:tcW w:w="100" w:type="dxa"/>
            <w:vAlign w:val="bottom"/>
            <w:tcBorders>
              <w:left w:val="single" w:sz="8" w:color="CCEEFF"/>
            </w:tcBorders>
            <w:gridSpan w:val="4"/>
            <w:shd w:val="clear" w:color="auto" w:fill="CCEEFF"/>
          </w:tcPr>
          <w:p>
            <w:pPr>
              <w:jc w:val="right"/>
              <w:ind w:right="33"/>
              <w:spacing w:after="0" w:line="77" w:lineRule="exact"/>
              <w:rPr>
                <w:sz w:val="20"/>
                <w:szCs w:val="20"/>
                <w:color w:val="auto"/>
              </w:rPr>
            </w:pPr>
            <w:r>
              <w:rPr>
                <w:rFonts w:ascii="Arial" w:cs="Arial" w:eastAsia="Arial" w:hAnsi="Arial"/>
                <w:sz w:val="8"/>
                <w:szCs w:val="8"/>
                <w:b w:val="1"/>
                <w:bCs w:val="1"/>
                <w:color w:val="auto"/>
              </w:rPr>
              <w:t>​</w:t>
            </w:r>
          </w:p>
        </w:tc>
        <w:tc>
          <w:tcPr>
            <w:tcW w:w="280" w:type="dxa"/>
            <w:vAlign w:val="bottom"/>
            <w:shd w:val="clear" w:color="auto" w:fill="CCEEFF"/>
          </w:tcPr>
          <w:p>
            <w:pPr>
              <w:ind w:left="40"/>
              <w:spacing w:after="0" w:line="77" w:lineRule="exact"/>
              <w:rPr>
                <w:sz w:val="20"/>
                <w:szCs w:val="20"/>
                <w:color w:val="auto"/>
              </w:rPr>
            </w:pPr>
            <w:r>
              <w:rPr>
                <w:rFonts w:ascii="Arial" w:cs="Arial" w:eastAsia="Arial" w:hAnsi="Arial"/>
                <w:sz w:val="8"/>
                <w:szCs w:val="8"/>
                <w:color w:val="auto"/>
                <w:w w:val="89"/>
              </w:rPr>
              <w:t>12,800​​​​</w:t>
            </w:r>
          </w:p>
        </w:tc>
        <w:tc>
          <w:tcPr>
            <w:tcW w:w="40" w:type="dxa"/>
            <w:vAlign w:val="bottom"/>
            <w:vMerge w:val="continue"/>
            <w:shd w:val="clear" w:color="auto" w:fill="CCEEFF"/>
          </w:tcPr>
          <w:p>
            <w:pPr>
              <w:spacing w:after="0"/>
              <w:rPr>
                <w:sz w:val="6"/>
                <w:szCs w:val="6"/>
                <w:color w:val="auto"/>
              </w:rPr>
            </w:pPr>
          </w:p>
        </w:tc>
        <w:tc>
          <w:tcPr>
            <w:tcW w:w="80" w:type="dxa"/>
            <w:vAlign w:val="bottom"/>
            <w:tcBorders>
              <w:lef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rPr>
              <w:t>26,000​​​</w:t>
            </w:r>
          </w:p>
        </w:tc>
        <w:tc>
          <w:tcPr>
            <w:tcW w:w="40" w:type="dxa"/>
            <w:vAlign w:val="bottom"/>
            <w:vMerge w:val="continue"/>
            <w:shd w:val="clear" w:color="auto" w:fill="CCEEFF"/>
          </w:tcPr>
          <w:p>
            <w:pPr>
              <w:spacing w:after="0"/>
              <w:rPr>
                <w:sz w:val="6"/>
                <w:szCs w:val="6"/>
                <w:color w:val="auto"/>
              </w:rPr>
            </w:pPr>
          </w:p>
        </w:tc>
        <w:tc>
          <w:tcPr>
            <w:tcW w:w="100" w:type="dxa"/>
            <w:vAlign w:val="bottom"/>
            <w:tcBorders>
              <w:left w:val="single" w:sz="8" w:color="CCEEFF"/>
            </w:tcBorders>
            <w:gridSpan w:val="4"/>
            <w:shd w:val="clear" w:color="auto" w:fill="CCEEFF"/>
          </w:tcPr>
          <w:p>
            <w:pPr>
              <w:jc w:val="right"/>
              <w:ind w:right="33"/>
              <w:spacing w:after="0" w:line="77" w:lineRule="exact"/>
              <w:rPr>
                <w:sz w:val="20"/>
                <w:szCs w:val="20"/>
                <w:color w:val="auto"/>
              </w:rPr>
            </w:pPr>
            <w:r>
              <w:rPr>
                <w:rFonts w:ascii="Arial" w:cs="Arial" w:eastAsia="Arial" w:hAnsi="Arial"/>
                <w:sz w:val="8"/>
                <w:szCs w:val="8"/>
                <w:b w:val="1"/>
                <w:bCs w:val="1"/>
                <w:color w:val="auto"/>
              </w:rPr>
              <w:t>​</w:t>
            </w:r>
          </w:p>
        </w:tc>
        <w:tc>
          <w:tcPr>
            <w:tcW w:w="280" w:type="dxa"/>
            <w:vAlign w:val="bottom"/>
            <w:shd w:val="clear" w:color="auto" w:fill="CCEEFF"/>
          </w:tcPr>
          <w:p>
            <w:pPr>
              <w:ind w:left="20"/>
              <w:spacing w:after="0" w:line="77" w:lineRule="exact"/>
              <w:rPr>
                <w:sz w:val="20"/>
                <w:szCs w:val="20"/>
                <w:color w:val="auto"/>
              </w:rPr>
            </w:pPr>
            <w:r>
              <w:rPr>
                <w:rFonts w:ascii="Arial" w:cs="Arial" w:eastAsia="Arial" w:hAnsi="Arial"/>
                <w:sz w:val="8"/>
                <w:szCs w:val="8"/>
                <w:color w:val="auto"/>
                <w:w w:val="97"/>
              </w:rPr>
              <w:t>24,702​​​​</w:t>
            </w:r>
          </w:p>
        </w:tc>
        <w:tc>
          <w:tcPr>
            <w:tcW w:w="20" w:type="dxa"/>
            <w:vAlign w:val="bottom"/>
            <w:vMerge w:val="continue"/>
            <w:shd w:val="clear" w:color="auto" w:fill="CCEEFF"/>
          </w:tcPr>
          <w:p>
            <w:pPr>
              <w:spacing w:after="0"/>
              <w:rPr>
                <w:sz w:val="6"/>
                <w:szCs w:val="6"/>
                <w:color w:val="auto"/>
              </w:rPr>
            </w:pPr>
          </w:p>
        </w:tc>
        <w:tc>
          <w:tcPr>
            <w:tcW w:w="420" w:type="dxa"/>
            <w:vAlign w:val="bottom"/>
            <w:tcBorders>
              <w:left w:val="single" w:sz="8" w:color="CCEEFF"/>
            </w:tcBorders>
            <w:gridSpan w:val="5"/>
            <w:shd w:val="clear" w:color="auto" w:fill="CCEEFF"/>
          </w:tcPr>
          <w:p>
            <w:pPr>
              <w:jc w:val="right"/>
              <w:spacing w:after="0" w:line="77" w:lineRule="exact"/>
              <w:rPr>
                <w:sz w:val="20"/>
                <w:szCs w:val="20"/>
                <w:color w:val="auto"/>
              </w:rPr>
            </w:pPr>
            <w:r>
              <w:rPr>
                <w:rFonts w:ascii="Arial" w:cs="Arial" w:eastAsia="Arial" w:hAnsi="Arial"/>
                <w:sz w:val="8"/>
                <w:szCs w:val="8"/>
                <w:color w:val="auto"/>
              </w:rPr>
              <w:t>$ 100,000​​​</w:t>
            </w:r>
          </w:p>
        </w:tc>
        <w:tc>
          <w:tcPr>
            <w:tcW w:w="20" w:type="dxa"/>
            <w:vAlign w:val="bottom"/>
            <w:vMerge w:val="continue"/>
            <w:shd w:val="clear" w:color="auto" w:fill="CCEEFF"/>
          </w:tcPr>
          <w:p>
            <w:pPr>
              <w:spacing w:after="0"/>
              <w:rPr>
                <w:sz w:val="6"/>
                <w:szCs w:val="6"/>
                <w:color w:val="auto"/>
              </w:rPr>
            </w:pPr>
          </w:p>
        </w:tc>
        <w:tc>
          <w:tcPr>
            <w:tcW w:w="40" w:type="dxa"/>
            <w:vAlign w:val="bottom"/>
            <w:tcBorders>
              <w:left w:val="single" w:sz="8" w:color="CCEEFF"/>
            </w:tcBorders>
            <w:shd w:val="clear" w:color="auto" w:fill="CCEEFF"/>
          </w:tcPr>
          <w:p>
            <w:pPr>
              <w:spacing w:after="0"/>
              <w:rPr>
                <w:sz w:val="6"/>
                <w:szCs w:val="6"/>
                <w:color w:val="auto"/>
              </w:rPr>
            </w:pPr>
          </w:p>
        </w:tc>
        <w:tc>
          <w:tcPr>
            <w:tcW w:w="100" w:type="dxa"/>
            <w:vAlign w:val="bottom"/>
            <w:tcBorders>
              <w:right w:val="single" w:sz="8" w:color="CCEEFF"/>
            </w:tcBorders>
            <w:gridSpan w:val="2"/>
            <w:shd w:val="clear" w:color="auto" w:fill="CCEEFF"/>
          </w:tcPr>
          <w:p>
            <w:pPr>
              <w:jc w:val="right"/>
              <w:ind w:right="57"/>
              <w:spacing w:after="0" w:line="77" w:lineRule="exact"/>
              <w:rPr>
                <w:sz w:val="20"/>
                <w:szCs w:val="20"/>
                <w:color w:val="auto"/>
              </w:rPr>
            </w:pPr>
            <w:r>
              <w:rPr>
                <w:rFonts w:ascii="Arial" w:cs="Arial" w:eastAsia="Arial" w:hAnsi="Arial"/>
                <w:sz w:val="8"/>
                <w:szCs w:val="8"/>
                <w:color w:val="auto"/>
              </w:rPr>
              <w:t>​</w:t>
            </w:r>
          </w:p>
        </w:tc>
        <w:tc>
          <w:tcPr>
            <w:tcW w:w="360" w:type="dxa"/>
            <w:vAlign w:val="bottom"/>
            <w:gridSpan w:val="5"/>
            <w:shd w:val="clear" w:color="auto" w:fill="CCEEFF"/>
          </w:tcPr>
          <w:p>
            <w:pPr>
              <w:jc w:val="right"/>
              <w:spacing w:after="0" w:line="77" w:lineRule="exact"/>
              <w:rPr>
                <w:sz w:val="20"/>
                <w:szCs w:val="20"/>
                <w:color w:val="auto"/>
              </w:rPr>
            </w:pPr>
            <w:r>
              <w:rPr>
                <w:rFonts w:ascii="Arial" w:cs="Arial" w:eastAsia="Arial" w:hAnsi="Arial"/>
                <w:sz w:val="8"/>
                <w:szCs w:val="8"/>
                <w:color w:val="auto"/>
              </w:rPr>
              <w:t>2,161 ​​​​$</w:t>
            </w:r>
          </w:p>
        </w:tc>
        <w:tc>
          <w:tcPr>
            <w:tcW w:w="300" w:type="dxa"/>
            <w:vAlign w:val="bottom"/>
            <w:tcBorders>
              <w:left w:val="single" w:sz="8" w:color="CCEEFF"/>
              <w:right w:val="single" w:sz="8" w:color="CCEEFF"/>
            </w:tcBorders>
            <w:gridSpan w:val="3"/>
            <w:shd w:val="clear" w:color="auto" w:fill="CCEEFF"/>
          </w:tcPr>
          <w:p>
            <w:pPr>
              <w:ind w:left="80"/>
              <w:spacing w:after="0" w:line="77" w:lineRule="exact"/>
              <w:rPr>
                <w:sz w:val="20"/>
                <w:szCs w:val="20"/>
                <w:color w:val="auto"/>
              </w:rPr>
            </w:pPr>
            <w:r>
              <w:rPr>
                <w:rFonts w:ascii="Arial" w:cs="Arial" w:eastAsia="Arial" w:hAnsi="Arial"/>
                <w:sz w:val="8"/>
                <w:szCs w:val="8"/>
                <w:color w:val="auto"/>
                <w:w w:val="89"/>
              </w:rPr>
              <w:t>8,959</w:t>
            </w:r>
          </w:p>
        </w:tc>
        <w:tc>
          <w:tcPr>
            <w:tcW w:w="160" w:type="dxa"/>
            <w:vAlign w:val="bottom"/>
            <w:tcBorders>
              <w:left w:val="single" w:sz="8" w:color="CCEEFF"/>
            </w:tcBorders>
            <w:gridSpan w:val="2"/>
            <w:shd w:val="clear" w:color="auto" w:fill="CCEEFF"/>
          </w:tcPr>
          <w:p>
            <w:pPr>
              <w:jc w:val="right"/>
              <w:ind w:right="38"/>
              <w:spacing w:after="0" w:line="77"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CCEEFF"/>
          </w:tcPr>
          <w:p>
            <w:pPr>
              <w:jc w:val="right"/>
              <w:spacing w:after="0" w:line="77" w:lineRule="exact"/>
              <w:rPr>
                <w:sz w:val="20"/>
                <w:szCs w:val="20"/>
                <w:color w:val="auto"/>
              </w:rPr>
            </w:pPr>
            <w:r>
              <w:rPr>
                <w:rFonts w:ascii="Arial" w:cs="Arial" w:eastAsia="Arial" w:hAnsi="Arial"/>
                <w:sz w:val="8"/>
                <w:szCs w:val="8"/>
                <w:color w:val="auto"/>
                <w:w w:val="88"/>
              </w:rPr>
              <w:t>$</w:t>
            </w:r>
          </w:p>
        </w:tc>
        <w:tc>
          <w:tcPr>
            <w:tcW w:w="40" w:type="dxa"/>
            <w:vAlign w:val="bottom"/>
            <w:shd w:val="clear" w:color="auto" w:fill="CCEEFF"/>
          </w:tcPr>
          <w:p>
            <w:pPr>
              <w:spacing w:after="0"/>
              <w:rPr>
                <w:sz w:val="6"/>
                <w:szCs w:val="6"/>
                <w:color w:val="auto"/>
              </w:rPr>
            </w:pPr>
          </w:p>
        </w:tc>
        <w:tc>
          <w:tcPr>
            <w:tcW w:w="400" w:type="dxa"/>
            <w:vAlign w:val="bottom"/>
            <w:gridSpan w:val="3"/>
            <w:shd w:val="clear" w:color="auto" w:fill="CCEEFF"/>
          </w:tcPr>
          <w:p>
            <w:pPr>
              <w:jc w:val="right"/>
              <w:ind w:right="240"/>
              <w:spacing w:after="0" w:line="77" w:lineRule="exact"/>
              <w:rPr>
                <w:sz w:val="20"/>
                <w:szCs w:val="20"/>
                <w:color w:val="auto"/>
              </w:rPr>
            </w:pPr>
            <w:r>
              <w:rPr>
                <w:rFonts w:ascii="Arial" w:cs="Arial" w:eastAsia="Arial" w:hAnsi="Arial"/>
                <w:sz w:val="8"/>
                <w:szCs w:val="8"/>
                <w:color w:val="auto"/>
                <w:w w:val="95"/>
              </w:rPr>
              <w:t>  —</w:t>
            </w:r>
          </w:p>
        </w:tc>
        <w:tc>
          <w:tcPr>
            <w:tcW w:w="100" w:type="dxa"/>
            <w:vAlign w:val="bottom"/>
            <w:tcBorders>
              <w:right w:val="single" w:sz="8" w:color="CCEEFF"/>
            </w:tcBorders>
            <w:shd w:val="clear" w:color="auto" w:fill="CCEEFF"/>
          </w:tcPr>
          <w:p>
            <w:pPr>
              <w:ind w:left="2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4"/>
            <w:shd w:val="clear" w:color="auto" w:fill="CCEEFF"/>
          </w:tcPr>
          <w:p>
            <w:pPr>
              <w:jc w:val="right"/>
              <w:ind w:right="57"/>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280" w:type="dxa"/>
            <w:vAlign w:val="bottom"/>
            <w:shd w:val="clear" w:color="auto" w:fill="CCEEFF"/>
          </w:tcPr>
          <w:p>
            <w:pPr>
              <w:ind w:left="20"/>
              <w:spacing w:after="0" w:line="77" w:lineRule="exact"/>
              <w:rPr>
                <w:sz w:val="20"/>
                <w:szCs w:val="20"/>
                <w:color w:val="auto"/>
              </w:rPr>
            </w:pPr>
            <w:r>
              <w:rPr>
                <w:rFonts w:ascii="Arial" w:cs="Arial" w:eastAsia="Arial" w:hAnsi="Arial"/>
                <w:sz w:val="8"/>
                <w:szCs w:val="8"/>
                <w:color w:val="auto"/>
                <w:w w:val="97"/>
              </w:rPr>
              <w:t>10,894​​​</w:t>
            </w:r>
          </w:p>
        </w:tc>
        <w:tc>
          <w:tcPr>
            <w:tcW w:w="40" w:type="dxa"/>
            <w:vAlign w:val="bottom"/>
            <w:tcBorders>
              <w:right w:val="single" w:sz="8" w:color="CCEEFF"/>
            </w:tcBorders>
            <w:vMerge w:val="continue"/>
            <w:shd w:val="clear" w:color="auto" w:fill="CCEEFF"/>
          </w:tcPr>
          <w:p>
            <w:pPr>
              <w:spacing w:after="0"/>
              <w:rPr>
                <w:sz w:val="6"/>
                <w:szCs w:val="6"/>
                <w:color w:val="auto"/>
              </w:rPr>
            </w:pP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60" w:type="dxa"/>
            <w:vAlign w:val="bottom"/>
            <w:tcBorders>
              <w:left w:val="single" w:sz="8" w:color="CCEEFF"/>
            </w:tcBorders>
            <w:shd w:val="clear" w:color="auto" w:fill="CCEEFF"/>
          </w:tcPr>
          <w:p>
            <w:pPr>
              <w:spacing w:after="0" w:line="77" w:lineRule="exact"/>
              <w:rPr>
                <w:sz w:val="20"/>
                <w:szCs w:val="20"/>
                <w:color w:val="auto"/>
              </w:rPr>
            </w:pPr>
            <w:r>
              <w:rPr>
                <w:rFonts w:ascii="Arial" w:cs="Arial" w:eastAsia="Arial" w:hAnsi="Arial"/>
                <w:sz w:val="8"/>
                <w:szCs w:val="8"/>
                <w:color w:val="auto"/>
                <w:w w:val="88"/>
              </w:rPr>
              <w:t>​$</w:t>
            </w:r>
          </w:p>
        </w:tc>
        <w:tc>
          <w:tcPr>
            <w:tcW w:w="40" w:type="dxa"/>
            <w:vAlign w:val="bottom"/>
            <w:shd w:val="clear" w:color="auto" w:fill="CCEEFF"/>
          </w:tcPr>
          <w:p>
            <w:pPr>
              <w:spacing w:after="0"/>
              <w:rPr>
                <w:sz w:val="6"/>
                <w:szCs w:val="6"/>
                <w:color w:val="auto"/>
              </w:rPr>
            </w:pPr>
          </w:p>
        </w:tc>
        <w:tc>
          <w:tcPr>
            <w:tcW w:w="100" w:type="dxa"/>
            <w:vAlign w:val="bottom"/>
            <w:gridSpan w:val="2"/>
            <w:shd w:val="clear" w:color="auto" w:fill="CCEEFF"/>
          </w:tcPr>
          <w:p>
            <w:pPr>
              <w:jc w:val="right"/>
              <w:ind w:right="15"/>
              <w:spacing w:after="0" w:line="77"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6"/>
                <w:szCs w:val="6"/>
                <w:color w:val="auto"/>
              </w:rPr>
            </w:pPr>
          </w:p>
        </w:tc>
        <w:tc>
          <w:tcPr>
            <w:tcW w:w="40" w:type="dxa"/>
            <w:vAlign w:val="bottom"/>
            <w:gridSpan w:val="2"/>
            <w:vMerge w:val="continue"/>
            <w:shd w:val="clear" w:color="auto" w:fill="CCEEFF"/>
          </w:tcPr>
          <w:p>
            <w:pPr>
              <w:spacing w:after="0"/>
              <w:rPr>
                <w:sz w:val="6"/>
                <w:szCs w:val="6"/>
                <w:color w:val="auto"/>
              </w:rPr>
            </w:pPr>
          </w:p>
        </w:tc>
        <w:tc>
          <w:tcPr>
            <w:tcW w:w="80" w:type="dxa"/>
            <w:vAlign w:val="bottom"/>
            <w:tcBorders>
              <w:left w:val="single" w:sz="8" w:color="CCEEFF"/>
              <w:right w:val="single" w:sz="8" w:color="CCEEFF"/>
            </w:tcBorders>
            <w:shd w:val="clear" w:color="auto" w:fill="CCEEFF"/>
          </w:tcPr>
          <w:p>
            <w:pPr>
              <w:spacing w:after="0"/>
              <w:rPr>
                <w:sz w:val="6"/>
                <w:szCs w:val="6"/>
                <w:color w:val="auto"/>
              </w:rPr>
            </w:pPr>
          </w:p>
        </w:tc>
        <w:tc>
          <w:tcPr>
            <w:tcW w:w="160" w:type="dxa"/>
            <w:vAlign w:val="bottom"/>
            <w:tcBorders>
              <w:left w:val="single" w:sz="8" w:color="CCEEFF"/>
            </w:tcBorders>
            <w:gridSpan w:val="2"/>
            <w:shd w:val="clear" w:color="auto" w:fill="CCEEFF"/>
          </w:tcPr>
          <w:p>
            <w:pPr>
              <w:spacing w:after="0" w:line="77" w:lineRule="exact"/>
              <w:rPr>
                <w:sz w:val="20"/>
                <w:szCs w:val="20"/>
                <w:color w:val="auto"/>
              </w:rPr>
            </w:pPr>
            <w:r>
              <w:rPr>
                <w:rFonts w:ascii="Arial" w:cs="Arial" w:eastAsia="Arial" w:hAnsi="Arial"/>
                <w:sz w:val="8"/>
                <w:szCs w:val="8"/>
                <w:color w:val="auto"/>
              </w:rPr>
              <w:t>​ $</w:t>
            </w:r>
          </w:p>
        </w:tc>
        <w:tc>
          <w:tcPr>
            <w:tcW w:w="340" w:type="dxa"/>
            <w:vAlign w:val="bottom"/>
            <w:tcBorders>
              <w:right w:val="single" w:sz="8" w:color="CCEEFF"/>
            </w:tcBorders>
            <w:gridSpan w:val="2"/>
            <w:shd w:val="clear" w:color="auto" w:fill="CCEEFF"/>
          </w:tcPr>
          <w:p>
            <w:pPr>
              <w:jc w:val="right"/>
              <w:ind w:right="100"/>
              <w:spacing w:after="0" w:line="77" w:lineRule="exact"/>
              <w:rPr>
                <w:sz w:val="20"/>
                <w:szCs w:val="20"/>
                <w:color w:val="auto"/>
              </w:rPr>
            </w:pPr>
            <w:r>
              <w:rPr>
                <w:rFonts w:ascii="Arial" w:cs="Arial" w:eastAsia="Arial" w:hAnsi="Arial"/>
                <w:sz w:val="8"/>
                <w:szCs w:val="8"/>
                <w:color w:val="auto"/>
              </w:rPr>
              <w:t>—</w:t>
            </w:r>
          </w:p>
        </w:tc>
        <w:tc>
          <w:tcPr>
            <w:tcW w:w="60" w:type="dxa"/>
            <w:vAlign w:val="bottom"/>
            <w:gridSpan w:val="2"/>
            <w:vMerge w:val="continue"/>
            <w:shd w:val="clear" w:color="auto" w:fill="CCEEFF"/>
          </w:tcPr>
          <w:p>
            <w:pPr>
              <w:spacing w:after="0"/>
              <w:rPr>
                <w:sz w:val="6"/>
                <w:szCs w:val="6"/>
                <w:color w:val="auto"/>
              </w:rPr>
            </w:pPr>
          </w:p>
        </w:tc>
        <w:tc>
          <w:tcPr>
            <w:tcW w:w="60" w:type="dxa"/>
            <w:vAlign w:val="bottom"/>
            <w:tcBorders>
              <w:left w:val="single" w:sz="8" w:color="CCEEFF"/>
            </w:tcBorders>
            <w:shd w:val="clear" w:color="auto" w:fill="CCEEFF"/>
          </w:tcPr>
          <w:p>
            <w:pPr>
              <w:spacing w:after="0"/>
              <w:rPr>
                <w:sz w:val="6"/>
                <w:szCs w:val="6"/>
                <w:color w:val="auto"/>
              </w:rPr>
            </w:pPr>
          </w:p>
        </w:tc>
        <w:tc>
          <w:tcPr>
            <w:tcW w:w="300" w:type="dxa"/>
            <w:vAlign w:val="bottom"/>
            <w:gridSpan w:val="3"/>
            <w:shd w:val="clear" w:color="auto" w:fill="CCEEFF"/>
          </w:tcPr>
          <w:p>
            <w:pPr>
              <w:jc w:val="right"/>
              <w:ind w:right="18"/>
              <w:spacing w:after="0" w:line="77" w:lineRule="exact"/>
              <w:rPr>
                <w:sz w:val="20"/>
                <w:szCs w:val="20"/>
                <w:color w:val="auto"/>
              </w:rPr>
            </w:pPr>
            <w:r>
              <w:rPr>
                <w:rFonts w:ascii="Arial" w:cs="Arial" w:eastAsia="Arial" w:hAnsi="Arial"/>
                <w:sz w:val="8"/>
                <w:szCs w:val="8"/>
                <w:color w:val="auto"/>
              </w:rPr>
              <w:t>​ $</w:t>
            </w: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78"/>
              <w:spacing w:after="0" w:line="77" w:lineRule="exact"/>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gridSpan w:val="2"/>
            <w:shd w:val="clear" w:color="auto" w:fill="CCEEFF"/>
          </w:tcPr>
          <w:p>
            <w:pPr>
              <w:jc w:val="right"/>
              <w:ind w:right="18"/>
              <w:spacing w:after="0" w:line="77" w:lineRule="exact"/>
              <w:rPr>
                <w:sz w:val="20"/>
                <w:szCs w:val="20"/>
                <w:color w:val="auto"/>
              </w:rPr>
            </w:pPr>
            <w:r>
              <w:rPr>
                <w:rFonts w:ascii="Arial" w:cs="Arial" w:eastAsia="Arial" w:hAnsi="Arial"/>
                <w:sz w:val="8"/>
                <w:szCs w:val="8"/>
                <w:color w:val="auto"/>
              </w:rPr>
              <w:t>​ ​​</w:t>
            </w:r>
          </w:p>
        </w:tc>
        <w:tc>
          <w:tcPr>
            <w:tcW w:w="100" w:type="dxa"/>
            <w:vAlign w:val="bottom"/>
            <w:gridSpan w:val="2"/>
            <w:shd w:val="clear" w:color="auto" w:fill="CCEEFF"/>
          </w:tcPr>
          <w:p>
            <w:pPr>
              <w:jc w:val="right"/>
              <w:ind w:right="16"/>
              <w:spacing w:after="0"/>
              <w:rPr>
                <w:sz w:val="20"/>
                <w:szCs w:val="20"/>
                <w:color w:val="auto"/>
              </w:rPr>
            </w:pPr>
            <w:r>
              <w:rPr>
                <w:rFonts w:ascii="Arial" w:cs="Arial" w:eastAsia="Arial" w:hAnsi="Arial"/>
                <w:sz w:val="6"/>
                <w:szCs w:val="6"/>
                <w:color w:val="auto"/>
                <w:w w:val="78"/>
              </w:rPr>
              <w:t>​ $</w:t>
            </w:r>
          </w:p>
        </w:tc>
        <w:tc>
          <w:tcPr>
            <w:tcW w:w="100" w:type="dxa"/>
            <w:vAlign w:val="bottom"/>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jc w:val="right"/>
              <w:spacing w:after="0" w:line="77" w:lineRule="exact"/>
              <w:rPr>
                <w:sz w:val="20"/>
                <w:szCs w:val="20"/>
                <w:color w:val="auto"/>
              </w:rPr>
            </w:pPr>
            <w:r>
              <w:rPr>
                <w:rFonts w:ascii="Arial" w:cs="Arial" w:eastAsia="Arial" w:hAnsi="Arial"/>
                <w:sz w:val="8"/>
                <w:szCs w:val="8"/>
                <w:color w:val="auto"/>
              </w:rPr>
              <w:t>(64,736)</w:t>
            </w: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80" w:type="dxa"/>
            <w:vAlign w:val="bottom"/>
            <w:tcBorders>
              <w:left w:val="single" w:sz="8" w:color="CCEEFF"/>
            </w:tcBorders>
            <w:shd w:val="clear" w:color="auto" w:fill="CCEEFF"/>
          </w:tcPr>
          <w:p>
            <w:pPr>
              <w:spacing w:after="0"/>
              <w:rPr>
                <w:sz w:val="6"/>
                <w:szCs w:val="6"/>
                <w:color w:val="auto"/>
              </w:rPr>
            </w:pPr>
          </w:p>
        </w:tc>
        <w:tc>
          <w:tcPr>
            <w:tcW w:w="120" w:type="dxa"/>
            <w:vAlign w:val="bottom"/>
            <w:gridSpan w:val="2"/>
            <w:shd w:val="clear" w:color="auto" w:fill="CCEEFF"/>
          </w:tcPr>
          <w:p>
            <w:pPr>
              <w:ind w:left="20"/>
              <w:spacing w:after="0" w:line="77" w:lineRule="exact"/>
              <w:rPr>
                <w:sz w:val="20"/>
                <w:szCs w:val="20"/>
                <w:color w:val="auto"/>
              </w:rPr>
            </w:pPr>
            <w:r>
              <w:rPr>
                <w:rFonts w:ascii="Arial" w:cs="Arial" w:eastAsia="Arial" w:hAnsi="Arial"/>
                <w:sz w:val="8"/>
                <w:szCs w:val="8"/>
                <w:color w:val="auto"/>
              </w:rPr>
              <w:t>​ $</w:t>
            </w:r>
          </w:p>
        </w:tc>
        <w:tc>
          <w:tcPr>
            <w:tcW w:w="0" w:type="dxa"/>
            <w:vAlign w:val="bottom"/>
          </w:tcPr>
          <w:p>
            <w:pPr>
              <w:spacing w:after="0"/>
              <w:rPr>
                <w:sz w:val="1"/>
                <w:szCs w:val="1"/>
                <w:color w:val="auto"/>
              </w:rPr>
            </w:pPr>
          </w:p>
        </w:tc>
      </w:tr>
      <w:tr>
        <w:trPr>
          <w:trHeight w:val="100"/>
        </w:trPr>
        <w:tc>
          <w:tcPr>
            <w:tcW w:w="10120" w:type="dxa"/>
            <w:vAlign w:val="bottom"/>
            <w:gridSpan w:val="96"/>
          </w:tcPr>
          <w:p>
            <w:pPr>
              <w:spacing w:after="0"/>
              <w:rPr>
                <w:sz w:val="20"/>
                <w:szCs w:val="20"/>
                <w:color w:val="auto"/>
              </w:rPr>
            </w:pPr>
            <w:r>
              <w:rPr>
                <w:rFonts w:ascii="Arial" w:cs="Arial" w:eastAsia="Arial" w:hAnsi="Arial"/>
                <w:sz w:val="8"/>
                <w:szCs w:val="8"/>
                <w:color w:val="auto"/>
              </w:rPr>
              <w:t>Issuance of Series B redeemable convertible preferred shares,</w:t>
            </w:r>
          </w:p>
        </w:tc>
        <w:tc>
          <w:tcPr>
            <w:tcW w:w="0" w:type="dxa"/>
            <w:vAlign w:val="bottom"/>
          </w:tcPr>
          <w:p>
            <w:pPr>
              <w:spacing w:after="0"/>
              <w:rPr>
                <w:sz w:val="1"/>
                <w:szCs w:val="1"/>
                <w:color w:val="auto"/>
              </w:rPr>
            </w:pPr>
          </w:p>
        </w:tc>
      </w:tr>
      <w:tr>
        <w:trPr>
          <w:trHeight w:val="111"/>
        </w:trPr>
        <w:tc>
          <w:tcPr>
            <w:tcW w:w="2440" w:type="dxa"/>
            <w:vAlign w:val="bottom"/>
          </w:tcPr>
          <w:p>
            <w:pPr>
              <w:ind w:left="100"/>
              <w:spacing w:after="0"/>
              <w:rPr>
                <w:sz w:val="20"/>
                <w:szCs w:val="20"/>
                <w:color w:val="auto"/>
              </w:rPr>
            </w:pPr>
            <w:r>
              <w:rPr>
                <w:rFonts w:ascii="Arial" w:cs="Arial" w:eastAsia="Arial" w:hAnsi="Arial"/>
                <w:sz w:val="8"/>
                <w:szCs w:val="8"/>
                <w:color w:val="auto"/>
              </w:rPr>
              <w:t>net of issuance costs of  $1,515</w:t>
            </w:r>
          </w:p>
        </w:tc>
        <w:tc>
          <w:tcPr>
            <w:tcW w:w="140" w:type="dxa"/>
            <w:vAlign w:val="bottom"/>
            <w:gridSpan w:val="5"/>
          </w:tcPr>
          <w:p>
            <w:pPr>
              <w:ind w:left="20"/>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ind w:right="5"/>
              <w:spacing w:after="0"/>
              <w:rPr>
                <w:sz w:val="20"/>
                <w:szCs w:val="20"/>
                <w:color w:val="auto"/>
              </w:rPr>
            </w:pPr>
            <w:r>
              <w:rPr>
                <w:rFonts w:ascii="Arial" w:cs="Arial" w:eastAsia="Arial" w:hAnsi="Arial"/>
                <w:sz w:val="8"/>
                <w:szCs w:val="8"/>
                <w:color w:val="auto"/>
              </w:rPr>
              <w:t>—​​​​</w:t>
            </w:r>
          </w:p>
        </w:tc>
        <w:tc>
          <w:tcPr>
            <w:tcW w:w="6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9"/>
                <w:szCs w:val="9"/>
                <w:color w:val="auto"/>
              </w:rPr>
            </w:pPr>
          </w:p>
        </w:tc>
        <w:tc>
          <w:tcPr>
            <w:tcW w:w="260" w:type="dxa"/>
            <w:vAlign w:val="bottom"/>
            <w:gridSpan w:val="6"/>
          </w:tcPr>
          <w:p>
            <w:pPr>
              <w:jc w:val="right"/>
              <w:ind w:right="3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ind w:right="5"/>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3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ind w:right="13"/>
              <w:spacing w:after="0"/>
              <w:rPr>
                <w:sz w:val="20"/>
                <w:szCs w:val="20"/>
                <w:color w:val="auto"/>
              </w:rPr>
            </w:pPr>
            <w:r>
              <w:rPr>
                <w:rFonts w:ascii="Arial" w:cs="Arial" w:eastAsia="Arial" w:hAnsi="Arial"/>
                <w:sz w:val="8"/>
                <w:szCs w:val="8"/>
                <w:color w:val="auto"/>
              </w:rPr>
              <w:t>8,155​​​​ ​</w:t>
            </w:r>
          </w:p>
        </w:tc>
        <w:tc>
          <w:tcPr>
            <w:tcW w:w="440" w:type="dxa"/>
            <w:vAlign w:val="bottom"/>
            <w:gridSpan w:val="6"/>
          </w:tcPr>
          <w:p>
            <w:pPr>
              <w:jc w:val="right"/>
              <w:ind w:right="57"/>
              <w:spacing w:after="0"/>
              <w:rPr>
                <w:sz w:val="20"/>
                <w:szCs w:val="20"/>
                <w:color w:val="auto"/>
              </w:rPr>
            </w:pPr>
            <w:r>
              <w:rPr>
                <w:rFonts w:ascii="Arial" w:cs="Arial" w:eastAsia="Arial" w:hAnsi="Arial"/>
                <w:sz w:val="8"/>
                <w:szCs w:val="8"/>
                <w:color w:val="auto"/>
              </w:rPr>
              <w:t>31,500​​​ ​</w:t>
            </w:r>
          </w:p>
        </w:tc>
        <w:tc>
          <w:tcPr>
            <w:tcW w:w="20" w:type="dxa"/>
            <w:vAlign w:val="bottom"/>
          </w:tcPr>
          <w:p>
            <w:pPr>
              <w:spacing w:after="0"/>
              <w:rPr>
                <w:sz w:val="9"/>
                <w:szCs w:val="9"/>
                <w:color w:val="auto"/>
              </w:rPr>
            </w:pPr>
          </w:p>
        </w:tc>
        <w:tc>
          <w:tcPr>
            <w:tcW w:w="340" w:type="dxa"/>
            <w:vAlign w:val="bottom"/>
            <w:gridSpan w:val="4"/>
          </w:tcPr>
          <w:p>
            <w:pPr>
              <w:jc w:val="right"/>
              <w:ind w:right="13"/>
              <w:spacing w:after="0"/>
              <w:rPr>
                <w:sz w:val="20"/>
                <w:szCs w:val="20"/>
                <w:color w:val="auto"/>
              </w:rPr>
            </w:pPr>
            <w:r>
              <w:rPr>
                <w:rFonts w:ascii="Arial" w:cs="Arial" w:eastAsia="Arial" w:hAnsi="Arial"/>
                <w:sz w:val="8"/>
                <w:szCs w:val="8"/>
                <w:color w:val="auto"/>
              </w:rPr>
              <w:t>— ​​​​</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gridSpan w:val="3"/>
          </w:tcPr>
          <w:p>
            <w:pPr>
              <w:jc w:val="right"/>
              <w:ind w:right="38"/>
              <w:spacing w:after="0"/>
              <w:rPr>
                <w:sz w:val="20"/>
                <w:szCs w:val="20"/>
                <w:color w:val="auto"/>
              </w:rPr>
            </w:pPr>
            <w:r>
              <w:rPr>
                <w:rFonts w:ascii="Arial" w:cs="Arial" w:eastAsia="Arial" w:hAnsi="Arial"/>
                <w:sz w:val="8"/>
                <w:szCs w:val="8"/>
                <w:color w:val="auto"/>
              </w:rPr>
              <w:t>— ​​​</w:t>
            </w:r>
          </w:p>
        </w:tc>
        <w:tc>
          <w:tcPr>
            <w:tcW w:w="220" w:type="dxa"/>
            <w:vAlign w:val="bottom"/>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tcPr>
          <w:p>
            <w:pPr>
              <w:spacing w:after="0"/>
              <w:rPr>
                <w:sz w:val="9"/>
                <w:szCs w:val="9"/>
                <w:color w:val="auto"/>
              </w:rPr>
            </w:pP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40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120" w:type="dxa"/>
            <w:vAlign w:val="bottom"/>
            <w:gridSpan w:val="4"/>
          </w:tcPr>
          <w:p>
            <w:pPr>
              <w:jc w:val="right"/>
              <w:ind w:right="57"/>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38"/>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20"/>
                <w:szCs w:val="20"/>
                <w:color w:val="auto"/>
              </w:rPr>
            </w:pPr>
            <w:r>
              <w:rPr>
                <w:rFonts w:ascii="Arial" w:cs="Arial" w:eastAsia="Arial" w:hAnsi="Arial"/>
                <w:sz w:val="8"/>
                <w:szCs w:val="8"/>
                <w:color w:val="auto"/>
              </w:rPr>
              <w:t>​</w:t>
            </w:r>
          </w:p>
        </w:tc>
        <w:tc>
          <w:tcPr>
            <w:tcW w:w="140" w:type="dxa"/>
            <w:vAlign w:val="bottom"/>
            <w:gridSpan w:val="3"/>
          </w:tcPr>
          <w:p>
            <w:pPr>
              <w:jc w:val="right"/>
              <w:ind w:right="15"/>
              <w:spacing w:after="0"/>
              <w:rPr>
                <w:sz w:val="20"/>
                <w:szCs w:val="20"/>
                <w:color w:val="auto"/>
              </w:rPr>
            </w:pPr>
            <w:r>
              <w:rPr>
                <w:rFonts w:ascii="Arial" w:cs="Arial" w:eastAsia="Arial" w:hAnsi="Arial"/>
                <w:sz w:val="8"/>
                <w:szCs w:val="8"/>
                <w:color w:val="auto"/>
              </w:rPr>
              <w:t>​—</w:t>
            </w:r>
          </w:p>
        </w:tc>
        <w:tc>
          <w:tcPr>
            <w:tcW w:w="220" w:type="dxa"/>
            <w:vAlign w:val="bottom"/>
            <w:gridSpan w:val="4"/>
          </w:tcPr>
          <w:p>
            <w:pPr>
              <w:ind w:left="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gridSpan w:val="3"/>
          </w:tcPr>
          <w:p>
            <w:pPr>
              <w:jc w:val="right"/>
              <w:ind w:right="18"/>
              <w:spacing w:after="0"/>
              <w:rPr>
                <w:sz w:val="20"/>
                <w:szCs w:val="20"/>
                <w:color w:val="auto"/>
              </w:rPr>
            </w:pPr>
            <w:r>
              <w:rPr>
                <w:rFonts w:ascii="Arial" w:cs="Arial" w:eastAsia="Arial" w:hAnsi="Arial"/>
                <w:sz w:val="8"/>
                <w:szCs w:val="8"/>
                <w:color w:val="auto"/>
              </w:rPr>
              <w:t>​​​</w:t>
            </w:r>
          </w:p>
        </w:tc>
        <w:tc>
          <w:tcPr>
            <w:tcW w:w="180" w:type="dxa"/>
            <w:vAlign w:val="bottom"/>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380" w:type="dxa"/>
            <w:vAlign w:val="bottom"/>
            <w:gridSpan w:val="2"/>
          </w:tcPr>
          <w:p>
            <w:pPr>
              <w:jc w:val="right"/>
              <w:ind w:right="178"/>
              <w:spacing w:after="0"/>
              <w:rPr>
                <w:sz w:val="20"/>
                <w:szCs w:val="20"/>
                <w:color w:val="auto"/>
              </w:rPr>
            </w:pPr>
            <w:r>
              <w:rPr>
                <w:rFonts w:ascii="Arial" w:cs="Arial" w:eastAsia="Arial" w:hAnsi="Arial"/>
                <w:sz w:val="8"/>
                <w:szCs w:val="8"/>
                <w:color w:val="auto"/>
              </w:rPr>
              <w:t>—</w:t>
            </w:r>
          </w:p>
        </w:tc>
        <w:tc>
          <w:tcPr>
            <w:tcW w:w="160" w:type="dxa"/>
            <w:vAlign w:val="bottom"/>
            <w:gridSpan w:val="2"/>
          </w:tcPr>
          <w:p>
            <w:pPr>
              <w:jc w:val="right"/>
              <w:ind w:right="18"/>
              <w:spacing w:after="0"/>
              <w:rPr>
                <w:sz w:val="20"/>
                <w:szCs w:val="20"/>
                <w:color w:val="auto"/>
              </w:rPr>
            </w:pPr>
            <w:r>
              <w:rPr>
                <w:rFonts w:ascii="Arial" w:cs="Arial" w:eastAsia="Arial" w:hAnsi="Arial"/>
                <w:sz w:val="8"/>
                <w:szCs w:val="8"/>
                <w:color w:val="auto"/>
              </w:rPr>
              <w:t>​ ​​</w:t>
            </w:r>
          </w:p>
        </w:tc>
        <w:tc>
          <w:tcPr>
            <w:tcW w:w="60" w:type="dxa"/>
            <w:vAlign w:val="bottom"/>
          </w:tcPr>
          <w:p>
            <w:pPr>
              <w:spacing w:after="0"/>
              <w:rPr>
                <w:sz w:val="20"/>
                <w:szCs w:val="20"/>
                <w:color w:val="auto"/>
              </w:rPr>
            </w:pPr>
            <w:r>
              <w:rPr>
                <w:rFonts w:ascii="Arial" w:cs="Arial" w:eastAsia="Arial" w:hAnsi="Arial"/>
                <w:sz w:val="8"/>
                <w:szCs w:val="8"/>
                <w:color w:val="auto"/>
              </w:rPr>
              <w:t>​</w:t>
            </w:r>
          </w:p>
        </w:tc>
        <w:tc>
          <w:tcPr>
            <w:tcW w:w="40" w:type="dxa"/>
            <w:vAlign w:val="bottom"/>
          </w:tcPr>
          <w:p>
            <w:pPr>
              <w:jc w:val="center"/>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gridSpan w:val="3"/>
          </w:tcPr>
          <w:p>
            <w:pPr>
              <w:ind w:left="60"/>
              <w:spacing w:after="0"/>
              <w:rPr>
                <w:sz w:val="20"/>
                <w:szCs w:val="20"/>
                <w:color w:val="auto"/>
              </w:rPr>
            </w:pPr>
            <w:r>
              <w:rPr>
                <w:rFonts w:ascii="Arial" w:cs="Arial" w:eastAsia="Arial" w:hAnsi="Arial"/>
                <w:sz w:val="8"/>
                <w:szCs w:val="8"/>
                <w:color w:val="auto"/>
              </w:rPr>
              <w:t>​​​</w:t>
            </w:r>
          </w:p>
        </w:tc>
        <w:tc>
          <w:tcPr>
            <w:tcW w:w="120" w:type="dxa"/>
            <w:vAlign w:val="bottom"/>
            <w:gridSpan w:val="2"/>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1"/>
        </w:trPr>
        <w:tc>
          <w:tcPr>
            <w:tcW w:w="2880" w:type="dxa"/>
            <w:vAlign w:val="bottom"/>
            <w:gridSpan w:val="8"/>
            <w:shd w:val="clear" w:color="auto" w:fill="CCEEFF"/>
          </w:tcPr>
          <w:p>
            <w:pPr>
              <w:spacing w:after="0"/>
              <w:rPr>
                <w:sz w:val="20"/>
                <w:szCs w:val="20"/>
                <w:color w:val="auto"/>
              </w:rPr>
            </w:pPr>
            <w:r>
              <w:rPr>
                <w:rFonts w:ascii="Arial" w:cs="Arial" w:eastAsia="Arial" w:hAnsi="Arial"/>
                <w:sz w:val="8"/>
                <w:szCs w:val="8"/>
                <w:color w:val="auto"/>
              </w:rPr>
              <w:t>Accretion of Series B redeemable convertible preferred shares to</w:t>
            </w: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42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4"/>
            <w:shd w:val="clear" w:color="auto" w:fill="CCEEFF"/>
          </w:tcPr>
          <w:p>
            <w:pPr>
              <w:spacing w:after="0"/>
              <w:rPr>
                <w:sz w:val="8"/>
                <w:szCs w:val="8"/>
                <w:color w:val="auto"/>
              </w:rPr>
            </w:pPr>
          </w:p>
        </w:tc>
        <w:tc>
          <w:tcPr>
            <w:tcW w:w="40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20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tcBorders>
            <w:gridSpan w:val="2"/>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0" w:type="dxa"/>
            <w:vAlign w:val="bottom"/>
            <w:tcBorders>
              <w:right w:val="single" w:sz="8" w:color="CCEEFF"/>
            </w:tcBorders>
            <w:gridSpan w:val="6"/>
            <w:shd w:val="clear" w:color="auto" w:fill="CCEEFF"/>
          </w:tcPr>
          <w:p>
            <w:pPr>
              <w:spacing w:after="0"/>
              <w:rPr>
                <w:sz w:val="8"/>
                <w:szCs w:val="8"/>
                <w:color w:val="auto"/>
              </w:rPr>
            </w:pPr>
          </w:p>
        </w:tc>
        <w:tc>
          <w:tcPr>
            <w:tcW w:w="440" w:type="dxa"/>
            <w:vAlign w:val="bottom"/>
            <w:tcBorders>
              <w:right w:val="single" w:sz="8" w:color="CCEEFF"/>
            </w:tcBorders>
            <w:gridSpan w:val="6"/>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tcBorders>
              <w:left w:val="single" w:sz="8" w:color="CCEEFF"/>
            </w:tcBorders>
            <w:gridSpan w:val="7"/>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4"/>
            <w:shd w:val="clear" w:color="auto" w:fill="CCEEFF"/>
          </w:tcPr>
          <w:p>
            <w:pPr>
              <w:spacing w:after="0"/>
              <w:rPr>
                <w:sz w:val="8"/>
                <w:szCs w:val="8"/>
                <w:color w:val="auto"/>
              </w:rPr>
            </w:pPr>
          </w:p>
        </w:tc>
        <w:tc>
          <w:tcPr>
            <w:tcW w:w="60" w:type="dxa"/>
            <w:vAlign w:val="bottom"/>
            <w:gridSpan w:val="2"/>
            <w:shd w:val="clear" w:color="auto" w:fill="CCEEFF"/>
          </w:tcPr>
          <w:p>
            <w:pPr>
              <w:spacing w:after="0"/>
              <w:rPr>
                <w:sz w:val="8"/>
                <w:szCs w:val="8"/>
                <w:color w:val="auto"/>
              </w:rPr>
            </w:pPr>
          </w:p>
        </w:tc>
        <w:tc>
          <w:tcPr>
            <w:tcW w:w="24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00" w:type="dxa"/>
            <w:vAlign w:val="bottom"/>
            <w:tcBorders>
              <w:right w:val="single" w:sz="8" w:color="CCEEFF"/>
            </w:tcBorders>
            <w:gridSpan w:val="4"/>
            <w:shd w:val="clear" w:color="auto" w:fill="CCEEFF"/>
          </w:tcPr>
          <w:p>
            <w:pPr>
              <w:spacing w:after="0"/>
              <w:rPr>
                <w:sz w:val="8"/>
                <w:szCs w:val="8"/>
                <w:color w:val="auto"/>
              </w:rPr>
            </w:pPr>
          </w:p>
        </w:tc>
        <w:tc>
          <w:tcPr>
            <w:tcW w:w="260" w:type="dxa"/>
            <w:vAlign w:val="bottom"/>
            <w:gridSpan w:val="2"/>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00" w:type="dxa"/>
            <w:vAlign w:val="bottom"/>
            <w:tcBorders>
              <w:righ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left w:val="single" w:sz="8" w:color="CCEEFF"/>
            </w:tcBorders>
            <w:gridSpan w:val="2"/>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40" w:type="dxa"/>
            <w:vAlign w:val="bottom"/>
            <w:shd w:val="clear" w:color="auto" w:fill="CCEEFF"/>
          </w:tcPr>
          <w:p>
            <w:pPr>
              <w:ind w:left="100"/>
              <w:spacing w:after="0"/>
              <w:rPr>
                <w:sz w:val="20"/>
                <w:szCs w:val="20"/>
                <w:color w:val="auto"/>
              </w:rPr>
            </w:pPr>
            <w:r>
              <w:rPr>
                <w:rFonts w:ascii="Arial" w:cs="Arial" w:eastAsia="Arial" w:hAnsi="Arial"/>
                <w:sz w:val="8"/>
                <w:szCs w:val="8"/>
                <w:color w:val="auto"/>
              </w:rPr>
              <w:t>their redemption value</w:t>
            </w:r>
          </w:p>
        </w:tc>
        <w:tc>
          <w:tcPr>
            <w:tcW w:w="140" w:type="dxa"/>
            <w:vAlign w:val="bottom"/>
            <w:gridSpan w:val="5"/>
            <w:shd w:val="clear" w:color="auto" w:fill="CCEEFF"/>
          </w:tcPr>
          <w:p>
            <w:pPr>
              <w:ind w:left="20"/>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shd w:val="clear" w:color="auto" w:fill="CCEEFF"/>
          </w:tcPr>
          <w:p>
            <w:pPr>
              <w:jc w:val="right"/>
              <w:ind w:right="5"/>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spacing w:after="0"/>
              <w:rPr>
                <w:sz w:val="9"/>
                <w:szCs w:val="9"/>
                <w:color w:val="auto"/>
              </w:rPr>
            </w:pPr>
          </w:p>
        </w:tc>
        <w:tc>
          <w:tcPr>
            <w:tcW w:w="260" w:type="dxa"/>
            <w:vAlign w:val="bottom"/>
            <w:gridSpan w:val="6"/>
            <w:shd w:val="clear" w:color="auto" w:fill="CCEEFF"/>
          </w:tcPr>
          <w:p>
            <w:pPr>
              <w:jc w:val="right"/>
              <w:ind w:right="3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shd w:val="clear" w:color="auto" w:fill="CCEEFF"/>
          </w:tcPr>
          <w:p>
            <w:pPr>
              <w:jc w:val="right"/>
              <w:ind w:right="5"/>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3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shd w:val="clear" w:color="auto" w:fill="CCEEFF"/>
          </w:tcPr>
          <w:p>
            <w:pPr>
              <w:jc w:val="right"/>
              <w:ind w:right="13"/>
              <w:spacing w:after="0"/>
              <w:rPr>
                <w:sz w:val="20"/>
                <w:szCs w:val="20"/>
                <w:color w:val="auto"/>
              </w:rPr>
            </w:pPr>
            <w:r>
              <w:rPr>
                <w:rFonts w:ascii="Arial" w:cs="Arial" w:eastAsia="Arial" w:hAnsi="Arial"/>
                <w:sz w:val="8"/>
                <w:szCs w:val="8"/>
                <w:color w:val="auto"/>
              </w:rPr>
              <w:t>—​​​​ ​</w:t>
            </w:r>
          </w:p>
        </w:tc>
        <w:tc>
          <w:tcPr>
            <w:tcW w:w="440" w:type="dxa"/>
            <w:vAlign w:val="bottom"/>
            <w:tcBorders>
              <w:right w:val="single" w:sz="8" w:color="CCEEFF"/>
            </w:tcBorders>
            <w:gridSpan w:val="6"/>
            <w:shd w:val="clear" w:color="auto" w:fill="CCEEFF"/>
          </w:tcPr>
          <w:p>
            <w:pPr>
              <w:jc w:val="right"/>
              <w:ind w:right="57"/>
              <w:spacing w:after="0"/>
              <w:rPr>
                <w:sz w:val="20"/>
                <w:szCs w:val="20"/>
                <w:color w:val="auto"/>
              </w:rPr>
            </w:pPr>
            <w:r>
              <w:rPr>
                <w:rFonts w:ascii="Arial" w:cs="Arial" w:eastAsia="Arial" w:hAnsi="Arial"/>
                <w:sz w:val="8"/>
                <w:szCs w:val="8"/>
                <w:color w:val="auto"/>
              </w:rPr>
              <w:t>1,515​​​ ​</w:t>
            </w:r>
          </w:p>
        </w:tc>
        <w:tc>
          <w:tcPr>
            <w:tcW w:w="20" w:type="dxa"/>
            <w:vAlign w:val="bottom"/>
            <w:shd w:val="clear" w:color="auto" w:fill="CCEEFF"/>
          </w:tcPr>
          <w:p>
            <w:pPr>
              <w:spacing w:after="0"/>
              <w:rPr>
                <w:sz w:val="9"/>
                <w:szCs w:val="9"/>
                <w:color w:val="auto"/>
              </w:rPr>
            </w:pPr>
          </w:p>
        </w:tc>
        <w:tc>
          <w:tcPr>
            <w:tcW w:w="340" w:type="dxa"/>
            <w:vAlign w:val="bottom"/>
            <w:gridSpan w:val="4"/>
            <w:shd w:val="clear" w:color="auto" w:fill="CCEEFF"/>
          </w:tcPr>
          <w:p>
            <w:pPr>
              <w:jc w:val="right"/>
              <w:ind w:right="13"/>
              <w:spacing w:after="0"/>
              <w:rPr>
                <w:sz w:val="20"/>
                <w:szCs w:val="20"/>
                <w:color w:val="auto"/>
              </w:rPr>
            </w:pPr>
            <w:r>
              <w:rPr>
                <w:rFonts w:ascii="Arial" w:cs="Arial" w:eastAsia="Arial" w:hAnsi="Arial"/>
                <w:sz w:val="8"/>
                <w:szCs w:val="8"/>
                <w:color w:val="auto"/>
              </w:rPr>
              <w:t>— ​​​​</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280" w:type="dxa"/>
            <w:vAlign w:val="bottom"/>
            <w:gridSpan w:val="3"/>
            <w:shd w:val="clear" w:color="auto" w:fill="CCEEFF"/>
          </w:tcPr>
          <w:p>
            <w:pPr>
              <w:jc w:val="right"/>
              <w:ind w:right="38"/>
              <w:spacing w:after="0"/>
              <w:rPr>
                <w:sz w:val="20"/>
                <w:szCs w:val="20"/>
                <w:color w:val="auto"/>
              </w:rPr>
            </w:pPr>
            <w:r>
              <w:rPr>
                <w:rFonts w:ascii="Arial" w:cs="Arial" w:eastAsia="Arial" w:hAnsi="Arial"/>
                <w:sz w:val="8"/>
                <w:szCs w:val="8"/>
                <w:color w:val="auto"/>
              </w:rPr>
              <w:t>— ​​​</w:t>
            </w:r>
          </w:p>
        </w:tc>
        <w:tc>
          <w:tcPr>
            <w:tcW w:w="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120" w:type="dxa"/>
            <w:vAlign w:val="bottom"/>
            <w:gridSpan w:val="4"/>
            <w:shd w:val="clear" w:color="auto" w:fill="CCEEFF"/>
          </w:tcPr>
          <w:p>
            <w:pPr>
              <w:jc w:val="right"/>
              <w:ind w:right="57"/>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tcBorders>
              <w:right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gridSpan w:val="3"/>
            <w:shd w:val="clear" w:color="auto" w:fill="CCEEFF"/>
          </w:tcPr>
          <w:p>
            <w:pPr>
              <w:jc w:val="right"/>
              <w:ind w:right="15"/>
              <w:spacing w:after="0"/>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8"/>
                <w:szCs w:val="8"/>
                <w:color w:val="auto"/>
              </w:rPr>
              <w:t>(620)</w:t>
            </w:r>
          </w:p>
        </w:tc>
        <w:tc>
          <w:tcPr>
            <w:tcW w:w="120" w:type="dxa"/>
            <w:vAlign w:val="bottom"/>
            <w:gridSpan w:val="3"/>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8"/>
                <w:szCs w:val="8"/>
                <w:color w:val="auto"/>
              </w:rPr>
              <w:t>​ ​​</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center"/>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(895)</w:t>
            </w:r>
          </w:p>
        </w:tc>
        <w:tc>
          <w:tcPr>
            <w:tcW w:w="200" w:type="dxa"/>
            <w:vAlign w:val="bottom"/>
            <w:tcBorders>
              <w:left w:val="single" w:sz="8" w:color="CCEEFF"/>
            </w:tcBorders>
            <w:gridSpan w:val="3"/>
            <w:shd w:val="clear" w:color="auto" w:fill="CCEEFF"/>
          </w:tcPr>
          <w:p>
            <w:pPr>
              <w:ind w:left="60"/>
              <w:spacing w:after="0"/>
              <w:rPr>
                <w:sz w:val="20"/>
                <w:szCs w:val="20"/>
                <w:color w:val="auto"/>
              </w:rPr>
            </w:pPr>
            <w:r>
              <w:rPr>
                <w:rFonts w:ascii="Arial" w:cs="Arial" w:eastAsia="Arial" w:hAnsi="Arial"/>
                <w:sz w:val="8"/>
                <w:szCs w:val="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7"/>
        </w:trPr>
        <w:tc>
          <w:tcPr>
            <w:tcW w:w="2440" w:type="dxa"/>
            <w:vAlign w:val="bottom"/>
          </w:tcPr>
          <w:p>
            <w:pPr>
              <w:spacing w:after="0" w:line="88" w:lineRule="exact"/>
              <w:rPr>
                <w:sz w:val="20"/>
                <w:szCs w:val="20"/>
                <w:color w:val="auto"/>
              </w:rPr>
            </w:pPr>
            <w:r>
              <w:rPr>
                <w:rFonts w:ascii="Arial" w:cs="Arial" w:eastAsia="Arial" w:hAnsi="Arial"/>
                <w:sz w:val="8"/>
                <w:szCs w:val="8"/>
                <w:color w:val="auto"/>
              </w:rPr>
              <w:t>Repurchase of unvested restricted share awards</w:t>
            </w:r>
          </w:p>
        </w:tc>
        <w:tc>
          <w:tcPr>
            <w:tcW w:w="140" w:type="dxa"/>
            <w:vAlign w:val="bottom"/>
            <w:gridSpan w:val="5"/>
          </w:tcPr>
          <w:p>
            <w:pPr>
              <w:ind w:left="20"/>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ind w:right="5"/>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7"/>
                <w:szCs w:val="7"/>
                <w:color w:val="auto"/>
              </w:rPr>
            </w:pPr>
          </w:p>
        </w:tc>
        <w:tc>
          <w:tcPr>
            <w:tcW w:w="260" w:type="dxa"/>
            <w:vAlign w:val="bottom"/>
            <w:gridSpan w:val="6"/>
          </w:tcPr>
          <w:p>
            <w:pPr>
              <w:jc w:val="right"/>
              <w:ind w:right="3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ind w:right="5"/>
              <w:spacing w:after="0" w:line="88" w:lineRule="exact"/>
              <w:rPr>
                <w:sz w:val="20"/>
                <w:szCs w:val="20"/>
                <w:color w:val="auto"/>
              </w:rPr>
            </w:pPr>
            <w:r>
              <w:rPr>
                <w:rFonts w:ascii="Arial" w:cs="Arial" w:eastAsia="Arial" w:hAnsi="Arial"/>
                <w:sz w:val="8"/>
                <w:szCs w:val="8"/>
                <w:color w:val="auto"/>
              </w:rPr>
              <w:t>—​​​​</w:t>
            </w:r>
          </w:p>
        </w:tc>
        <w:tc>
          <w:tcPr>
            <w:tcW w:w="220" w:type="dxa"/>
            <w:vAlign w:val="bottom"/>
          </w:tcPr>
          <w:p>
            <w:pPr>
              <w:spacing w:after="0" w:line="88" w:lineRule="exact"/>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3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ind w:right="13"/>
              <w:spacing w:after="0" w:line="88" w:lineRule="exact"/>
              <w:rPr>
                <w:sz w:val="20"/>
                <w:szCs w:val="20"/>
                <w:color w:val="auto"/>
              </w:rPr>
            </w:pPr>
            <w:r>
              <w:rPr>
                <w:rFonts w:ascii="Arial" w:cs="Arial" w:eastAsia="Arial" w:hAnsi="Arial"/>
                <w:sz w:val="8"/>
                <w:szCs w:val="8"/>
                <w:color w:val="auto"/>
              </w:rPr>
              <w:t>—​​​​ ​</w:t>
            </w:r>
          </w:p>
        </w:tc>
        <w:tc>
          <w:tcPr>
            <w:tcW w:w="160" w:type="dxa"/>
            <w:vAlign w:val="bottom"/>
          </w:tcPr>
          <w:p>
            <w:pPr>
              <w:spacing w:after="0"/>
              <w:rPr>
                <w:sz w:val="7"/>
                <w:szCs w:val="7"/>
                <w:color w:val="auto"/>
              </w:rPr>
            </w:pPr>
          </w:p>
        </w:tc>
        <w:tc>
          <w:tcPr>
            <w:tcW w:w="280" w:type="dxa"/>
            <w:vAlign w:val="bottom"/>
            <w:gridSpan w:val="5"/>
          </w:tcPr>
          <w:p>
            <w:pPr>
              <w:jc w:val="right"/>
              <w:ind w:right="57"/>
              <w:spacing w:after="0" w:line="88" w:lineRule="exact"/>
              <w:rPr>
                <w:sz w:val="20"/>
                <w:szCs w:val="20"/>
                <w:color w:val="auto"/>
              </w:rPr>
            </w:pPr>
            <w:r>
              <w:rPr>
                <w:rFonts w:ascii="Arial" w:cs="Arial" w:eastAsia="Arial" w:hAnsi="Arial"/>
                <w:sz w:val="8"/>
                <w:szCs w:val="8"/>
                <w:color w:val="auto"/>
              </w:rPr>
              <w:t>—​​​ ​</w:t>
            </w:r>
          </w:p>
        </w:tc>
        <w:tc>
          <w:tcPr>
            <w:tcW w:w="20" w:type="dxa"/>
            <w:vAlign w:val="bottom"/>
          </w:tcPr>
          <w:p>
            <w:pPr>
              <w:spacing w:after="0"/>
              <w:rPr>
                <w:sz w:val="7"/>
                <w:szCs w:val="7"/>
                <w:color w:val="auto"/>
              </w:rPr>
            </w:pPr>
          </w:p>
        </w:tc>
        <w:tc>
          <w:tcPr>
            <w:tcW w:w="340" w:type="dxa"/>
            <w:vAlign w:val="bottom"/>
            <w:gridSpan w:val="4"/>
          </w:tcPr>
          <w:p>
            <w:pPr>
              <w:jc w:val="right"/>
              <w:ind w:right="13"/>
              <w:spacing w:after="0" w:line="88" w:lineRule="exact"/>
              <w:rPr>
                <w:sz w:val="20"/>
                <w:szCs w:val="20"/>
                <w:color w:val="auto"/>
              </w:rPr>
            </w:pPr>
            <w:r>
              <w:rPr>
                <w:rFonts w:ascii="Arial" w:cs="Arial" w:eastAsia="Arial" w:hAnsi="Arial"/>
                <w:sz w:val="8"/>
                <w:szCs w:val="8"/>
                <w:color w:val="auto"/>
              </w:rPr>
              <w:t>— ​​​​</w:t>
            </w: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80" w:type="dxa"/>
            <w:vAlign w:val="bottom"/>
            <w:gridSpan w:val="3"/>
          </w:tcPr>
          <w:p>
            <w:pPr>
              <w:jc w:val="right"/>
              <w:ind w:right="38"/>
              <w:spacing w:after="0" w:line="88" w:lineRule="exact"/>
              <w:rPr>
                <w:sz w:val="20"/>
                <w:szCs w:val="20"/>
                <w:color w:val="auto"/>
              </w:rPr>
            </w:pPr>
            <w:r>
              <w:rPr>
                <w:rFonts w:ascii="Arial" w:cs="Arial" w:eastAsia="Arial" w:hAnsi="Arial"/>
                <w:sz w:val="8"/>
                <w:szCs w:val="8"/>
                <w:color w:val="auto"/>
              </w:rPr>
              <w:t>— ​​​</w:t>
            </w:r>
          </w:p>
        </w:tc>
        <w:tc>
          <w:tcPr>
            <w:tcW w:w="220" w:type="dxa"/>
            <w:vAlign w:val="bottom"/>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tcPr>
          <w:p>
            <w:pPr>
              <w:spacing w:after="0"/>
              <w:rPr>
                <w:sz w:val="7"/>
                <w:szCs w:val="7"/>
                <w:color w:val="auto"/>
              </w:rPr>
            </w:pPr>
          </w:p>
        </w:tc>
        <w:tc>
          <w:tcPr>
            <w:tcW w:w="4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gridSpan w:val="3"/>
          </w:tcPr>
          <w:p>
            <w:pPr>
              <w:jc w:val="right"/>
              <w:ind w:right="240"/>
              <w:spacing w:after="0" w:line="88" w:lineRule="exact"/>
              <w:rPr>
                <w:sz w:val="20"/>
                <w:szCs w:val="20"/>
                <w:color w:val="auto"/>
              </w:rPr>
            </w:pPr>
            <w:r>
              <w:rPr>
                <w:rFonts w:ascii="Arial" w:cs="Arial" w:eastAsia="Arial" w:hAnsi="Arial"/>
                <w:sz w:val="8"/>
                <w:szCs w:val="8"/>
                <w:color w:val="auto"/>
              </w:rPr>
              <w:t>—</w:t>
            </w:r>
          </w:p>
        </w:tc>
        <w:tc>
          <w:tcPr>
            <w:tcW w:w="100" w:type="dxa"/>
            <w:vAlign w:val="bottom"/>
          </w:tcPr>
          <w:p>
            <w:pPr>
              <w:ind w:left="2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4"/>
          </w:tcPr>
          <w:p>
            <w:pPr>
              <w:jc w:val="right"/>
              <w:ind w:right="57"/>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38"/>
              <w:spacing w:after="0" w:line="88" w:lineRule="exact"/>
              <w:rPr>
                <w:sz w:val="20"/>
                <w:szCs w:val="20"/>
                <w:color w:val="auto"/>
              </w:rPr>
            </w:pPr>
            <w:r>
              <w:rPr>
                <w:rFonts w:ascii="Arial" w:cs="Arial" w:eastAsia="Arial" w:hAnsi="Arial"/>
                <w:sz w:val="8"/>
                <w:szCs w:val="8"/>
                <w:color w:val="auto"/>
              </w:rPr>
              <w:t>(450​​​)</w:t>
            </w:r>
          </w:p>
        </w:tc>
        <w:tc>
          <w:tcPr>
            <w:tcW w:w="60" w:type="dxa"/>
            <w:vAlign w:val="bottom"/>
          </w:tcPr>
          <w:p>
            <w:pPr>
              <w:spacing w:after="0" w:line="88" w:lineRule="exact"/>
              <w:rPr>
                <w:sz w:val="20"/>
                <w:szCs w:val="20"/>
                <w:color w:val="auto"/>
              </w:rPr>
            </w:pPr>
            <w:r>
              <w:rPr>
                <w:rFonts w:ascii="Arial" w:cs="Arial" w:eastAsia="Arial" w:hAnsi="Arial"/>
                <w:sz w:val="8"/>
                <w:szCs w:val="8"/>
                <w:color w:val="auto"/>
              </w:rPr>
              <w:t>​</w:t>
            </w:r>
          </w:p>
        </w:tc>
        <w:tc>
          <w:tcPr>
            <w:tcW w:w="140" w:type="dxa"/>
            <w:vAlign w:val="bottom"/>
            <w:gridSpan w:val="3"/>
          </w:tcPr>
          <w:p>
            <w:pPr>
              <w:jc w:val="right"/>
              <w:ind w:right="15"/>
              <w:spacing w:after="0" w:line="88" w:lineRule="exact"/>
              <w:rPr>
                <w:sz w:val="20"/>
                <w:szCs w:val="20"/>
                <w:color w:val="auto"/>
              </w:rPr>
            </w:pPr>
            <w:r>
              <w:rPr>
                <w:rFonts w:ascii="Arial" w:cs="Arial" w:eastAsia="Arial" w:hAnsi="Arial"/>
                <w:sz w:val="8"/>
                <w:szCs w:val="8"/>
                <w:color w:val="auto"/>
              </w:rPr>
              <w:t>​—</w:t>
            </w:r>
          </w:p>
        </w:tc>
        <w:tc>
          <w:tcPr>
            <w:tcW w:w="220" w:type="dxa"/>
            <w:vAlign w:val="bottom"/>
            <w:gridSpan w:val="4"/>
          </w:tcPr>
          <w:p>
            <w:pPr>
              <w:ind w:left="80"/>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ind w:left="40"/>
              <w:spacing w:after="0" w:line="88" w:lineRule="exact"/>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(6)</w:t>
            </w:r>
          </w:p>
        </w:tc>
        <w:tc>
          <w:tcPr>
            <w:tcW w:w="120" w:type="dxa"/>
            <w:vAlign w:val="bottom"/>
            <w:gridSpan w:val="3"/>
          </w:tcPr>
          <w:p>
            <w:pPr>
              <w:jc w:val="right"/>
              <w:ind w:right="18"/>
              <w:spacing w:after="0" w:line="88" w:lineRule="exact"/>
              <w:rPr>
                <w:sz w:val="20"/>
                <w:szCs w:val="20"/>
                <w:color w:val="auto"/>
              </w:rPr>
            </w:pPr>
            <w:r>
              <w:rPr>
                <w:rFonts w:ascii="Arial" w:cs="Arial" w:eastAsia="Arial" w:hAnsi="Arial"/>
                <w:sz w:val="8"/>
                <w:szCs w:val="8"/>
                <w:color w:val="auto"/>
              </w:rPr>
              <w:t>​​​</w:t>
            </w:r>
          </w:p>
        </w:tc>
        <w:tc>
          <w:tcPr>
            <w:tcW w:w="180" w:type="dxa"/>
            <w:vAlign w:val="bottom"/>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c>
          <w:tcPr>
            <w:tcW w:w="380" w:type="dxa"/>
            <w:vAlign w:val="bottom"/>
            <w:gridSpan w:val="2"/>
          </w:tcPr>
          <w:p>
            <w:pPr>
              <w:jc w:val="right"/>
              <w:ind w:right="178"/>
              <w:spacing w:after="0" w:line="88" w:lineRule="exact"/>
              <w:rPr>
                <w:sz w:val="20"/>
                <w:szCs w:val="20"/>
                <w:color w:val="auto"/>
              </w:rPr>
            </w:pPr>
            <w:r>
              <w:rPr>
                <w:rFonts w:ascii="Arial" w:cs="Arial" w:eastAsia="Arial" w:hAnsi="Arial"/>
                <w:sz w:val="8"/>
                <w:szCs w:val="8"/>
                <w:color w:val="auto"/>
              </w:rPr>
              <w:t>—</w:t>
            </w:r>
          </w:p>
        </w:tc>
        <w:tc>
          <w:tcPr>
            <w:tcW w:w="160" w:type="dxa"/>
            <w:vAlign w:val="bottom"/>
            <w:gridSpan w:val="2"/>
          </w:tcPr>
          <w:p>
            <w:pPr>
              <w:jc w:val="right"/>
              <w:ind w:right="18"/>
              <w:spacing w:after="0" w:line="88" w:lineRule="exact"/>
              <w:rPr>
                <w:sz w:val="20"/>
                <w:szCs w:val="20"/>
                <w:color w:val="auto"/>
              </w:rPr>
            </w:pPr>
            <w:r>
              <w:rPr>
                <w:rFonts w:ascii="Arial" w:cs="Arial" w:eastAsia="Arial" w:hAnsi="Arial"/>
                <w:sz w:val="8"/>
                <w:szCs w:val="8"/>
                <w:color w:val="auto"/>
              </w:rPr>
              <w:t>​ ​​</w:t>
            </w:r>
          </w:p>
        </w:tc>
        <w:tc>
          <w:tcPr>
            <w:tcW w:w="6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jc w:val="center"/>
              <w:spacing w:after="0" w:line="8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00" w:type="dxa"/>
            <w:vAlign w:val="bottom"/>
            <w:gridSpan w:val="3"/>
          </w:tcPr>
          <w:p>
            <w:pPr>
              <w:ind w:left="6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2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0"/>
        </w:trPr>
        <w:tc>
          <w:tcPr>
            <w:tcW w:w="2880" w:type="dxa"/>
            <w:vAlign w:val="bottom"/>
            <w:gridSpan w:val="8"/>
            <w:shd w:val="clear" w:color="auto" w:fill="CCEEFF"/>
          </w:tcPr>
          <w:p>
            <w:pPr>
              <w:spacing w:after="0"/>
              <w:rPr>
                <w:sz w:val="20"/>
                <w:szCs w:val="20"/>
                <w:color w:val="auto"/>
              </w:rPr>
            </w:pPr>
            <w:r>
              <w:rPr>
                <w:rFonts w:ascii="Arial" w:cs="Arial" w:eastAsia="Arial" w:hAnsi="Arial"/>
                <w:sz w:val="8"/>
                <w:szCs w:val="8"/>
                <w:color w:val="auto"/>
              </w:rPr>
              <w:t>Issuance of ordinary share upon exercise of vested share</w:t>
            </w: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42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4"/>
            <w:shd w:val="clear" w:color="auto" w:fill="CCEEFF"/>
          </w:tcPr>
          <w:p>
            <w:pPr>
              <w:spacing w:after="0"/>
              <w:rPr>
                <w:sz w:val="8"/>
                <w:szCs w:val="8"/>
                <w:color w:val="auto"/>
              </w:rPr>
            </w:pPr>
          </w:p>
        </w:tc>
        <w:tc>
          <w:tcPr>
            <w:tcW w:w="40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20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tcBorders>
            <w:gridSpan w:val="2"/>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0" w:type="dxa"/>
            <w:vAlign w:val="bottom"/>
            <w:tcBorders>
              <w:right w:val="single" w:sz="8" w:color="CCEEFF"/>
            </w:tcBorders>
            <w:gridSpan w:val="6"/>
            <w:shd w:val="clear" w:color="auto" w:fill="CCEEFF"/>
          </w:tcPr>
          <w:p>
            <w:pPr>
              <w:spacing w:after="0"/>
              <w:rPr>
                <w:sz w:val="8"/>
                <w:szCs w:val="8"/>
                <w:color w:val="auto"/>
              </w:rPr>
            </w:pPr>
          </w:p>
        </w:tc>
        <w:tc>
          <w:tcPr>
            <w:tcW w:w="440" w:type="dxa"/>
            <w:vAlign w:val="bottom"/>
            <w:tcBorders>
              <w:right w:val="single" w:sz="8" w:color="CCEEFF"/>
            </w:tcBorders>
            <w:gridSpan w:val="6"/>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tcBorders>
              <w:left w:val="single" w:sz="8" w:color="CCEEFF"/>
            </w:tcBorders>
            <w:gridSpan w:val="7"/>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4"/>
            <w:shd w:val="clear" w:color="auto" w:fill="CCEEFF"/>
          </w:tcPr>
          <w:p>
            <w:pPr>
              <w:spacing w:after="0"/>
              <w:rPr>
                <w:sz w:val="8"/>
                <w:szCs w:val="8"/>
                <w:color w:val="auto"/>
              </w:rPr>
            </w:pPr>
          </w:p>
        </w:tc>
        <w:tc>
          <w:tcPr>
            <w:tcW w:w="60" w:type="dxa"/>
            <w:vAlign w:val="bottom"/>
            <w:gridSpan w:val="2"/>
            <w:shd w:val="clear" w:color="auto" w:fill="CCEEFF"/>
          </w:tcPr>
          <w:p>
            <w:pPr>
              <w:spacing w:after="0"/>
              <w:rPr>
                <w:sz w:val="8"/>
                <w:szCs w:val="8"/>
                <w:color w:val="auto"/>
              </w:rPr>
            </w:pPr>
          </w:p>
        </w:tc>
        <w:tc>
          <w:tcPr>
            <w:tcW w:w="24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00" w:type="dxa"/>
            <w:vAlign w:val="bottom"/>
            <w:tcBorders>
              <w:right w:val="single" w:sz="8" w:color="CCEEFF"/>
            </w:tcBorders>
            <w:gridSpan w:val="4"/>
            <w:shd w:val="clear" w:color="auto" w:fill="CCEEFF"/>
          </w:tcPr>
          <w:p>
            <w:pPr>
              <w:spacing w:after="0"/>
              <w:rPr>
                <w:sz w:val="8"/>
                <w:szCs w:val="8"/>
                <w:color w:val="auto"/>
              </w:rPr>
            </w:pPr>
          </w:p>
        </w:tc>
        <w:tc>
          <w:tcPr>
            <w:tcW w:w="260" w:type="dxa"/>
            <w:vAlign w:val="bottom"/>
            <w:gridSpan w:val="2"/>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00" w:type="dxa"/>
            <w:vAlign w:val="bottom"/>
            <w:tcBorders>
              <w:righ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left w:val="single" w:sz="8" w:color="CCEEFF"/>
            </w:tcBorders>
            <w:gridSpan w:val="2"/>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40" w:type="dxa"/>
            <w:vAlign w:val="bottom"/>
            <w:shd w:val="clear" w:color="auto" w:fill="CCEEFF"/>
          </w:tcPr>
          <w:p>
            <w:pPr>
              <w:ind w:left="100"/>
              <w:spacing w:after="0"/>
              <w:rPr>
                <w:sz w:val="20"/>
                <w:szCs w:val="20"/>
                <w:color w:val="auto"/>
              </w:rPr>
            </w:pPr>
            <w:r>
              <w:rPr>
                <w:rFonts w:ascii="Arial" w:cs="Arial" w:eastAsia="Arial" w:hAnsi="Arial"/>
                <w:sz w:val="8"/>
                <w:szCs w:val="8"/>
                <w:color w:val="auto"/>
              </w:rPr>
              <w:t>options</w:t>
            </w:r>
          </w:p>
        </w:tc>
        <w:tc>
          <w:tcPr>
            <w:tcW w:w="140" w:type="dxa"/>
            <w:vAlign w:val="bottom"/>
            <w:gridSpan w:val="5"/>
            <w:shd w:val="clear" w:color="auto" w:fill="CCEEFF"/>
          </w:tcPr>
          <w:p>
            <w:pPr>
              <w:ind w:left="20"/>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shd w:val="clear" w:color="auto" w:fill="CCEEFF"/>
          </w:tcPr>
          <w:p>
            <w:pPr>
              <w:jc w:val="right"/>
              <w:ind w:right="5"/>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spacing w:after="0"/>
              <w:rPr>
                <w:sz w:val="9"/>
                <w:szCs w:val="9"/>
                <w:color w:val="auto"/>
              </w:rPr>
            </w:pPr>
          </w:p>
        </w:tc>
        <w:tc>
          <w:tcPr>
            <w:tcW w:w="260" w:type="dxa"/>
            <w:vAlign w:val="bottom"/>
            <w:gridSpan w:val="6"/>
            <w:shd w:val="clear" w:color="auto" w:fill="CCEEFF"/>
          </w:tcPr>
          <w:p>
            <w:pPr>
              <w:jc w:val="right"/>
              <w:ind w:right="3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shd w:val="clear" w:color="auto" w:fill="CCEEFF"/>
          </w:tcPr>
          <w:p>
            <w:pPr>
              <w:jc w:val="right"/>
              <w:ind w:right="5"/>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3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shd w:val="clear" w:color="auto" w:fill="CCEEFF"/>
          </w:tcPr>
          <w:p>
            <w:pPr>
              <w:jc w:val="right"/>
              <w:ind w:right="13"/>
              <w:spacing w:after="0"/>
              <w:rPr>
                <w:sz w:val="20"/>
                <w:szCs w:val="20"/>
                <w:color w:val="auto"/>
              </w:rPr>
            </w:pPr>
            <w:r>
              <w:rPr>
                <w:rFonts w:ascii="Arial" w:cs="Arial" w:eastAsia="Arial" w:hAnsi="Arial"/>
                <w:sz w:val="8"/>
                <w:szCs w:val="8"/>
                <w:color w:val="auto"/>
              </w:rPr>
              <w:t>—​​​​ ​</w:t>
            </w:r>
          </w:p>
        </w:tc>
        <w:tc>
          <w:tcPr>
            <w:tcW w:w="160" w:type="dxa"/>
            <w:vAlign w:val="bottom"/>
            <w:shd w:val="clear" w:color="auto" w:fill="CCEEFF"/>
          </w:tcPr>
          <w:p>
            <w:pPr>
              <w:spacing w:after="0"/>
              <w:rPr>
                <w:sz w:val="9"/>
                <w:szCs w:val="9"/>
                <w:color w:val="auto"/>
              </w:rPr>
            </w:pPr>
          </w:p>
        </w:tc>
        <w:tc>
          <w:tcPr>
            <w:tcW w:w="280" w:type="dxa"/>
            <w:vAlign w:val="bottom"/>
            <w:tcBorders>
              <w:right w:val="single" w:sz="8" w:color="CCEEFF"/>
            </w:tcBorders>
            <w:gridSpan w:val="5"/>
            <w:shd w:val="clear" w:color="auto" w:fill="CCEEFF"/>
          </w:tcPr>
          <w:p>
            <w:pPr>
              <w:jc w:val="right"/>
              <w:ind w:right="57"/>
              <w:spacing w:after="0"/>
              <w:rPr>
                <w:sz w:val="20"/>
                <w:szCs w:val="20"/>
                <w:color w:val="auto"/>
              </w:rPr>
            </w:pPr>
            <w:r>
              <w:rPr>
                <w:rFonts w:ascii="Arial" w:cs="Arial" w:eastAsia="Arial" w:hAnsi="Arial"/>
                <w:sz w:val="8"/>
                <w:szCs w:val="8"/>
                <w:color w:val="auto"/>
              </w:rPr>
              <w:t>—​​​ ​</w:t>
            </w:r>
          </w:p>
        </w:tc>
        <w:tc>
          <w:tcPr>
            <w:tcW w:w="2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left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8"/>
                <w:szCs w:val="8"/>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280" w:type="dxa"/>
            <w:vAlign w:val="bottom"/>
            <w:gridSpan w:val="3"/>
            <w:shd w:val="clear" w:color="auto" w:fill="CCEEFF"/>
          </w:tcPr>
          <w:p>
            <w:pPr>
              <w:jc w:val="right"/>
              <w:ind w:right="38"/>
              <w:spacing w:after="0"/>
              <w:rPr>
                <w:sz w:val="20"/>
                <w:szCs w:val="20"/>
                <w:color w:val="auto"/>
              </w:rPr>
            </w:pPr>
            <w:r>
              <w:rPr>
                <w:rFonts w:ascii="Arial" w:cs="Arial" w:eastAsia="Arial" w:hAnsi="Arial"/>
                <w:sz w:val="8"/>
                <w:szCs w:val="8"/>
                <w:color w:val="auto"/>
              </w:rPr>
              <w:t>— ​​​</w:t>
            </w:r>
          </w:p>
        </w:tc>
        <w:tc>
          <w:tcPr>
            <w:tcW w:w="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120" w:type="dxa"/>
            <w:vAlign w:val="bottom"/>
            <w:gridSpan w:val="4"/>
            <w:shd w:val="clear" w:color="auto" w:fill="CCEEFF"/>
          </w:tcPr>
          <w:p>
            <w:pPr>
              <w:jc w:val="right"/>
              <w:ind w:right="57"/>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tcBorders>
              <w:right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8"/>
                <w:szCs w:val="8"/>
                <w:color w:val="auto"/>
              </w:rPr>
              <w:t>83​​​</w:t>
            </w: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gridSpan w:val="3"/>
            <w:shd w:val="clear" w:color="auto" w:fill="CCEEFF"/>
          </w:tcPr>
          <w:p>
            <w:pPr>
              <w:jc w:val="right"/>
              <w:ind w:right="15"/>
              <w:spacing w:after="0"/>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33</w:t>
            </w:r>
          </w:p>
        </w:tc>
        <w:tc>
          <w:tcPr>
            <w:tcW w:w="120" w:type="dxa"/>
            <w:vAlign w:val="bottom"/>
            <w:gridSpan w:val="3"/>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8"/>
                <w:szCs w:val="8"/>
                <w:color w:val="auto"/>
              </w:rPr>
              <w:t>​ ​​</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center"/>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left w:val="single" w:sz="8" w:color="CCEEFF"/>
            </w:tcBorders>
            <w:gridSpan w:val="3"/>
            <w:shd w:val="clear" w:color="auto" w:fill="CCEEFF"/>
          </w:tcPr>
          <w:p>
            <w:pPr>
              <w:ind w:left="60"/>
              <w:spacing w:after="0"/>
              <w:rPr>
                <w:sz w:val="20"/>
                <w:szCs w:val="20"/>
                <w:color w:val="auto"/>
              </w:rPr>
            </w:pPr>
            <w:r>
              <w:rPr>
                <w:rFonts w:ascii="Arial" w:cs="Arial" w:eastAsia="Arial" w:hAnsi="Arial"/>
                <w:sz w:val="8"/>
                <w:szCs w:val="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7"/>
        </w:trPr>
        <w:tc>
          <w:tcPr>
            <w:tcW w:w="2440" w:type="dxa"/>
            <w:vAlign w:val="bottom"/>
          </w:tcPr>
          <w:p>
            <w:pPr>
              <w:spacing w:after="0" w:line="88" w:lineRule="exact"/>
              <w:rPr>
                <w:sz w:val="20"/>
                <w:szCs w:val="20"/>
                <w:color w:val="auto"/>
              </w:rPr>
            </w:pPr>
            <w:r>
              <w:rPr>
                <w:rFonts w:ascii="Arial" w:cs="Arial" w:eastAsia="Arial" w:hAnsi="Arial"/>
                <w:sz w:val="8"/>
                <w:szCs w:val="8"/>
                <w:color w:val="auto"/>
              </w:rPr>
              <w:t>Share-based compensation expense</w:t>
            </w:r>
          </w:p>
        </w:tc>
        <w:tc>
          <w:tcPr>
            <w:tcW w:w="140" w:type="dxa"/>
            <w:vAlign w:val="bottom"/>
            <w:gridSpan w:val="5"/>
          </w:tcPr>
          <w:p>
            <w:pPr>
              <w:ind w:left="20"/>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ind w:right="5"/>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7"/>
                <w:szCs w:val="7"/>
                <w:color w:val="auto"/>
              </w:rPr>
            </w:pPr>
          </w:p>
        </w:tc>
        <w:tc>
          <w:tcPr>
            <w:tcW w:w="260" w:type="dxa"/>
            <w:vAlign w:val="bottom"/>
            <w:gridSpan w:val="6"/>
          </w:tcPr>
          <w:p>
            <w:pPr>
              <w:jc w:val="right"/>
              <w:ind w:right="3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ind w:right="5"/>
              <w:spacing w:after="0" w:line="88" w:lineRule="exact"/>
              <w:rPr>
                <w:sz w:val="20"/>
                <w:szCs w:val="20"/>
                <w:color w:val="auto"/>
              </w:rPr>
            </w:pPr>
            <w:r>
              <w:rPr>
                <w:rFonts w:ascii="Arial" w:cs="Arial" w:eastAsia="Arial" w:hAnsi="Arial"/>
                <w:sz w:val="8"/>
                <w:szCs w:val="8"/>
                <w:color w:val="auto"/>
              </w:rPr>
              <w:t>—​​​​</w:t>
            </w:r>
          </w:p>
        </w:tc>
        <w:tc>
          <w:tcPr>
            <w:tcW w:w="220" w:type="dxa"/>
            <w:vAlign w:val="bottom"/>
          </w:tcPr>
          <w:p>
            <w:pPr>
              <w:spacing w:after="0" w:line="88" w:lineRule="exact"/>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3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ind w:right="13"/>
              <w:spacing w:after="0" w:line="88" w:lineRule="exact"/>
              <w:rPr>
                <w:sz w:val="20"/>
                <w:szCs w:val="20"/>
                <w:color w:val="auto"/>
              </w:rPr>
            </w:pPr>
            <w:r>
              <w:rPr>
                <w:rFonts w:ascii="Arial" w:cs="Arial" w:eastAsia="Arial" w:hAnsi="Arial"/>
                <w:sz w:val="8"/>
                <w:szCs w:val="8"/>
                <w:color w:val="auto"/>
              </w:rPr>
              <w:t>—​​​​ ​</w:t>
            </w:r>
          </w:p>
        </w:tc>
        <w:tc>
          <w:tcPr>
            <w:tcW w:w="160" w:type="dxa"/>
            <w:vAlign w:val="bottom"/>
          </w:tcPr>
          <w:p>
            <w:pPr>
              <w:spacing w:after="0"/>
              <w:rPr>
                <w:sz w:val="7"/>
                <w:szCs w:val="7"/>
                <w:color w:val="auto"/>
              </w:rPr>
            </w:pPr>
          </w:p>
        </w:tc>
        <w:tc>
          <w:tcPr>
            <w:tcW w:w="280" w:type="dxa"/>
            <w:vAlign w:val="bottom"/>
            <w:gridSpan w:val="5"/>
          </w:tcPr>
          <w:p>
            <w:pPr>
              <w:jc w:val="right"/>
              <w:ind w:right="57"/>
              <w:spacing w:after="0" w:line="88" w:lineRule="exact"/>
              <w:rPr>
                <w:sz w:val="20"/>
                <w:szCs w:val="20"/>
                <w:color w:val="auto"/>
              </w:rPr>
            </w:pPr>
            <w:r>
              <w:rPr>
                <w:rFonts w:ascii="Arial" w:cs="Arial" w:eastAsia="Arial" w:hAnsi="Arial"/>
                <w:sz w:val="8"/>
                <w:szCs w:val="8"/>
                <w:color w:val="auto"/>
              </w:rPr>
              <w:t>—​​​ ​</w:t>
            </w:r>
          </w:p>
        </w:tc>
        <w:tc>
          <w:tcPr>
            <w:tcW w:w="20" w:type="dxa"/>
            <w:vAlign w:val="bottom"/>
          </w:tcPr>
          <w:p>
            <w:pPr>
              <w:spacing w:after="0"/>
              <w:rPr>
                <w:sz w:val="7"/>
                <w:szCs w:val="7"/>
                <w:color w:val="auto"/>
              </w:rPr>
            </w:pPr>
          </w:p>
        </w:tc>
        <w:tc>
          <w:tcPr>
            <w:tcW w:w="340" w:type="dxa"/>
            <w:vAlign w:val="bottom"/>
            <w:gridSpan w:val="4"/>
          </w:tcPr>
          <w:p>
            <w:pPr>
              <w:jc w:val="right"/>
              <w:ind w:right="13"/>
              <w:spacing w:after="0" w:line="88" w:lineRule="exact"/>
              <w:rPr>
                <w:sz w:val="20"/>
                <w:szCs w:val="20"/>
                <w:color w:val="auto"/>
              </w:rPr>
            </w:pPr>
            <w:r>
              <w:rPr>
                <w:rFonts w:ascii="Arial" w:cs="Arial" w:eastAsia="Arial" w:hAnsi="Arial"/>
                <w:sz w:val="8"/>
                <w:szCs w:val="8"/>
                <w:color w:val="auto"/>
              </w:rPr>
              <w:t>— ​​​​</w:t>
            </w: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280" w:type="dxa"/>
            <w:vAlign w:val="bottom"/>
            <w:gridSpan w:val="3"/>
          </w:tcPr>
          <w:p>
            <w:pPr>
              <w:jc w:val="right"/>
              <w:ind w:right="38"/>
              <w:spacing w:after="0" w:line="88" w:lineRule="exact"/>
              <w:rPr>
                <w:sz w:val="20"/>
                <w:szCs w:val="20"/>
                <w:color w:val="auto"/>
              </w:rPr>
            </w:pPr>
            <w:r>
              <w:rPr>
                <w:rFonts w:ascii="Arial" w:cs="Arial" w:eastAsia="Arial" w:hAnsi="Arial"/>
                <w:sz w:val="8"/>
                <w:szCs w:val="8"/>
                <w:color w:val="auto"/>
              </w:rPr>
              <w:t>— ​​​</w:t>
            </w:r>
          </w:p>
        </w:tc>
        <w:tc>
          <w:tcPr>
            <w:tcW w:w="220" w:type="dxa"/>
            <w:vAlign w:val="bottom"/>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tcPr>
          <w:p>
            <w:pPr>
              <w:spacing w:after="0"/>
              <w:rPr>
                <w:sz w:val="7"/>
                <w:szCs w:val="7"/>
                <w:color w:val="auto"/>
              </w:rPr>
            </w:pPr>
          </w:p>
        </w:tc>
        <w:tc>
          <w:tcPr>
            <w:tcW w:w="4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gridSpan w:val="3"/>
          </w:tcPr>
          <w:p>
            <w:pPr>
              <w:jc w:val="right"/>
              <w:ind w:right="240"/>
              <w:spacing w:after="0" w:line="88" w:lineRule="exact"/>
              <w:rPr>
                <w:sz w:val="20"/>
                <w:szCs w:val="20"/>
                <w:color w:val="auto"/>
              </w:rPr>
            </w:pPr>
            <w:r>
              <w:rPr>
                <w:rFonts w:ascii="Arial" w:cs="Arial" w:eastAsia="Arial" w:hAnsi="Arial"/>
                <w:sz w:val="8"/>
                <w:szCs w:val="8"/>
                <w:color w:val="auto"/>
              </w:rPr>
              <w:t>—</w:t>
            </w:r>
          </w:p>
        </w:tc>
        <w:tc>
          <w:tcPr>
            <w:tcW w:w="100" w:type="dxa"/>
            <w:vAlign w:val="bottom"/>
          </w:tcPr>
          <w:p>
            <w:pPr>
              <w:ind w:left="2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4"/>
          </w:tcPr>
          <w:p>
            <w:pPr>
              <w:jc w:val="right"/>
              <w:ind w:right="57"/>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38"/>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spacing w:after="0" w:line="88" w:lineRule="exact"/>
              <w:rPr>
                <w:sz w:val="20"/>
                <w:szCs w:val="20"/>
                <w:color w:val="auto"/>
              </w:rPr>
            </w:pPr>
            <w:r>
              <w:rPr>
                <w:rFonts w:ascii="Arial" w:cs="Arial" w:eastAsia="Arial" w:hAnsi="Arial"/>
                <w:sz w:val="8"/>
                <w:szCs w:val="8"/>
                <w:color w:val="auto"/>
              </w:rPr>
              <w:t>​</w:t>
            </w:r>
          </w:p>
        </w:tc>
        <w:tc>
          <w:tcPr>
            <w:tcW w:w="140" w:type="dxa"/>
            <w:vAlign w:val="bottom"/>
            <w:gridSpan w:val="3"/>
          </w:tcPr>
          <w:p>
            <w:pPr>
              <w:jc w:val="right"/>
              <w:ind w:right="15"/>
              <w:spacing w:after="0" w:line="88" w:lineRule="exact"/>
              <w:rPr>
                <w:sz w:val="20"/>
                <w:szCs w:val="20"/>
                <w:color w:val="auto"/>
              </w:rPr>
            </w:pPr>
            <w:r>
              <w:rPr>
                <w:rFonts w:ascii="Arial" w:cs="Arial" w:eastAsia="Arial" w:hAnsi="Arial"/>
                <w:sz w:val="8"/>
                <w:szCs w:val="8"/>
                <w:color w:val="auto"/>
              </w:rPr>
              <w:t>​—</w:t>
            </w:r>
          </w:p>
        </w:tc>
        <w:tc>
          <w:tcPr>
            <w:tcW w:w="220" w:type="dxa"/>
            <w:vAlign w:val="bottom"/>
            <w:gridSpan w:val="4"/>
          </w:tcPr>
          <w:p>
            <w:pPr>
              <w:ind w:left="80"/>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ind w:left="40"/>
              <w:spacing w:after="0" w:line="88" w:lineRule="exact"/>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1,891</w:t>
            </w:r>
          </w:p>
        </w:tc>
        <w:tc>
          <w:tcPr>
            <w:tcW w:w="120" w:type="dxa"/>
            <w:vAlign w:val="bottom"/>
            <w:gridSpan w:val="3"/>
          </w:tcPr>
          <w:p>
            <w:pPr>
              <w:jc w:val="right"/>
              <w:ind w:right="18"/>
              <w:spacing w:after="0" w:line="88" w:lineRule="exact"/>
              <w:rPr>
                <w:sz w:val="20"/>
                <w:szCs w:val="20"/>
                <w:color w:val="auto"/>
              </w:rPr>
            </w:pPr>
            <w:r>
              <w:rPr>
                <w:rFonts w:ascii="Arial" w:cs="Arial" w:eastAsia="Arial" w:hAnsi="Arial"/>
                <w:sz w:val="8"/>
                <w:szCs w:val="8"/>
                <w:color w:val="auto"/>
              </w:rPr>
              <w:t>​​​</w:t>
            </w:r>
          </w:p>
        </w:tc>
        <w:tc>
          <w:tcPr>
            <w:tcW w:w="180" w:type="dxa"/>
            <w:vAlign w:val="bottom"/>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c>
          <w:tcPr>
            <w:tcW w:w="380" w:type="dxa"/>
            <w:vAlign w:val="bottom"/>
            <w:gridSpan w:val="2"/>
          </w:tcPr>
          <w:p>
            <w:pPr>
              <w:jc w:val="right"/>
              <w:ind w:right="178"/>
              <w:spacing w:after="0" w:line="88" w:lineRule="exact"/>
              <w:rPr>
                <w:sz w:val="20"/>
                <w:szCs w:val="20"/>
                <w:color w:val="auto"/>
              </w:rPr>
            </w:pPr>
            <w:r>
              <w:rPr>
                <w:rFonts w:ascii="Arial" w:cs="Arial" w:eastAsia="Arial" w:hAnsi="Arial"/>
                <w:sz w:val="8"/>
                <w:szCs w:val="8"/>
                <w:color w:val="auto"/>
              </w:rPr>
              <w:t>—</w:t>
            </w:r>
          </w:p>
        </w:tc>
        <w:tc>
          <w:tcPr>
            <w:tcW w:w="160" w:type="dxa"/>
            <w:vAlign w:val="bottom"/>
            <w:gridSpan w:val="2"/>
          </w:tcPr>
          <w:p>
            <w:pPr>
              <w:jc w:val="right"/>
              <w:ind w:right="18"/>
              <w:spacing w:after="0" w:line="88" w:lineRule="exact"/>
              <w:rPr>
                <w:sz w:val="20"/>
                <w:szCs w:val="20"/>
                <w:color w:val="auto"/>
              </w:rPr>
            </w:pPr>
            <w:r>
              <w:rPr>
                <w:rFonts w:ascii="Arial" w:cs="Arial" w:eastAsia="Arial" w:hAnsi="Arial"/>
                <w:sz w:val="8"/>
                <w:szCs w:val="8"/>
                <w:color w:val="auto"/>
              </w:rPr>
              <w:t>​ ​​</w:t>
            </w:r>
          </w:p>
        </w:tc>
        <w:tc>
          <w:tcPr>
            <w:tcW w:w="6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jc w:val="center"/>
              <w:spacing w:after="0" w:line="8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00" w:type="dxa"/>
            <w:vAlign w:val="bottom"/>
            <w:gridSpan w:val="3"/>
          </w:tcPr>
          <w:p>
            <w:pPr>
              <w:ind w:left="6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2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7"/>
        </w:trPr>
        <w:tc>
          <w:tcPr>
            <w:tcW w:w="24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Unrealized loss on investments, net</w:t>
            </w:r>
          </w:p>
        </w:tc>
        <w:tc>
          <w:tcPr>
            <w:tcW w:w="140" w:type="dxa"/>
            <w:vAlign w:val="bottom"/>
            <w:gridSpan w:val="5"/>
            <w:shd w:val="clear" w:color="auto" w:fill="CCEEFF"/>
          </w:tcPr>
          <w:p>
            <w:pPr>
              <w:ind w:left="20"/>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shd w:val="clear" w:color="auto" w:fill="CCEEFF"/>
          </w:tcPr>
          <w:p>
            <w:pPr>
              <w:jc w:val="right"/>
              <w:ind w:right="5"/>
              <w:spacing w:after="0" w:line="88"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CCEEFF"/>
          </w:tcPr>
          <w:p>
            <w:pPr>
              <w:spacing w:after="0"/>
              <w:rPr>
                <w:sz w:val="7"/>
                <w:szCs w:val="7"/>
                <w:color w:val="auto"/>
              </w:rPr>
            </w:pPr>
          </w:p>
        </w:tc>
        <w:tc>
          <w:tcPr>
            <w:tcW w:w="260" w:type="dxa"/>
            <w:vAlign w:val="bottom"/>
            <w:gridSpan w:val="6"/>
            <w:shd w:val="clear" w:color="auto" w:fill="CCEEFF"/>
          </w:tcPr>
          <w:p>
            <w:pPr>
              <w:jc w:val="right"/>
              <w:ind w:right="3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shd w:val="clear" w:color="auto" w:fill="CCEEFF"/>
          </w:tcPr>
          <w:p>
            <w:pPr>
              <w:jc w:val="right"/>
              <w:ind w:right="5"/>
              <w:spacing w:after="0" w:line="88"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3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shd w:val="clear" w:color="auto" w:fill="CCEEFF"/>
          </w:tcPr>
          <w:p>
            <w:pPr>
              <w:jc w:val="right"/>
              <w:ind w:right="13"/>
              <w:spacing w:after="0" w:line="88" w:lineRule="exact"/>
              <w:rPr>
                <w:sz w:val="20"/>
                <w:szCs w:val="20"/>
                <w:color w:val="auto"/>
              </w:rPr>
            </w:pPr>
            <w:r>
              <w:rPr>
                <w:rFonts w:ascii="Arial" w:cs="Arial" w:eastAsia="Arial" w:hAnsi="Arial"/>
                <w:sz w:val="8"/>
                <w:szCs w:val="8"/>
                <w:color w:val="auto"/>
              </w:rPr>
              <w:t>—​​​​ ​</w:t>
            </w:r>
          </w:p>
        </w:tc>
        <w:tc>
          <w:tcPr>
            <w:tcW w:w="160" w:type="dxa"/>
            <w:vAlign w:val="bottom"/>
            <w:shd w:val="clear" w:color="auto" w:fill="CCEEFF"/>
          </w:tcPr>
          <w:p>
            <w:pPr>
              <w:spacing w:after="0"/>
              <w:rPr>
                <w:sz w:val="7"/>
                <w:szCs w:val="7"/>
                <w:color w:val="auto"/>
              </w:rPr>
            </w:pPr>
          </w:p>
        </w:tc>
        <w:tc>
          <w:tcPr>
            <w:tcW w:w="280" w:type="dxa"/>
            <w:vAlign w:val="bottom"/>
            <w:tcBorders>
              <w:right w:val="single" w:sz="8" w:color="CCEEFF"/>
            </w:tcBorders>
            <w:gridSpan w:val="5"/>
            <w:shd w:val="clear" w:color="auto" w:fill="CCEEFF"/>
          </w:tcPr>
          <w:p>
            <w:pPr>
              <w:jc w:val="right"/>
              <w:ind w:right="57"/>
              <w:spacing w:after="0" w:line="88" w:lineRule="exact"/>
              <w:rPr>
                <w:sz w:val="20"/>
                <w:szCs w:val="20"/>
                <w:color w:val="auto"/>
              </w:rPr>
            </w:pPr>
            <w:r>
              <w:rPr>
                <w:rFonts w:ascii="Arial" w:cs="Arial" w:eastAsia="Arial" w:hAnsi="Arial"/>
                <w:sz w:val="8"/>
                <w:szCs w:val="8"/>
                <w:color w:val="auto"/>
              </w:rPr>
              <w:t>—​​​ ​</w:t>
            </w:r>
          </w:p>
        </w:tc>
        <w:tc>
          <w:tcPr>
            <w:tcW w:w="20" w:type="dxa"/>
            <w:vAlign w:val="bottom"/>
            <w:shd w:val="clear" w:color="auto" w:fill="CCEEFF"/>
          </w:tcPr>
          <w:p>
            <w:pPr>
              <w:spacing w:after="0"/>
              <w:rPr>
                <w:sz w:val="7"/>
                <w:szCs w:val="7"/>
                <w:color w:val="auto"/>
              </w:rPr>
            </w:pPr>
          </w:p>
        </w:tc>
        <w:tc>
          <w:tcPr>
            <w:tcW w:w="340" w:type="dxa"/>
            <w:vAlign w:val="bottom"/>
            <w:gridSpan w:val="4"/>
            <w:shd w:val="clear" w:color="auto" w:fill="CCEEFF"/>
          </w:tcPr>
          <w:p>
            <w:pPr>
              <w:jc w:val="right"/>
              <w:ind w:right="13"/>
              <w:spacing w:after="0" w:line="88" w:lineRule="exact"/>
              <w:rPr>
                <w:sz w:val="20"/>
                <w:szCs w:val="20"/>
                <w:color w:val="auto"/>
              </w:rPr>
            </w:pPr>
            <w:r>
              <w:rPr>
                <w:rFonts w:ascii="Arial" w:cs="Arial" w:eastAsia="Arial" w:hAnsi="Arial"/>
                <w:sz w:val="8"/>
                <w:szCs w:val="8"/>
                <w:color w:val="auto"/>
              </w:rPr>
              <w:t>— ​​​​</w:t>
            </w:r>
          </w:p>
        </w:tc>
        <w:tc>
          <w:tcPr>
            <w:tcW w:w="100" w:type="dxa"/>
            <w:vAlign w:val="bottom"/>
            <w:tcBorders>
              <w:left w:val="single" w:sz="8" w:color="CCEEFF"/>
            </w:tcBorders>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280" w:type="dxa"/>
            <w:vAlign w:val="bottom"/>
            <w:gridSpan w:val="3"/>
            <w:shd w:val="clear" w:color="auto" w:fill="CCEEFF"/>
          </w:tcPr>
          <w:p>
            <w:pPr>
              <w:jc w:val="right"/>
              <w:ind w:right="38"/>
              <w:spacing w:after="0" w:line="88" w:lineRule="exact"/>
              <w:rPr>
                <w:sz w:val="20"/>
                <w:szCs w:val="20"/>
                <w:color w:val="auto"/>
              </w:rPr>
            </w:pPr>
            <w:r>
              <w:rPr>
                <w:rFonts w:ascii="Arial" w:cs="Arial" w:eastAsia="Arial" w:hAnsi="Arial"/>
                <w:sz w:val="8"/>
                <w:szCs w:val="8"/>
                <w:color w:val="auto"/>
              </w:rPr>
              <w:t>— ​​​</w:t>
            </w:r>
          </w:p>
        </w:tc>
        <w:tc>
          <w:tcPr>
            <w:tcW w:w="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gridSpan w:val="3"/>
            <w:shd w:val="clear" w:color="auto" w:fill="CCEEFF"/>
          </w:tcPr>
          <w:p>
            <w:pPr>
              <w:jc w:val="right"/>
              <w:ind w:right="240"/>
              <w:spacing w:after="0" w:line="88" w:lineRule="exact"/>
              <w:rPr>
                <w:sz w:val="20"/>
                <w:szCs w:val="20"/>
                <w:color w:val="auto"/>
              </w:rPr>
            </w:pPr>
            <w:r>
              <w:rPr>
                <w:rFonts w:ascii="Arial" w:cs="Arial" w:eastAsia="Arial" w:hAnsi="Arial"/>
                <w:sz w:val="8"/>
                <w:szCs w:val="8"/>
                <w:color w:val="auto"/>
              </w:rPr>
              <w:t>—</w:t>
            </w:r>
          </w:p>
        </w:tc>
        <w:tc>
          <w:tcPr>
            <w:tcW w:w="100" w:type="dxa"/>
            <w:vAlign w:val="bottom"/>
            <w:tcBorders>
              <w:right w:val="single" w:sz="8" w:color="CCEEFF"/>
            </w:tcBorders>
            <w:shd w:val="clear" w:color="auto" w:fill="CCEEFF"/>
          </w:tcPr>
          <w:p>
            <w:pPr>
              <w:ind w:left="2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4"/>
            <w:shd w:val="clear" w:color="auto" w:fill="CCEEFF"/>
          </w:tcPr>
          <w:p>
            <w:pPr>
              <w:jc w:val="right"/>
              <w:ind w:right="57"/>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tcBorders>
              <w:right w:val="single" w:sz="8" w:color="CCEEFF"/>
            </w:tcBorders>
            <w:gridSpan w:val="3"/>
            <w:shd w:val="clear" w:color="auto" w:fill="CCEEFF"/>
          </w:tcPr>
          <w:p>
            <w:pPr>
              <w:jc w:val="right"/>
              <w:ind w:right="38"/>
              <w:spacing w:after="0" w:line="88" w:lineRule="exact"/>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140" w:type="dxa"/>
            <w:vAlign w:val="bottom"/>
            <w:gridSpan w:val="3"/>
            <w:shd w:val="clear" w:color="auto" w:fill="CCEEFF"/>
          </w:tcPr>
          <w:p>
            <w:pPr>
              <w:jc w:val="right"/>
              <w:ind w:right="15"/>
              <w:spacing w:after="0" w:line="88"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gridSpan w:val="4"/>
            <w:shd w:val="clear" w:color="auto" w:fill="CCEEFF"/>
          </w:tcPr>
          <w:p>
            <w:pPr>
              <w:ind w:left="80"/>
              <w:spacing w:after="0" w:line="88" w:lineRule="exact"/>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line="88" w:lineRule="exact"/>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3"/>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shd w:val="clear" w:color="auto" w:fill="CCEEFF"/>
          </w:tcPr>
          <w:p>
            <w:pPr>
              <w:ind w:left="60"/>
              <w:spacing w:after="0" w:line="88" w:lineRule="exact"/>
              <w:rPr>
                <w:sz w:val="20"/>
                <w:szCs w:val="20"/>
                <w:color w:val="auto"/>
              </w:rPr>
            </w:pPr>
            <w:r>
              <w:rPr>
                <w:rFonts w:ascii="Arial" w:cs="Arial" w:eastAsia="Arial" w:hAnsi="Arial"/>
                <w:sz w:val="8"/>
                <w:szCs w:val="8"/>
                <w:color w:val="auto"/>
              </w:rPr>
              <w:t>​</w:t>
            </w:r>
          </w:p>
        </w:tc>
        <w:tc>
          <w:tcPr>
            <w:tcW w:w="400" w:type="dxa"/>
            <w:vAlign w:val="bottom"/>
            <w:gridSpan w:val="3"/>
            <w:shd w:val="clear" w:color="auto" w:fill="CCEEFF"/>
          </w:tcPr>
          <w:p>
            <w:pPr>
              <w:jc w:val="right"/>
              <w:ind w:right="138"/>
              <w:spacing w:after="0" w:line="88" w:lineRule="exact"/>
              <w:rPr>
                <w:sz w:val="20"/>
                <w:szCs w:val="20"/>
                <w:color w:val="auto"/>
              </w:rPr>
            </w:pPr>
            <w:r>
              <w:rPr>
                <w:rFonts w:ascii="Arial" w:cs="Arial" w:eastAsia="Arial" w:hAnsi="Arial"/>
                <w:sz w:val="8"/>
                <w:szCs w:val="8"/>
                <w:color w:val="auto"/>
              </w:rPr>
              <w:t>(135)</w:t>
            </w:r>
          </w:p>
        </w:tc>
        <w:tc>
          <w:tcPr>
            <w:tcW w:w="160" w:type="dxa"/>
            <w:vAlign w:val="bottom"/>
            <w:tcBorders>
              <w:right w:val="single" w:sz="8" w:color="CCEEFF"/>
            </w:tcBorders>
            <w:gridSpan w:val="2"/>
            <w:shd w:val="clear" w:color="auto" w:fill="CCEEFF"/>
          </w:tcPr>
          <w:p>
            <w:pPr>
              <w:jc w:val="right"/>
              <w:ind w:right="18"/>
              <w:spacing w:after="0" w:line="88" w:lineRule="exact"/>
              <w:rPr>
                <w:sz w:val="20"/>
                <w:szCs w:val="20"/>
                <w:color w:val="auto"/>
              </w:rPr>
            </w:pPr>
            <w:r>
              <w:rPr>
                <w:rFonts w:ascii="Arial" w:cs="Arial" w:eastAsia="Arial" w:hAnsi="Arial"/>
                <w:sz w:val="8"/>
                <w:szCs w:val="8"/>
                <w:color w:val="auto"/>
              </w:rPr>
              <w:t>​ ​​</w:t>
            </w:r>
          </w:p>
        </w:tc>
        <w:tc>
          <w:tcPr>
            <w:tcW w:w="60" w:type="dxa"/>
            <w:vAlign w:val="bottom"/>
            <w:tcBorders>
              <w:right w:val="single" w:sz="8" w:color="CCEEFF"/>
            </w:tcBorders>
            <w:shd w:val="clear" w:color="auto" w:fill="CCEEFF"/>
          </w:tcPr>
          <w:p>
            <w:pPr>
              <w:spacing w:after="0" w:line="88"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center"/>
              <w:spacing w:after="0" w:line="88"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360" w:type="dxa"/>
            <w:vAlign w:val="bottom"/>
            <w:tcBorders>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200" w:type="dxa"/>
            <w:vAlign w:val="bottom"/>
            <w:tcBorders>
              <w:left w:val="single" w:sz="8" w:color="CCEEFF"/>
            </w:tcBorders>
            <w:gridSpan w:val="3"/>
            <w:shd w:val="clear" w:color="auto" w:fill="CCEEFF"/>
          </w:tcPr>
          <w:p>
            <w:pPr>
              <w:ind w:left="6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2"/>
            <w:shd w:val="clear" w:color="auto" w:fill="CCEEFF"/>
          </w:tcPr>
          <w:p>
            <w:pPr>
              <w:ind w:left="2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7"/>
        </w:trPr>
        <w:tc>
          <w:tcPr>
            <w:tcW w:w="2440" w:type="dxa"/>
            <w:vAlign w:val="bottom"/>
          </w:tcPr>
          <w:p>
            <w:pPr>
              <w:spacing w:after="0"/>
              <w:rPr>
                <w:sz w:val="20"/>
                <w:szCs w:val="20"/>
                <w:color w:val="auto"/>
              </w:rPr>
            </w:pPr>
            <w:r>
              <w:rPr>
                <w:rFonts w:ascii="Arial" w:cs="Arial" w:eastAsia="Arial" w:hAnsi="Arial"/>
                <w:sz w:val="8"/>
                <w:szCs w:val="8"/>
                <w:color w:val="auto"/>
              </w:rPr>
              <w:t>Net loss</w:t>
            </w:r>
          </w:p>
        </w:tc>
        <w:tc>
          <w:tcPr>
            <w:tcW w:w="140" w:type="dxa"/>
            <w:vAlign w:val="bottom"/>
            <w:gridSpan w:val="5"/>
          </w:tcPr>
          <w:p>
            <w:pPr>
              <w:ind w:left="20"/>
              <w:spacing w:after="0"/>
              <w:rPr>
                <w:sz w:val="20"/>
                <w:szCs w:val="20"/>
                <w:color w:val="auto"/>
              </w:rPr>
            </w:pPr>
            <w:r>
              <w:rPr>
                <w:rFonts w:ascii="Arial" w:cs="Arial" w:eastAsia="Arial" w:hAnsi="Arial"/>
                <w:sz w:val="8"/>
                <w:szCs w:val="8"/>
                <w:color w:val="auto"/>
              </w:rPr>
              <w:t>​​​</w:t>
            </w:r>
          </w:p>
        </w:tc>
        <w:tc>
          <w:tcPr>
            <w:tcW w:w="380" w:type="dxa"/>
            <w:vAlign w:val="bottom"/>
            <w:gridSpan w:val="4"/>
          </w:tcPr>
          <w:p>
            <w:pPr>
              <w:jc w:val="right"/>
              <w:ind w:right="5"/>
              <w:spacing w:after="0"/>
              <w:rPr>
                <w:sz w:val="20"/>
                <w:szCs w:val="20"/>
                <w:color w:val="auto"/>
              </w:rPr>
            </w:pPr>
            <w:r>
              <w:rPr>
                <w:rFonts w:ascii="Arial" w:cs="Arial" w:eastAsia="Arial" w:hAnsi="Arial"/>
                <w:sz w:val="8"/>
                <w:szCs w:val="8"/>
                <w:color w:val="auto"/>
              </w:rPr>
              <w:t>—​​​​</w:t>
            </w:r>
          </w:p>
        </w:tc>
        <w:tc>
          <w:tcPr>
            <w:tcW w:w="60" w:type="dxa"/>
            <w:vAlign w:val="bottom"/>
          </w:tcPr>
          <w:p>
            <w:pPr>
              <w:jc w:val="right"/>
              <w:ind w:right="15"/>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8"/>
                <w:szCs w:val="8"/>
                <w:color w:val="auto"/>
              </w:rPr>
            </w:pPr>
          </w:p>
        </w:tc>
        <w:tc>
          <w:tcPr>
            <w:tcW w:w="260" w:type="dxa"/>
            <w:vAlign w:val="bottom"/>
            <w:gridSpan w:val="6"/>
          </w:tcPr>
          <w:p>
            <w:pPr>
              <w:jc w:val="right"/>
              <w:ind w:right="33"/>
              <w:spacing w:after="0"/>
              <w:rPr>
                <w:sz w:val="20"/>
                <w:szCs w:val="20"/>
                <w:color w:val="auto"/>
              </w:rPr>
            </w:pPr>
            <w:r>
              <w:rPr>
                <w:rFonts w:ascii="Arial" w:cs="Arial" w:eastAsia="Arial" w:hAnsi="Arial"/>
                <w:sz w:val="8"/>
                <w:szCs w:val="8"/>
                <w:color w:val="auto"/>
              </w:rPr>
              <w:t>—​​​​</w:t>
            </w:r>
          </w:p>
        </w:tc>
        <w:tc>
          <w:tcPr>
            <w:tcW w:w="400" w:type="dxa"/>
            <w:vAlign w:val="bottom"/>
            <w:gridSpan w:val="4"/>
          </w:tcPr>
          <w:p>
            <w:pPr>
              <w:jc w:val="right"/>
              <w:ind w:right="5"/>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33"/>
              <w:spacing w:after="0"/>
              <w:rPr>
                <w:sz w:val="20"/>
                <w:szCs w:val="20"/>
                <w:color w:val="auto"/>
              </w:rPr>
            </w:pPr>
            <w:r>
              <w:rPr>
                <w:rFonts w:ascii="Arial" w:cs="Arial" w:eastAsia="Arial" w:hAnsi="Arial"/>
                <w:sz w:val="8"/>
                <w:szCs w:val="8"/>
                <w:color w:val="auto"/>
              </w:rPr>
              <w:t>—​​​​</w:t>
            </w:r>
          </w:p>
        </w:tc>
        <w:tc>
          <w:tcPr>
            <w:tcW w:w="440" w:type="dxa"/>
            <w:vAlign w:val="bottom"/>
            <w:gridSpan w:val="5"/>
          </w:tcPr>
          <w:p>
            <w:pPr>
              <w:jc w:val="right"/>
              <w:ind w:right="13"/>
              <w:spacing w:after="0"/>
              <w:rPr>
                <w:sz w:val="20"/>
                <w:szCs w:val="20"/>
                <w:color w:val="auto"/>
              </w:rPr>
            </w:pPr>
            <w:r>
              <w:rPr>
                <w:rFonts w:ascii="Arial" w:cs="Arial" w:eastAsia="Arial" w:hAnsi="Arial"/>
                <w:sz w:val="8"/>
                <w:szCs w:val="8"/>
                <w:color w:val="auto"/>
              </w:rPr>
              <w:t>—​​​​ ​</w:t>
            </w:r>
          </w:p>
        </w:tc>
        <w:tc>
          <w:tcPr>
            <w:tcW w:w="160" w:type="dxa"/>
            <w:vAlign w:val="bottom"/>
          </w:tcPr>
          <w:p>
            <w:pPr>
              <w:spacing w:after="0"/>
              <w:rPr>
                <w:sz w:val="8"/>
                <w:szCs w:val="8"/>
                <w:color w:val="auto"/>
              </w:rPr>
            </w:pPr>
          </w:p>
        </w:tc>
        <w:tc>
          <w:tcPr>
            <w:tcW w:w="280" w:type="dxa"/>
            <w:vAlign w:val="bottom"/>
            <w:gridSpan w:val="5"/>
          </w:tcPr>
          <w:p>
            <w:pPr>
              <w:jc w:val="right"/>
              <w:ind w:right="57"/>
              <w:spacing w:after="0"/>
              <w:rPr>
                <w:sz w:val="20"/>
                <w:szCs w:val="20"/>
                <w:color w:val="auto"/>
              </w:rPr>
            </w:pPr>
            <w:r>
              <w:rPr>
                <w:rFonts w:ascii="Arial" w:cs="Arial" w:eastAsia="Arial" w:hAnsi="Arial"/>
                <w:sz w:val="8"/>
                <w:szCs w:val="8"/>
                <w:color w:val="auto"/>
              </w:rPr>
              <w:t>—​​​ ​​</w:t>
            </w:r>
          </w:p>
        </w:tc>
        <w:tc>
          <w:tcPr>
            <w:tcW w:w="2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gridSpan w:val="3"/>
          </w:tcPr>
          <w:p>
            <w:pPr>
              <w:jc w:val="right"/>
              <w:ind w:right="13"/>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80" w:type="dxa"/>
            <w:vAlign w:val="bottom"/>
            <w:gridSpan w:val="3"/>
          </w:tcPr>
          <w:p>
            <w:pPr>
              <w:jc w:val="right"/>
              <w:ind w:right="38"/>
              <w:spacing w:after="0"/>
              <w:rPr>
                <w:sz w:val="20"/>
                <w:szCs w:val="20"/>
                <w:color w:val="auto"/>
              </w:rPr>
            </w:pPr>
            <w:r>
              <w:rPr>
                <w:rFonts w:ascii="Arial" w:cs="Arial" w:eastAsia="Arial" w:hAnsi="Arial"/>
                <w:sz w:val="8"/>
                <w:szCs w:val="8"/>
                <w:color w:val="auto"/>
              </w:rPr>
              <w:t>— ​​​</w:t>
            </w:r>
          </w:p>
        </w:tc>
        <w:tc>
          <w:tcPr>
            <w:tcW w:w="220" w:type="dxa"/>
            <w:vAlign w:val="bottom"/>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tcPr>
          <w:p>
            <w:pPr>
              <w:spacing w:after="0"/>
              <w:rPr>
                <w:sz w:val="8"/>
                <w:szCs w:val="8"/>
                <w:color w:val="auto"/>
              </w:rPr>
            </w:pP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40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120" w:type="dxa"/>
            <w:vAlign w:val="bottom"/>
            <w:gridSpan w:val="4"/>
          </w:tcPr>
          <w:p>
            <w:pPr>
              <w:jc w:val="right"/>
              <w:ind w:right="57"/>
              <w:spacing w:after="0"/>
              <w:rPr>
                <w:sz w:val="20"/>
                <w:szCs w:val="20"/>
                <w:color w:val="auto"/>
              </w:rPr>
            </w:pPr>
            <w:r>
              <w:rPr>
                <w:rFonts w:ascii="Arial" w:cs="Arial" w:eastAsia="Arial" w:hAnsi="Arial"/>
                <w:sz w:val="8"/>
                <w:szCs w:val="8"/>
                <w:color w:val="auto"/>
              </w:rPr>
              <w:t>​​​</w:t>
            </w:r>
          </w:p>
        </w:tc>
        <w:tc>
          <w:tcPr>
            <w:tcW w:w="420" w:type="dxa"/>
            <w:vAlign w:val="bottom"/>
            <w:gridSpan w:val="3"/>
          </w:tcPr>
          <w:p>
            <w:pPr>
              <w:jc w:val="right"/>
              <w:ind w:right="38"/>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20"/>
                <w:szCs w:val="20"/>
                <w:color w:val="auto"/>
              </w:rPr>
            </w:pPr>
            <w:r>
              <w:rPr>
                <w:rFonts w:ascii="Arial" w:cs="Arial" w:eastAsia="Arial" w:hAnsi="Arial"/>
                <w:sz w:val="8"/>
                <w:szCs w:val="8"/>
                <w:color w:val="auto"/>
              </w:rPr>
              <w:t>​</w:t>
            </w:r>
          </w:p>
        </w:tc>
        <w:tc>
          <w:tcPr>
            <w:tcW w:w="140" w:type="dxa"/>
            <w:vAlign w:val="bottom"/>
            <w:gridSpan w:val="3"/>
          </w:tcPr>
          <w:p>
            <w:pPr>
              <w:jc w:val="right"/>
              <w:ind w:right="15"/>
              <w:spacing w:after="0"/>
              <w:rPr>
                <w:sz w:val="20"/>
                <w:szCs w:val="20"/>
                <w:color w:val="auto"/>
              </w:rPr>
            </w:pPr>
            <w:r>
              <w:rPr>
                <w:rFonts w:ascii="Arial" w:cs="Arial" w:eastAsia="Arial" w:hAnsi="Arial"/>
                <w:sz w:val="8"/>
                <w:szCs w:val="8"/>
                <w:color w:val="auto"/>
              </w:rPr>
              <w:t>​—</w:t>
            </w:r>
          </w:p>
        </w:tc>
        <w:tc>
          <w:tcPr>
            <w:tcW w:w="220" w:type="dxa"/>
            <w:vAlign w:val="bottom"/>
            <w:gridSpan w:val="4"/>
          </w:tcPr>
          <w:p>
            <w:pPr>
              <w:ind w:left="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gridSpan w:val="3"/>
          </w:tcPr>
          <w:p>
            <w:pPr>
              <w:jc w:val="right"/>
              <w:ind w:right="18"/>
              <w:spacing w:after="0"/>
              <w:rPr>
                <w:sz w:val="20"/>
                <w:szCs w:val="20"/>
                <w:color w:val="auto"/>
              </w:rPr>
            </w:pPr>
            <w:r>
              <w:rPr>
                <w:rFonts w:ascii="Arial" w:cs="Arial" w:eastAsia="Arial" w:hAnsi="Arial"/>
                <w:sz w:val="8"/>
                <w:szCs w:val="8"/>
                <w:color w:val="auto"/>
              </w:rPr>
              <w:t>​​​</w:t>
            </w:r>
          </w:p>
        </w:tc>
        <w:tc>
          <w:tcPr>
            <w:tcW w:w="180" w:type="dxa"/>
            <w:vAlign w:val="bottom"/>
          </w:tcPr>
          <w:p>
            <w:pPr>
              <w:ind w:left="140"/>
              <w:spacing w:after="0"/>
              <w:rPr>
                <w:sz w:val="20"/>
                <w:szCs w:val="20"/>
                <w:color w:val="auto"/>
              </w:rPr>
            </w:pPr>
            <w:r>
              <w:rPr>
                <w:rFonts w:ascii="Arial" w:cs="Arial" w:eastAsia="Arial" w:hAnsi="Arial"/>
                <w:sz w:val="1"/>
                <w:szCs w:val="1"/>
                <w:color w:val="auto"/>
                <w:w w:val="4294942296"/>
              </w:rPr>
              <w:t>​</w:t>
            </w:r>
          </w:p>
        </w:tc>
        <w:tc>
          <w:tcPr>
            <w:tcW w:w="12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8"/>
                <w:szCs w:val="8"/>
                <w:color w:val="auto"/>
              </w:rPr>
            </w:pPr>
          </w:p>
        </w:tc>
        <w:tc>
          <w:tcPr>
            <w:tcW w:w="380" w:type="dxa"/>
            <w:vAlign w:val="bottom"/>
            <w:gridSpan w:val="2"/>
          </w:tcPr>
          <w:p>
            <w:pPr>
              <w:jc w:val="right"/>
              <w:ind w:right="178"/>
              <w:spacing w:after="0"/>
              <w:rPr>
                <w:sz w:val="20"/>
                <w:szCs w:val="20"/>
                <w:color w:val="auto"/>
              </w:rPr>
            </w:pPr>
            <w:r>
              <w:rPr>
                <w:rFonts w:ascii="Arial" w:cs="Arial" w:eastAsia="Arial" w:hAnsi="Arial"/>
                <w:sz w:val="8"/>
                <w:szCs w:val="8"/>
                <w:color w:val="auto"/>
              </w:rPr>
              <w:t>—</w:t>
            </w:r>
          </w:p>
        </w:tc>
        <w:tc>
          <w:tcPr>
            <w:tcW w:w="160" w:type="dxa"/>
            <w:vAlign w:val="bottom"/>
            <w:gridSpan w:val="2"/>
          </w:tcPr>
          <w:p>
            <w:pPr>
              <w:jc w:val="right"/>
              <w:ind w:right="18"/>
              <w:spacing w:after="0"/>
              <w:rPr>
                <w:sz w:val="20"/>
                <w:szCs w:val="20"/>
                <w:color w:val="auto"/>
              </w:rPr>
            </w:pPr>
            <w:r>
              <w:rPr>
                <w:rFonts w:ascii="Arial" w:cs="Arial" w:eastAsia="Arial" w:hAnsi="Arial"/>
                <w:sz w:val="8"/>
                <w:szCs w:val="8"/>
                <w:color w:val="auto"/>
              </w:rPr>
              <w:t>​ ​​</w:t>
            </w:r>
          </w:p>
        </w:tc>
        <w:tc>
          <w:tcPr>
            <w:tcW w:w="60" w:type="dxa"/>
            <w:vAlign w:val="bottom"/>
          </w:tcPr>
          <w:p>
            <w:pPr>
              <w:spacing w:after="0"/>
              <w:rPr>
                <w:sz w:val="20"/>
                <w:szCs w:val="20"/>
                <w:color w:val="auto"/>
              </w:rPr>
            </w:pPr>
            <w:r>
              <w:rPr>
                <w:rFonts w:ascii="Arial" w:cs="Arial" w:eastAsia="Arial" w:hAnsi="Arial"/>
                <w:sz w:val="8"/>
                <w:szCs w:val="8"/>
                <w:color w:val="auto"/>
              </w:rPr>
              <w:t>​</w:t>
            </w:r>
          </w:p>
        </w:tc>
        <w:tc>
          <w:tcPr>
            <w:tcW w:w="40" w:type="dxa"/>
            <w:vAlign w:val="bottom"/>
          </w:tcPr>
          <w:p>
            <w:pPr>
              <w:jc w:val="center"/>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(39,446)</w:t>
            </w:r>
          </w:p>
        </w:tc>
        <w:tc>
          <w:tcPr>
            <w:tcW w:w="200" w:type="dxa"/>
            <w:vAlign w:val="bottom"/>
            <w:gridSpan w:val="3"/>
          </w:tcPr>
          <w:p>
            <w:pPr>
              <w:ind w:left="60"/>
              <w:spacing w:after="0"/>
              <w:rPr>
                <w:sz w:val="20"/>
                <w:szCs w:val="20"/>
                <w:color w:val="auto"/>
              </w:rPr>
            </w:pPr>
            <w:r>
              <w:rPr>
                <w:rFonts w:ascii="Arial" w:cs="Arial" w:eastAsia="Arial" w:hAnsi="Arial"/>
                <w:sz w:val="8"/>
                <w:szCs w:val="8"/>
                <w:color w:val="auto"/>
              </w:rPr>
              <w:t>​​​</w:t>
            </w:r>
          </w:p>
        </w:tc>
        <w:tc>
          <w:tcPr>
            <w:tcW w:w="120" w:type="dxa"/>
            <w:vAlign w:val="bottom"/>
            <w:gridSpan w:val="2"/>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60" w:type="dxa"/>
            <w:vAlign w:val="bottom"/>
            <w:gridSpan w:val="2"/>
            <w:vMerge w:val="restart"/>
            <w:shd w:val="clear" w:color="auto" w:fill="CCEEFF"/>
          </w:tcPr>
          <w:p>
            <w:pPr>
              <w:ind w:left="20"/>
              <w:spacing w:after="0" w:line="87" w:lineRule="exact"/>
              <w:rPr>
                <w:sz w:val="20"/>
                <w:szCs w:val="20"/>
                <w:color w:val="auto"/>
              </w:rPr>
            </w:pPr>
            <w:r>
              <w:rPr>
                <w:rFonts w:ascii="Arial" w:cs="Arial" w:eastAsia="Arial" w:hAnsi="Arial"/>
                <w:sz w:val="8"/>
                <w:szCs w:val="8"/>
                <w:color w:val="auto"/>
              </w:rPr>
              <w:t>​​</w:t>
            </w:r>
          </w:p>
        </w:tc>
        <w:tc>
          <w:tcPr>
            <w:tcW w:w="360" w:type="dxa"/>
            <w:vAlign w:val="bottom"/>
            <w:gridSpan w:val="4"/>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jc w:val="center"/>
              <w:spacing w:after="0" w:line="87" w:lineRule="exact"/>
              <w:rPr>
                <w:sz w:val="20"/>
                <w:szCs w:val="20"/>
                <w:color w:val="auto"/>
              </w:rPr>
            </w:pPr>
            <w:r>
              <w:rPr>
                <w:rFonts w:ascii="Arial" w:cs="Arial" w:eastAsia="Arial" w:hAnsi="Arial"/>
                <w:sz w:val="8"/>
                <w:szCs w:val="8"/>
                <w:color w:val="auto"/>
              </w:rPr>
              <w:t>​​​</w:t>
            </w: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spacing w:after="0" w:line="87" w:lineRule="exact"/>
              <w:rPr>
                <w:sz w:val="20"/>
                <w:szCs w:val="20"/>
                <w:color w:val="auto"/>
              </w:rPr>
            </w:pPr>
            <w:r>
              <w:rPr>
                <w:rFonts w:ascii="Arial" w:cs="Arial" w:eastAsia="Arial" w:hAnsi="Arial"/>
                <w:sz w:val="8"/>
                <w:szCs w:val="8"/>
                <w:color w:val="auto"/>
              </w:rPr>
              <w:t>​​​</w:t>
            </w:r>
          </w:p>
        </w:tc>
        <w:tc>
          <w:tcPr>
            <w:tcW w:w="340" w:type="dxa"/>
            <w:vAlign w:val="bottom"/>
            <w:gridSpan w:val="4"/>
            <w:shd w:val="clear" w:color="auto" w:fill="000000"/>
          </w:tcPr>
          <w:p>
            <w:pPr>
              <w:spacing w:after="0" w:line="20" w:lineRule="exact"/>
              <w:rPr>
                <w:sz w:val="1"/>
                <w:szCs w:val="1"/>
                <w:color w:val="auto"/>
              </w:rPr>
            </w:pPr>
          </w:p>
        </w:tc>
        <w:tc>
          <w:tcPr>
            <w:tcW w:w="80" w:type="dxa"/>
            <w:vAlign w:val="bottom"/>
            <w:gridSpan w:val="2"/>
            <w:vMerge w:val="restart"/>
            <w:shd w:val="clear" w:color="auto" w:fill="CCEEFF"/>
          </w:tcPr>
          <w:p>
            <w:pPr>
              <w:jc w:val="center"/>
              <w:spacing w:after="0" w:line="87" w:lineRule="exact"/>
              <w:rPr>
                <w:sz w:val="20"/>
                <w:szCs w:val="20"/>
                <w:color w:val="auto"/>
              </w:rPr>
            </w:pPr>
            <w:r>
              <w:rPr>
                <w:rFonts w:ascii="Arial" w:cs="Arial" w:eastAsia="Arial" w:hAnsi="Arial"/>
                <w:sz w:val="8"/>
                <w:szCs w:val="8"/>
                <w:color w:val="auto"/>
              </w:rPr>
              <w:t>​​​</w:t>
            </w: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gridSpan w:val="2"/>
            <w:vMerge w:val="restart"/>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340" w:type="dxa"/>
            <w:vAlign w:val="bottom"/>
            <w:gridSpan w:val="4"/>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jc w:val="center"/>
              <w:spacing w:after="0" w:line="87" w:lineRule="exact"/>
              <w:rPr>
                <w:sz w:val="20"/>
                <w:szCs w:val="20"/>
                <w:color w:val="auto"/>
              </w:rPr>
            </w:pPr>
            <w:r>
              <w:rPr>
                <w:rFonts w:ascii="Arial" w:cs="Arial" w:eastAsia="Arial" w:hAnsi="Arial"/>
                <w:sz w:val="8"/>
                <w:szCs w:val="8"/>
                <w:color w:val="auto"/>
              </w:rPr>
              <w:t>​​​</w:t>
            </w: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gridSpan w:val="3"/>
            <w:vMerge w:val="restart"/>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gridSpan w:val="2"/>
            <w:vMerge w:val="restart"/>
            <w:shd w:val="clear" w:color="auto" w:fill="CCEEFF"/>
          </w:tcPr>
          <w:p>
            <w:pPr>
              <w:jc w:val="center"/>
              <w:spacing w:after="0" w:line="87" w:lineRule="exact"/>
              <w:rPr>
                <w:sz w:val="20"/>
                <w:szCs w:val="20"/>
                <w:color w:val="auto"/>
              </w:rPr>
            </w:pPr>
            <w:r>
              <w:rPr>
                <w:rFonts w:ascii="Arial" w:cs="Arial" w:eastAsia="Arial" w:hAnsi="Arial"/>
                <w:sz w:val="8"/>
                <w:szCs w:val="8"/>
                <w:color w:val="auto"/>
              </w:rPr>
              <w:t>​​​</w:t>
            </w: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CCEEFF"/>
            </w:tcBorders>
            <w:gridSpan w:val="2"/>
            <w:vMerge w:val="restart"/>
            <w:shd w:val="clear" w:color="auto" w:fill="CCEEFF"/>
          </w:tcPr>
          <w:p>
            <w:pPr>
              <w:jc w:val="right"/>
              <w:ind w:right="38"/>
              <w:spacing w:after="0" w:line="87"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vMerge w:val="restart"/>
            <w:shd w:val="clear" w:color="auto" w:fill="CCEEFF"/>
          </w:tcPr>
          <w:p>
            <w:pPr>
              <w:spacing w:after="0" w:line="87" w:lineRule="exact"/>
              <w:rPr>
                <w:sz w:val="20"/>
                <w:szCs w:val="20"/>
                <w:color w:val="auto"/>
              </w:rPr>
            </w:pPr>
            <w:r>
              <w:rPr>
                <w:rFonts w:ascii="Arial" w:cs="Arial" w:eastAsia="Arial" w:hAnsi="Arial"/>
                <w:sz w:val="8"/>
                <w:szCs w:val="8"/>
                <w:color w:val="auto"/>
              </w:rPr>
              <w:t>​​</w:t>
            </w:r>
          </w:p>
        </w:tc>
        <w:tc>
          <w:tcPr>
            <w:tcW w:w="3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gridSpan w:val="2"/>
            <w:vMerge w:val="restart"/>
            <w:shd w:val="clear" w:color="auto" w:fill="CCEEFF"/>
          </w:tcPr>
          <w:p>
            <w:pPr>
              <w:jc w:val="right"/>
              <w:ind w:right="38"/>
              <w:spacing w:after="0" w:line="87" w:lineRule="exact"/>
              <w:rPr>
                <w:sz w:val="20"/>
                <w:szCs w:val="20"/>
                <w:color w:val="auto"/>
              </w:rPr>
            </w:pPr>
            <w:r>
              <w:rPr>
                <w:rFonts w:ascii="Arial" w:cs="Arial" w:eastAsia="Arial" w:hAnsi="Arial"/>
                <w:sz w:val="8"/>
                <w:szCs w:val="8"/>
                <w:color w:val="auto"/>
              </w:rPr>
              <w:t>​​​</w:t>
            </w: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vMerge w:val="restart"/>
            <w:shd w:val="clear" w:color="auto" w:fill="CCEEFF"/>
          </w:tcPr>
          <w:p>
            <w:pPr>
              <w:ind w:left="20"/>
              <w:spacing w:after="0" w:line="87" w:lineRule="exact"/>
              <w:rPr>
                <w:sz w:val="20"/>
                <w:szCs w:val="20"/>
                <w:color w:val="auto"/>
              </w:rPr>
            </w:pPr>
            <w:r>
              <w:rPr>
                <w:rFonts w:ascii="Arial" w:cs="Arial" w:eastAsia="Arial" w:hAnsi="Arial"/>
                <w:sz w:val="8"/>
                <w:szCs w:val="8"/>
                <w:color w:val="auto"/>
              </w:rPr>
              <w:t>​</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40" w:type="dxa"/>
            <w:vAlign w:val="bottom"/>
            <w:shd w:val="clear" w:color="auto" w:fill="CCEEFF"/>
          </w:tcPr>
          <w:p>
            <w:pPr>
              <w:spacing w:after="0" w:line="77" w:lineRule="exact"/>
              <w:rPr>
                <w:sz w:val="20"/>
                <w:szCs w:val="20"/>
                <w:color w:val="auto"/>
              </w:rPr>
            </w:pPr>
            <w:r>
              <w:rPr>
                <w:rFonts w:ascii="Arial" w:cs="Arial" w:eastAsia="Arial" w:hAnsi="Arial"/>
                <w:sz w:val="8"/>
                <w:szCs w:val="8"/>
                <w:b w:val="1"/>
                <w:bCs w:val="1"/>
                <w:color w:val="auto"/>
              </w:rPr>
              <w:t>Balance at September 30, 2022</w:t>
            </w:r>
          </w:p>
        </w:tc>
        <w:tc>
          <w:tcPr>
            <w:tcW w:w="60" w:type="dxa"/>
            <w:vAlign w:val="bottom"/>
            <w:gridSpan w:val="2"/>
            <w:vMerge w:val="continue"/>
            <w:shd w:val="clear" w:color="auto" w:fill="CCEEFF"/>
          </w:tcPr>
          <w:p>
            <w:pPr>
              <w:spacing w:after="0"/>
              <w:rPr>
                <w:sz w:val="7"/>
                <w:szCs w:val="7"/>
                <w:color w:val="auto"/>
              </w:rPr>
            </w:pPr>
          </w:p>
        </w:tc>
        <w:tc>
          <w:tcPr>
            <w:tcW w:w="80" w:type="dxa"/>
            <w:vAlign w:val="bottom"/>
            <w:gridSpan w:val="3"/>
            <w:shd w:val="clear" w:color="auto" w:fill="CCEEFF"/>
          </w:tcPr>
          <w:p>
            <w:pPr>
              <w:spacing w:after="0" w:line="77" w:lineRule="exact"/>
              <w:rPr>
                <w:sz w:val="20"/>
                <w:szCs w:val="20"/>
                <w:color w:val="auto"/>
              </w:rPr>
            </w:pPr>
            <w:r>
              <w:rPr>
                <w:rFonts w:ascii="Arial" w:cs="Arial" w:eastAsia="Arial" w:hAnsi="Arial"/>
                <w:sz w:val="5"/>
                <w:szCs w:val="5"/>
                <w:color w:val="auto"/>
              </w:rPr>
              <w:t>​</w:t>
            </w:r>
            <w:r>
              <w:rPr>
                <w:rFonts w:ascii="Arial" w:cs="Arial" w:eastAsia="Arial" w:hAnsi="Arial"/>
                <w:sz w:val="8"/>
                <w:szCs w:val="8"/>
                <w:color w:val="auto"/>
                <w:vertAlign w:val="superscript"/>
              </w:rPr>
              <w:t>​</w:t>
            </w:r>
          </w:p>
        </w:tc>
        <w:tc>
          <w:tcPr>
            <w:tcW w:w="280" w:type="dxa"/>
            <w:vAlign w:val="bottom"/>
            <w:shd w:val="clear" w:color="auto" w:fill="CCEEFF"/>
          </w:tcPr>
          <w:p>
            <w:pPr>
              <w:ind w:left="20"/>
              <w:spacing w:after="0" w:line="77" w:lineRule="exact"/>
              <w:rPr>
                <w:sz w:val="20"/>
                <w:szCs w:val="20"/>
                <w:color w:val="auto"/>
              </w:rPr>
            </w:pPr>
            <w:r>
              <w:rPr>
                <w:rFonts w:ascii="Arial" w:cs="Arial" w:eastAsia="Arial" w:hAnsi="Arial"/>
                <w:sz w:val="8"/>
                <w:szCs w:val="8"/>
                <w:color w:val="auto"/>
                <w:w w:val="97"/>
              </w:rPr>
              <w:t>19,200</w:t>
            </w:r>
          </w:p>
        </w:tc>
        <w:tc>
          <w:tcPr>
            <w:tcW w:w="60" w:type="dxa"/>
            <w:vAlign w:val="bottom"/>
            <w:gridSpan w:val="2"/>
            <w:vMerge w:val="continue"/>
            <w:shd w:val="clear" w:color="auto" w:fill="CCEEFF"/>
          </w:tcPr>
          <w:p>
            <w:pPr>
              <w:spacing w:after="0"/>
              <w:rPr>
                <w:sz w:val="7"/>
                <w:szCs w:val="7"/>
                <w:color w:val="auto"/>
              </w:rPr>
            </w:pPr>
          </w:p>
        </w:tc>
        <w:tc>
          <w:tcPr>
            <w:tcW w:w="380" w:type="dxa"/>
            <w:vAlign w:val="bottom"/>
            <w:tcBorders>
              <w:left w:val="single" w:sz="8" w:color="CCEEFF"/>
            </w:tcBorders>
            <w:gridSpan w:val="4"/>
            <w:shd w:val="clear" w:color="auto" w:fill="CCEEFF"/>
          </w:tcPr>
          <w:p>
            <w:pPr>
              <w:jc w:val="right"/>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32,001</w:t>
            </w:r>
          </w:p>
        </w:tc>
        <w:tc>
          <w:tcPr>
            <w:tcW w:w="60" w:type="dxa"/>
            <w:vAlign w:val="bottom"/>
            <w:gridSpan w:val="2"/>
            <w:vMerge w:val="continue"/>
            <w:shd w:val="clear" w:color="auto" w:fill="CCEEFF"/>
          </w:tcPr>
          <w:p>
            <w:pPr>
              <w:spacing w:after="0"/>
              <w:rPr>
                <w:sz w:val="7"/>
                <w:szCs w:val="7"/>
                <w:color w:val="auto"/>
              </w:rPr>
            </w:pPr>
          </w:p>
        </w:tc>
        <w:tc>
          <w:tcPr>
            <w:tcW w:w="60" w:type="dxa"/>
            <w:vAlign w:val="bottom"/>
            <w:gridSpan w:val="3"/>
            <w:shd w:val="clear" w:color="auto" w:fill="CCEEFF"/>
          </w:tcPr>
          <w:p>
            <w:pPr>
              <w:jc w:val="right"/>
              <w:ind w:right="33"/>
              <w:spacing w:after="0" w:line="77" w:lineRule="exact"/>
              <w:rPr>
                <w:sz w:val="20"/>
                <w:szCs w:val="20"/>
                <w:color w:val="auto"/>
              </w:rPr>
            </w:pPr>
            <w:r>
              <w:rPr>
                <w:rFonts w:ascii="Arial" w:cs="Arial" w:eastAsia="Arial" w:hAnsi="Arial"/>
                <w:sz w:val="5"/>
                <w:szCs w:val="5"/>
                <w:color w:val="auto"/>
              </w:rPr>
              <w:t>​</w:t>
            </w:r>
            <w:r>
              <w:rPr>
                <w:rFonts w:ascii="Arial" w:cs="Arial" w:eastAsia="Arial" w:hAnsi="Arial"/>
                <w:sz w:val="8"/>
                <w:szCs w:val="8"/>
                <w:color w:val="auto"/>
                <w:vertAlign w:val="superscript"/>
              </w:rPr>
              <w:t>​</w:t>
            </w:r>
          </w:p>
        </w:tc>
        <w:tc>
          <w:tcPr>
            <w:tcW w:w="280" w:type="dxa"/>
            <w:vAlign w:val="bottom"/>
            <w:shd w:val="clear" w:color="auto" w:fill="CCEEFF"/>
          </w:tcPr>
          <w:p>
            <w:pPr>
              <w:ind w:left="40"/>
              <w:spacing w:after="0" w:line="77" w:lineRule="exact"/>
              <w:rPr>
                <w:sz w:val="20"/>
                <w:szCs w:val="20"/>
                <w:color w:val="auto"/>
              </w:rPr>
            </w:pPr>
            <w:r>
              <w:rPr>
                <w:rFonts w:ascii="Arial" w:cs="Arial" w:eastAsia="Arial" w:hAnsi="Arial"/>
                <w:sz w:val="8"/>
                <w:szCs w:val="8"/>
                <w:color w:val="auto"/>
                <w:w w:val="89"/>
              </w:rPr>
              <w:t>12,800</w:t>
            </w:r>
          </w:p>
        </w:tc>
        <w:tc>
          <w:tcPr>
            <w:tcW w:w="80" w:type="dxa"/>
            <w:vAlign w:val="bottom"/>
            <w:gridSpan w:val="2"/>
            <w:vMerge w:val="continue"/>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jc w:val="right"/>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26,000</w:t>
            </w:r>
          </w:p>
        </w:tc>
        <w:tc>
          <w:tcPr>
            <w:tcW w:w="80" w:type="dxa"/>
            <w:vAlign w:val="bottom"/>
            <w:gridSpan w:val="2"/>
            <w:vMerge w:val="continue"/>
            <w:shd w:val="clear" w:color="auto" w:fill="CCEEFF"/>
          </w:tcPr>
          <w:p>
            <w:pPr>
              <w:spacing w:after="0"/>
              <w:rPr>
                <w:sz w:val="7"/>
                <w:szCs w:val="7"/>
                <w:color w:val="auto"/>
              </w:rPr>
            </w:pPr>
          </w:p>
        </w:tc>
        <w:tc>
          <w:tcPr>
            <w:tcW w:w="60" w:type="dxa"/>
            <w:vAlign w:val="bottom"/>
            <w:gridSpan w:val="3"/>
            <w:shd w:val="clear" w:color="auto" w:fill="CCEEFF"/>
          </w:tcPr>
          <w:p>
            <w:pPr>
              <w:jc w:val="right"/>
              <w:ind w:right="33"/>
              <w:spacing w:after="0" w:line="77" w:lineRule="exact"/>
              <w:rPr>
                <w:sz w:val="20"/>
                <w:szCs w:val="20"/>
                <w:color w:val="auto"/>
              </w:rPr>
            </w:pPr>
            <w:r>
              <w:rPr>
                <w:rFonts w:ascii="Arial" w:cs="Arial" w:eastAsia="Arial" w:hAnsi="Arial"/>
                <w:sz w:val="5"/>
                <w:szCs w:val="5"/>
                <w:color w:val="auto"/>
              </w:rPr>
              <w:t>​</w:t>
            </w:r>
            <w:r>
              <w:rPr>
                <w:rFonts w:ascii="Arial" w:cs="Arial" w:eastAsia="Arial" w:hAnsi="Arial"/>
                <w:sz w:val="8"/>
                <w:szCs w:val="8"/>
                <w:color w:val="auto"/>
                <w:vertAlign w:val="superscript"/>
              </w:rPr>
              <w:t>​</w:t>
            </w:r>
          </w:p>
        </w:tc>
        <w:tc>
          <w:tcPr>
            <w:tcW w:w="280" w:type="dxa"/>
            <w:vAlign w:val="bottom"/>
            <w:shd w:val="clear" w:color="auto" w:fill="CCEEFF"/>
          </w:tcPr>
          <w:p>
            <w:pPr>
              <w:ind w:left="20"/>
              <w:spacing w:after="0" w:line="77" w:lineRule="exact"/>
              <w:rPr>
                <w:sz w:val="20"/>
                <w:szCs w:val="20"/>
                <w:color w:val="auto"/>
              </w:rPr>
            </w:pPr>
            <w:r>
              <w:rPr>
                <w:rFonts w:ascii="Arial" w:cs="Arial" w:eastAsia="Arial" w:hAnsi="Arial"/>
                <w:sz w:val="8"/>
                <w:szCs w:val="8"/>
                <w:color w:val="auto"/>
                <w:w w:val="97"/>
              </w:rPr>
              <w:t>32,857</w:t>
            </w:r>
          </w:p>
        </w:tc>
        <w:tc>
          <w:tcPr>
            <w:tcW w:w="60" w:type="dxa"/>
            <w:vAlign w:val="bottom"/>
            <w:gridSpan w:val="2"/>
            <w:vMerge w:val="continue"/>
            <w:shd w:val="clear" w:color="auto" w:fill="CCEEFF"/>
          </w:tcPr>
          <w:p>
            <w:pPr>
              <w:spacing w:after="0"/>
              <w:rPr>
                <w:sz w:val="7"/>
                <w:szCs w:val="7"/>
                <w:color w:val="auto"/>
              </w:rPr>
            </w:pPr>
          </w:p>
        </w:tc>
        <w:tc>
          <w:tcPr>
            <w:tcW w:w="380" w:type="dxa"/>
            <w:vAlign w:val="bottom"/>
            <w:tcBorders>
              <w:left w:val="single" w:sz="8" w:color="CCEEFF"/>
            </w:tcBorders>
            <w:gridSpan w:val="4"/>
            <w:shd w:val="clear" w:color="auto" w:fill="CCEEFF"/>
          </w:tcPr>
          <w:p>
            <w:pPr>
              <w:jc w:val="right"/>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$ 133,015</w:t>
            </w:r>
          </w:p>
        </w:tc>
        <w:tc>
          <w:tcPr>
            <w:tcW w:w="80" w:type="dxa"/>
            <w:vAlign w:val="bottom"/>
            <w:gridSpan w:val="3"/>
            <w:vMerge w:val="continue"/>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
                <w:szCs w:val="1"/>
                <w:color w:val="auto"/>
                <w:w w:val="4294964519"/>
              </w:rPr>
              <w:t>​</w:t>
            </w:r>
            <w:r>
              <w:rPr>
                <w:rFonts w:ascii="Arial" w:cs="Arial" w:eastAsia="Arial" w:hAnsi="Arial"/>
                <w:sz w:val="1"/>
                <w:szCs w:val="1"/>
                <w:color w:val="auto"/>
                <w:w w:val="4294964519"/>
                <w:vertAlign w:val="superscript"/>
              </w:rPr>
              <w:t>​</w:t>
            </w:r>
          </w:p>
        </w:tc>
        <w:tc>
          <w:tcPr>
            <w:tcW w:w="200" w:type="dxa"/>
            <w:vAlign w:val="bottom"/>
            <w:tcBorders>
              <w:righ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w w:val="89"/>
              </w:rPr>
              <w:t>2,161</w:t>
            </w:r>
          </w:p>
        </w:tc>
        <w:tc>
          <w:tcPr>
            <w:tcW w:w="100" w:type="dxa"/>
            <w:vAlign w:val="bottom"/>
            <w:tcBorders>
              <w:left w:val="single" w:sz="8" w:color="CCEEFF"/>
            </w:tcBorders>
            <w:gridSpan w:val="2"/>
            <w:vMerge w:val="continue"/>
            <w:shd w:val="clear" w:color="auto" w:fill="CCEEFF"/>
          </w:tcPr>
          <w:p>
            <w:pPr>
              <w:spacing w:after="0"/>
              <w:rPr>
                <w:sz w:val="7"/>
                <w:szCs w:val="7"/>
                <w:color w:val="auto"/>
              </w:rPr>
            </w:pPr>
          </w:p>
        </w:tc>
        <w:tc>
          <w:tcPr>
            <w:tcW w:w="60" w:type="dxa"/>
            <w:vAlign w:val="bottom"/>
            <w:tcBorders>
              <w:left w:val="single" w:sz="8" w:color="CCEEFF"/>
            </w:tcBorders>
            <w:shd w:val="clear" w:color="auto" w:fill="CCEEFF"/>
          </w:tcPr>
          <w:p>
            <w:pPr>
              <w:jc w:val="right"/>
              <w:spacing w:after="0" w:line="77" w:lineRule="exact"/>
              <w:rPr>
                <w:sz w:val="20"/>
                <w:szCs w:val="20"/>
                <w:color w:val="auto"/>
              </w:rPr>
            </w:pPr>
            <w:r>
              <w:rPr>
                <w:rFonts w:ascii="Arial" w:cs="Arial" w:eastAsia="Arial" w:hAnsi="Arial"/>
                <w:sz w:val="5"/>
                <w:szCs w:val="5"/>
                <w:color w:val="auto"/>
              </w:rPr>
              <w:t>​</w:t>
            </w:r>
            <w:r>
              <w:rPr>
                <w:rFonts w:ascii="Arial" w:cs="Arial" w:eastAsia="Arial" w:hAnsi="Arial"/>
                <w:sz w:val="8"/>
                <w:szCs w:val="8"/>
                <w:color w:val="auto"/>
                <w:vertAlign w:val="superscript"/>
              </w:rPr>
              <w:t>$</w:t>
            </w:r>
          </w:p>
        </w:tc>
        <w:tc>
          <w:tcPr>
            <w:tcW w:w="300" w:type="dxa"/>
            <w:vAlign w:val="bottom"/>
            <w:tcBorders>
              <w:left w:val="single" w:sz="8" w:color="CCEEFF"/>
              <w:right w:val="single" w:sz="8" w:color="CCEEFF"/>
            </w:tcBorders>
            <w:gridSpan w:val="3"/>
            <w:shd w:val="clear" w:color="auto" w:fill="CCEEFF"/>
          </w:tcPr>
          <w:p>
            <w:pPr>
              <w:ind w:left="80"/>
              <w:spacing w:after="0" w:line="77" w:lineRule="exact"/>
              <w:rPr>
                <w:sz w:val="20"/>
                <w:szCs w:val="20"/>
                <w:color w:val="auto"/>
              </w:rPr>
            </w:pPr>
            <w:r>
              <w:rPr>
                <w:rFonts w:ascii="Arial" w:cs="Arial" w:eastAsia="Arial" w:hAnsi="Arial"/>
                <w:sz w:val="8"/>
                <w:szCs w:val="8"/>
                <w:color w:val="auto"/>
                <w:w w:val="89"/>
              </w:rPr>
              <w:t>8,959</w:t>
            </w:r>
          </w:p>
        </w:tc>
        <w:tc>
          <w:tcPr>
            <w:tcW w:w="160" w:type="dxa"/>
            <w:vAlign w:val="bottom"/>
            <w:tcBorders>
              <w:left w:val="single" w:sz="8" w:color="CCEEFF"/>
            </w:tcBorders>
            <w:gridSpan w:val="2"/>
            <w:vMerge w:val="continue"/>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CCEEFF"/>
          </w:tcPr>
          <w:p>
            <w:pPr>
              <w:jc w:val="right"/>
              <w:spacing w:after="0" w:line="77" w:lineRule="exact"/>
              <w:rPr>
                <w:sz w:val="20"/>
                <w:szCs w:val="20"/>
                <w:color w:val="auto"/>
              </w:rPr>
            </w:pPr>
            <w:r>
              <w:rPr>
                <w:rFonts w:ascii="Arial" w:cs="Arial" w:eastAsia="Arial" w:hAnsi="Arial"/>
                <w:sz w:val="8"/>
                <w:szCs w:val="8"/>
                <w:color w:val="auto"/>
                <w:w w:val="88"/>
              </w:rPr>
              <w:t>$</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jc w:val="right"/>
              <w:spacing w:after="0" w:line="77" w:lineRule="exact"/>
              <w:rPr>
                <w:sz w:val="20"/>
                <w:szCs w:val="20"/>
                <w:color w:val="auto"/>
              </w:rPr>
            </w:pPr>
            <w:r>
              <w:rPr>
                <w:rFonts w:ascii="Arial" w:cs="Arial" w:eastAsia="Arial" w:hAnsi="Arial"/>
                <w:sz w:val="8"/>
                <w:szCs w:val="8"/>
                <w:color w:val="auto"/>
              </w:rPr>
              <w:t>—</w:t>
            </w:r>
          </w:p>
        </w:tc>
        <w:tc>
          <w:tcPr>
            <w:tcW w:w="8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ind w:left="20"/>
              <w:spacing w:after="0" w:line="77" w:lineRule="exact"/>
              <w:rPr>
                <w:sz w:val="20"/>
                <w:szCs w:val="20"/>
                <w:color w:val="auto"/>
              </w:rPr>
            </w:pPr>
            <w:r>
              <w:rPr>
                <w:rFonts w:ascii="Arial" w:cs="Arial" w:eastAsia="Arial" w:hAnsi="Arial"/>
                <w:sz w:val="8"/>
                <w:szCs w:val="8"/>
                <w:color w:val="auto"/>
              </w:rPr>
              <w:t>​</w:t>
            </w:r>
          </w:p>
        </w:tc>
        <w:tc>
          <w:tcPr>
            <w:tcW w:w="40" w:type="dxa"/>
            <w:vAlign w:val="bottom"/>
            <w:gridSpan w:val="2"/>
            <w:vMerge w:val="continue"/>
            <w:shd w:val="clear" w:color="auto" w:fill="CCEEFF"/>
          </w:tcPr>
          <w:p>
            <w:pPr>
              <w:spacing w:after="0"/>
              <w:rPr>
                <w:sz w:val="7"/>
                <w:szCs w:val="7"/>
                <w:color w:val="auto"/>
              </w:rPr>
            </w:pPr>
          </w:p>
        </w:tc>
        <w:tc>
          <w:tcPr>
            <w:tcW w:w="80" w:type="dxa"/>
            <w:vAlign w:val="bottom"/>
            <w:gridSpan w:val="2"/>
            <w:shd w:val="clear" w:color="auto" w:fill="CCEEFF"/>
          </w:tcPr>
          <w:p>
            <w:pPr>
              <w:jc w:val="right"/>
              <w:ind w:right="57"/>
              <w:spacing w:after="0"/>
              <w:rPr>
                <w:sz w:val="20"/>
                <w:szCs w:val="20"/>
                <w:color w:val="auto"/>
              </w:rPr>
            </w:pPr>
            <w:r>
              <w:rPr>
                <w:rFonts w:ascii="Arial" w:cs="Arial" w:eastAsia="Arial" w:hAnsi="Arial"/>
                <w:sz w:val="1"/>
                <w:szCs w:val="1"/>
                <w:color w:val="auto"/>
                <w:w w:val="4294964519"/>
              </w:rPr>
              <w:t>​</w:t>
            </w:r>
            <w:r>
              <w:rPr>
                <w:rFonts w:ascii="Arial" w:cs="Arial" w:eastAsia="Arial" w:hAnsi="Arial"/>
                <w:sz w:val="1"/>
                <w:szCs w:val="1"/>
                <w:color w:val="auto"/>
                <w:w w:val="4294964519"/>
                <w:vertAlign w:val="superscript"/>
              </w:rPr>
              <w:t>​</w:t>
            </w:r>
          </w:p>
        </w:tc>
        <w:tc>
          <w:tcPr>
            <w:tcW w:w="280" w:type="dxa"/>
            <w:vAlign w:val="bottom"/>
            <w:shd w:val="clear" w:color="auto" w:fill="CCEEFF"/>
          </w:tcPr>
          <w:p>
            <w:pPr>
              <w:ind w:left="20"/>
              <w:spacing w:after="0" w:line="77" w:lineRule="exact"/>
              <w:rPr>
                <w:sz w:val="20"/>
                <w:szCs w:val="20"/>
                <w:color w:val="auto"/>
              </w:rPr>
            </w:pPr>
            <w:r>
              <w:rPr>
                <w:rFonts w:ascii="Arial" w:cs="Arial" w:eastAsia="Arial" w:hAnsi="Arial"/>
                <w:sz w:val="8"/>
                <w:szCs w:val="8"/>
                <w:color w:val="auto"/>
                <w:w w:val="97"/>
              </w:rPr>
              <w:t>10,527</w:t>
            </w:r>
          </w:p>
        </w:tc>
        <w:tc>
          <w:tcPr>
            <w:tcW w:w="140" w:type="dxa"/>
            <w:vAlign w:val="bottom"/>
            <w:tcBorders>
              <w:right w:val="single" w:sz="8" w:color="CCEEFF"/>
            </w:tcBorders>
            <w:gridSpan w:val="2"/>
            <w:vMerge w:val="continue"/>
            <w:shd w:val="clear" w:color="auto" w:fill="CCEEFF"/>
          </w:tcPr>
          <w:p>
            <w:pPr>
              <w:spacing w:after="0"/>
              <w:rPr>
                <w:sz w:val="7"/>
                <w:szCs w:val="7"/>
                <w:color w:val="auto"/>
              </w:rPr>
            </w:pPr>
          </w:p>
        </w:tc>
        <w:tc>
          <w:tcPr>
            <w:tcW w:w="60" w:type="dxa"/>
            <w:vAlign w:val="bottom"/>
            <w:tcBorders>
              <w:left w:val="single" w:sz="8" w:color="CCEEFF"/>
            </w:tcBorders>
            <w:shd w:val="clear" w:color="auto" w:fill="CCEEFF"/>
          </w:tcPr>
          <w:p>
            <w:pPr>
              <w:spacing w:after="0" w:line="77" w:lineRule="exact"/>
              <w:rPr>
                <w:sz w:val="20"/>
                <w:szCs w:val="20"/>
                <w:color w:val="auto"/>
              </w:rPr>
            </w:pPr>
            <w:r>
              <w:rPr>
                <w:rFonts w:ascii="Arial" w:cs="Arial" w:eastAsia="Arial" w:hAnsi="Arial"/>
                <w:sz w:val="5"/>
                <w:szCs w:val="5"/>
                <w:color w:val="auto"/>
              </w:rPr>
              <w:t>​</w:t>
            </w:r>
            <w:r>
              <w:rPr>
                <w:rFonts w:ascii="Arial" w:cs="Arial" w:eastAsia="Arial" w:hAnsi="Arial"/>
                <w:sz w:val="8"/>
                <w:szCs w:val="8"/>
                <w:color w:val="auto"/>
                <w:vertAlign w:val="superscript"/>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77" w:lineRule="exact"/>
              <w:rPr>
                <w:sz w:val="20"/>
                <w:szCs w:val="20"/>
                <w:color w:val="auto"/>
              </w:rPr>
            </w:pPr>
            <w:r>
              <w:rPr>
                <w:rFonts w:ascii="Arial" w:cs="Arial" w:eastAsia="Arial" w:hAnsi="Arial"/>
                <w:sz w:val="8"/>
                <w:szCs w:val="8"/>
                <w:color w:val="auto"/>
              </w:rPr>
              <w:t>1</w:t>
            </w:r>
          </w:p>
        </w:tc>
        <w:tc>
          <w:tcPr>
            <w:tcW w:w="20" w:type="dxa"/>
            <w:vAlign w:val="bottom"/>
            <w:vMerge w:val="continue"/>
            <w:shd w:val="clear" w:color="auto" w:fill="CCEEFF"/>
          </w:tcPr>
          <w:p>
            <w:pPr>
              <w:spacing w:after="0"/>
              <w:rPr>
                <w:sz w:val="7"/>
                <w:szCs w:val="7"/>
                <w:color w:val="auto"/>
              </w:rPr>
            </w:pPr>
          </w:p>
        </w:tc>
        <w:tc>
          <w:tcPr>
            <w:tcW w:w="220" w:type="dxa"/>
            <w:vAlign w:val="bottom"/>
            <w:tcBorders>
              <w:right w:val="single" w:sz="8" w:color="CCEEFF"/>
            </w:tcBorders>
            <w:gridSpan w:val="4"/>
            <w:shd w:val="clear" w:color="auto" w:fill="CCEEFF"/>
          </w:tcPr>
          <w:p>
            <w:pPr>
              <w:ind w:left="80"/>
              <w:spacing w:after="0" w:line="77" w:lineRule="exact"/>
              <w:rPr>
                <w:sz w:val="20"/>
                <w:szCs w:val="20"/>
                <w:color w:val="auto"/>
              </w:rPr>
            </w:pPr>
            <w:r>
              <w:rPr>
                <w:rFonts w:ascii="Arial" w:cs="Arial" w:eastAsia="Arial" w:hAnsi="Arial"/>
                <w:sz w:val="8"/>
                <w:szCs w:val="8"/>
                <w:color w:val="auto"/>
              </w:rPr>
              <w:t>​​​</w:t>
            </w:r>
          </w:p>
        </w:tc>
        <w:tc>
          <w:tcPr>
            <w:tcW w:w="160" w:type="dxa"/>
            <w:vAlign w:val="bottom"/>
            <w:tcBorders>
              <w:left w:val="single" w:sz="8" w:color="CCEEFF"/>
            </w:tcBorders>
            <w:gridSpan w:val="2"/>
            <w:shd w:val="clear" w:color="auto" w:fill="CCEEFF"/>
          </w:tcPr>
          <w:p>
            <w:pPr>
              <w:spacing w:after="0" w:line="77" w:lineRule="exact"/>
              <w:rPr>
                <w:sz w:val="20"/>
                <w:szCs w:val="20"/>
                <w:color w:val="auto"/>
              </w:rPr>
            </w:pPr>
            <w:r>
              <w:rPr>
                <w:rFonts w:ascii="Arial" w:cs="Arial" w:eastAsia="Arial" w:hAnsi="Arial"/>
                <w:sz w:val="5"/>
                <w:szCs w:val="5"/>
                <w:color w:val="auto"/>
              </w:rPr>
              <w:t xml:space="preserve">​ </w:t>
            </w:r>
            <w:r>
              <w:rPr>
                <w:rFonts w:ascii="Arial" w:cs="Arial" w:eastAsia="Arial" w:hAnsi="Arial"/>
                <w:sz w:val="8"/>
                <w:szCs w:val="8"/>
                <w:color w:val="auto"/>
                <w:vertAlign w:val="superscript"/>
              </w:rPr>
              <w:t>$</w:t>
            </w:r>
          </w:p>
        </w:tc>
        <w:tc>
          <w:tcPr>
            <w:tcW w:w="240" w:type="dxa"/>
            <w:vAlign w:val="bottom"/>
            <w:shd w:val="clear" w:color="auto" w:fill="CCEEFF"/>
          </w:tcPr>
          <w:p>
            <w:pPr>
              <w:jc w:val="right"/>
              <w:spacing w:after="0" w:line="77" w:lineRule="exact"/>
              <w:rPr>
                <w:sz w:val="20"/>
                <w:szCs w:val="20"/>
                <w:color w:val="auto"/>
              </w:rPr>
            </w:pPr>
            <w:r>
              <w:rPr>
                <w:rFonts w:ascii="Arial" w:cs="Arial" w:eastAsia="Arial" w:hAnsi="Arial"/>
                <w:sz w:val="8"/>
                <w:szCs w:val="8"/>
                <w:color w:val="auto"/>
              </w:rPr>
              <w:t>1,298</w:t>
            </w: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gridSpan w:val="3"/>
            <w:shd w:val="clear" w:color="auto" w:fill="CCEEFF"/>
          </w:tcPr>
          <w:p>
            <w:pPr>
              <w:jc w:val="right"/>
              <w:ind w:right="18"/>
              <w:spacing w:after="0" w:line="77" w:lineRule="exact"/>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
                <w:szCs w:val="1"/>
                <w:color w:val="auto"/>
                <w:w w:val="4294942296"/>
              </w:rPr>
              <w:t>​</w:t>
            </w:r>
          </w:p>
        </w:tc>
        <w:tc>
          <w:tcPr>
            <w:tcW w:w="80" w:type="dxa"/>
            <w:vAlign w:val="bottom"/>
            <w:shd w:val="clear" w:color="auto" w:fill="CCEEFF"/>
          </w:tcPr>
          <w:p>
            <w:pPr>
              <w:jc w:val="right"/>
              <w:spacing w:after="0" w:line="77" w:lineRule="exact"/>
              <w:rPr>
                <w:sz w:val="20"/>
                <w:szCs w:val="20"/>
                <w:color w:val="auto"/>
              </w:rPr>
            </w:pPr>
            <w:r>
              <w:rPr>
                <w:rFonts w:ascii="Arial" w:cs="Arial" w:eastAsia="Arial" w:hAnsi="Arial"/>
                <w:sz w:val="8"/>
                <w:szCs w:val="8"/>
                <w:color w:val="auto"/>
                <w:w w:val="88"/>
              </w:rPr>
              <w:t>$</w:t>
            </w:r>
          </w:p>
        </w:tc>
        <w:tc>
          <w:tcPr>
            <w:tcW w:w="40" w:type="dxa"/>
            <w:vAlign w:val="bottom"/>
            <w:shd w:val="clear" w:color="auto" w:fill="CCEEFF"/>
          </w:tcPr>
          <w:p>
            <w:pPr>
              <w:spacing w:after="0"/>
              <w:rPr>
                <w:sz w:val="7"/>
                <w:szCs w:val="7"/>
                <w:color w:val="auto"/>
              </w:rPr>
            </w:pPr>
          </w:p>
        </w:tc>
        <w:tc>
          <w:tcPr>
            <w:tcW w:w="180" w:type="dxa"/>
            <w:vAlign w:val="bottom"/>
            <w:tcBorders>
              <w:righ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w w:val="85"/>
              </w:rPr>
              <w:t>(135)</w:t>
            </w:r>
          </w:p>
        </w:tc>
        <w:tc>
          <w:tcPr>
            <w:tcW w:w="22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gridSpan w:val="2"/>
            <w:shd w:val="clear" w:color="auto" w:fill="CCEEFF"/>
          </w:tcPr>
          <w:p>
            <w:pPr>
              <w:jc w:val="right"/>
              <w:ind w:right="18"/>
              <w:spacing w:after="0" w:line="77" w:lineRule="exact"/>
              <w:rPr>
                <w:sz w:val="20"/>
                <w:szCs w:val="20"/>
                <w:color w:val="auto"/>
              </w:rPr>
            </w:pPr>
            <w:r>
              <w:rPr>
                <w:rFonts w:ascii="Arial" w:cs="Arial" w:eastAsia="Arial" w:hAnsi="Arial"/>
                <w:sz w:val="8"/>
                <w:szCs w:val="8"/>
                <w:color w:val="auto"/>
              </w:rPr>
              <w:t>​ ​​</w:t>
            </w:r>
          </w:p>
        </w:tc>
        <w:tc>
          <w:tcPr>
            <w:tcW w:w="100" w:type="dxa"/>
            <w:vAlign w:val="bottom"/>
            <w:gridSpan w:val="2"/>
            <w:shd w:val="clear" w:color="auto" w:fill="CCEEFF"/>
          </w:tcPr>
          <w:p>
            <w:pPr>
              <w:jc w:val="right"/>
              <w:ind w:right="16"/>
              <w:spacing w:after="0" w:line="77" w:lineRule="exact"/>
              <w:rPr>
                <w:sz w:val="20"/>
                <w:szCs w:val="20"/>
                <w:color w:val="auto"/>
              </w:rPr>
            </w:pPr>
            <w:r>
              <w:rPr>
                <w:rFonts w:ascii="Arial" w:cs="Arial" w:eastAsia="Arial" w:hAnsi="Arial"/>
                <w:sz w:val="5"/>
                <w:szCs w:val="5"/>
                <w:color w:val="auto"/>
                <w:w w:val="90"/>
              </w:rPr>
              <w:t xml:space="preserve">​ </w:t>
            </w:r>
            <w:r>
              <w:rPr>
                <w:rFonts w:ascii="Arial" w:cs="Arial" w:eastAsia="Arial" w:hAnsi="Arial"/>
                <w:sz w:val="8"/>
                <w:szCs w:val="8"/>
                <w:color w:val="auto"/>
                <w:w w:val="90"/>
                <w:vertAlign w:val="superscript"/>
              </w:rPr>
              <w:t>$</w:t>
            </w:r>
          </w:p>
        </w:tc>
        <w:tc>
          <w:tcPr>
            <w:tcW w:w="100" w:type="dxa"/>
            <w:vAlign w:val="bottom"/>
            <w:shd w:val="clear" w:color="auto" w:fill="CCEEFF"/>
          </w:tcPr>
          <w:p>
            <w:pPr>
              <w:spacing w:after="0"/>
              <w:rPr>
                <w:sz w:val="7"/>
                <w:szCs w:val="7"/>
                <w:color w:val="auto"/>
              </w:rPr>
            </w:pPr>
          </w:p>
        </w:tc>
        <w:tc>
          <w:tcPr>
            <w:tcW w:w="360" w:type="dxa"/>
            <w:vAlign w:val="bottom"/>
            <w:tcBorders>
              <w:right w:val="single" w:sz="8" w:color="CCEEFF"/>
            </w:tcBorders>
            <w:shd w:val="clear" w:color="auto" w:fill="CCEEFF"/>
          </w:tcPr>
          <w:p>
            <w:pPr>
              <w:jc w:val="right"/>
              <w:spacing w:after="0" w:line="77" w:lineRule="exact"/>
              <w:rPr>
                <w:sz w:val="20"/>
                <w:szCs w:val="20"/>
                <w:color w:val="auto"/>
              </w:rPr>
            </w:pPr>
            <w:r>
              <w:rPr>
                <w:rFonts w:ascii="Arial" w:cs="Arial" w:eastAsia="Arial" w:hAnsi="Arial"/>
                <w:sz w:val="8"/>
                <w:szCs w:val="8"/>
                <w:color w:val="auto"/>
                <w:w w:val="93"/>
              </w:rPr>
              <w:t>(105,077)</w:t>
            </w:r>
          </w:p>
        </w:tc>
        <w:tc>
          <w:tcPr>
            <w:tcW w:w="200" w:type="dxa"/>
            <w:vAlign w:val="bottom"/>
            <w:tcBorders>
              <w:left w:val="single" w:sz="8" w:color="CCEEFF"/>
            </w:tcBorders>
            <w:gridSpan w:val="3"/>
            <w:shd w:val="clear" w:color="auto" w:fill="CCEEFF"/>
          </w:tcPr>
          <w:p>
            <w:pPr>
              <w:ind w:left="60"/>
              <w:spacing w:after="0" w:line="77" w:lineRule="exact"/>
              <w:rPr>
                <w:sz w:val="20"/>
                <w:szCs w:val="20"/>
                <w:color w:val="auto"/>
              </w:rPr>
            </w:pPr>
            <w:r>
              <w:rPr>
                <w:rFonts w:ascii="Arial" w:cs="Arial" w:eastAsia="Arial" w:hAnsi="Arial"/>
                <w:sz w:val="8"/>
                <w:szCs w:val="8"/>
                <w:color w:val="auto"/>
              </w:rPr>
              <w:t>​​​</w:t>
            </w:r>
          </w:p>
        </w:tc>
        <w:tc>
          <w:tcPr>
            <w:tcW w:w="40" w:type="dxa"/>
            <w:vAlign w:val="bottom"/>
            <w:vMerge w:val="continue"/>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jc w:val="cente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0"/>
              <w:spacing w:after="0"/>
              <w:rPr>
                <w:sz w:val="20"/>
                <w:szCs w:val="20"/>
                <w:color w:val="auto"/>
              </w:rPr>
            </w:pPr>
            <w:r>
              <w:rPr>
                <w:rFonts w:ascii="Arial" w:cs="Arial" w:eastAsia="Arial" w:hAnsi="Arial"/>
                <w:sz w:val="8"/>
                <w:szCs w:val="8"/>
                <w:b w:val="1"/>
                <w:bCs w:val="1"/>
                <w:color w:val="auto"/>
              </w:rPr>
              <w:t>​</w:t>
            </w:r>
          </w:p>
        </w:tc>
        <w:tc>
          <w:tcPr>
            <w:tcW w:w="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left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tcBorders>
            <w:gridSpan w:val="4"/>
            <w:shd w:val="clear" w:color="auto" w:fill="000000"/>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left w:val="single" w:sz="8" w:color="auto"/>
            </w:tcBorders>
            <w:gridSpan w:val="3"/>
            <w:shd w:val="clear" w:color="auto" w:fill="000000"/>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tcBorders>
            <w:gridSpan w:val="4"/>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left w:val="single" w:sz="8" w:color="auto"/>
            </w:tcBorders>
            <w:gridSpan w:val="4"/>
            <w:shd w:val="clear" w:color="auto" w:fill="000000"/>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ind w:left="40"/>
              <w:spacing w:after="0"/>
              <w:rPr>
                <w:sz w:val="20"/>
                <w:szCs w:val="20"/>
                <w:color w:val="auto"/>
              </w:rPr>
            </w:pPr>
            <w:r>
              <w:rPr>
                <w:rFonts w:ascii="Arial" w:cs="Arial" w:eastAsia="Arial" w:hAnsi="Arial"/>
                <w:sz w:val="8"/>
                <w:szCs w:val="8"/>
                <w:b w:val="1"/>
                <w:bCs w:val="1"/>
                <w:color w:val="auto"/>
              </w:rPr>
              <w:t>​​​</w:t>
            </w: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gridSpan w:val="3"/>
            <w:shd w:val="clear" w:color="auto" w:fill="000000"/>
          </w:tcPr>
          <w:p>
            <w:pPr>
              <w:spacing w:after="0" w:line="20" w:lineRule="exact"/>
              <w:rPr>
                <w:sz w:val="1"/>
                <w:szCs w:val="1"/>
                <w:color w:val="auto"/>
              </w:rPr>
            </w:pPr>
          </w:p>
        </w:tc>
        <w:tc>
          <w:tcPr>
            <w:tcW w:w="380" w:type="dxa"/>
            <w:vAlign w:val="bottom"/>
            <w:tcBorders>
              <w:top w:val="single" w:sz="8" w:color="CCEEFF"/>
            </w:tcBorders>
            <w:gridSpan w:val="5"/>
          </w:tcPr>
          <w:p>
            <w:pPr>
              <w:spacing w:after="0" w:line="20" w:lineRule="exact"/>
              <w:rPr>
                <w:sz w:val="1"/>
                <w:szCs w:val="1"/>
                <w:color w:val="auto"/>
              </w:rPr>
            </w:pPr>
          </w:p>
        </w:tc>
        <w:tc>
          <w:tcPr>
            <w:tcW w:w="360" w:type="dxa"/>
            <w:vAlign w:val="bottom"/>
            <w:tcBorders>
              <w:top w:val="single" w:sz="8" w:color="auto"/>
            </w:tcBorders>
            <w:gridSpan w:val="3"/>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center"/>
              <w:spacing w:after="0"/>
              <w:rPr>
                <w:sz w:val="20"/>
                <w:szCs w:val="20"/>
                <w:color w:val="auto"/>
              </w:rPr>
            </w:pPr>
            <w:r>
              <w:rPr>
                <w:rFonts w:ascii="Arial" w:cs="Arial" w:eastAsia="Arial" w:hAnsi="Arial"/>
                <w:sz w:val="8"/>
                <w:szCs w:val="8"/>
                <w:b w:val="1"/>
                <w:bCs w:val="1"/>
                <w:color w:val="auto"/>
              </w:rPr>
              <w:t>​​​</w:t>
            </w:r>
          </w:p>
        </w:tc>
        <w:tc>
          <w:tcPr>
            <w:tcW w:w="180" w:type="dxa"/>
            <w:vAlign w:val="bottom"/>
            <w:tcBorders>
              <w:top w:val="single" w:sz="8" w:color="auto"/>
              <w:left w:val="single" w:sz="8" w:color="auto"/>
            </w:tcBorders>
            <w:gridSpan w:val="3"/>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8"/>
                <w:szCs w:val="8"/>
                <w:b w:val="1"/>
                <w:bCs w:val="1"/>
                <w:color w:val="auto"/>
              </w:rPr>
              <w:t>​​​</w:t>
            </w:r>
          </w:p>
        </w:tc>
        <w:tc>
          <w:tcPr>
            <w:tcW w:w="400" w:type="dxa"/>
            <w:vAlign w:val="bottom"/>
            <w:tcBorders>
              <w:top w:val="single" w:sz="8" w:color="auto"/>
              <w:left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3"/>
            <w:vMerge w:val="restart"/>
          </w:tcPr>
          <w:p>
            <w:pPr>
              <w:ind w:left="20"/>
              <w:spacing w:after="0"/>
              <w:rPr>
                <w:sz w:val="20"/>
                <w:szCs w:val="20"/>
                <w:color w:val="auto"/>
              </w:rPr>
            </w:pPr>
            <w:r>
              <w:rPr>
                <w:rFonts w:ascii="Arial" w:cs="Arial" w:eastAsia="Arial" w:hAnsi="Arial"/>
                <w:sz w:val="8"/>
                <w:szCs w:val="8"/>
                <w:b w:val="1"/>
                <w:bCs w:val="1"/>
                <w:color w:val="auto"/>
              </w:rPr>
              <w:t>​​​</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right w:val="single" w:sz="8" w:color="auto"/>
            </w:tcBorders>
            <w:gridSpan w:val="4"/>
            <w:shd w:val="clear" w:color="auto" w:fill="000000"/>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vMerge w:val="restart"/>
          </w:tcPr>
          <w:p>
            <w:pPr>
              <w:ind w:left="20"/>
              <w:spacing w:after="0"/>
              <w:rPr>
                <w:sz w:val="20"/>
                <w:szCs w:val="20"/>
                <w:color w:val="auto"/>
              </w:rPr>
            </w:pPr>
            <w:r>
              <w:rPr>
                <w:rFonts w:ascii="Arial" w:cs="Arial" w:eastAsia="Arial" w:hAnsi="Arial"/>
                <w:sz w:val="8"/>
                <w:szCs w:val="8"/>
                <w:b w:val="1"/>
                <w:bCs w:val="1"/>
                <w:color w:val="auto"/>
              </w:rPr>
              <w:t>​​​</w:t>
            </w:r>
          </w:p>
        </w:tc>
        <w:tc>
          <w:tcPr>
            <w:tcW w:w="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40" w:type="dxa"/>
            <w:vAlign w:val="bottom"/>
            <w:vMerge w:val="continue"/>
          </w:tcPr>
          <w:p>
            <w:pPr>
              <w:spacing w:after="0"/>
              <w:rPr>
                <w:sz w:val="10"/>
                <w:szCs w:val="10"/>
                <w:color w:val="auto"/>
              </w:rPr>
            </w:pPr>
          </w:p>
        </w:tc>
        <w:tc>
          <w:tcPr>
            <w:tcW w:w="420" w:type="dxa"/>
            <w:vAlign w:val="bottom"/>
            <w:gridSpan w:val="6"/>
          </w:tcPr>
          <w:p>
            <w:pPr>
              <w:ind w:left="20"/>
              <w:spacing w:after="0"/>
              <w:rPr>
                <w:sz w:val="20"/>
                <w:szCs w:val="20"/>
                <w:color w:val="auto"/>
              </w:rPr>
            </w:pPr>
            <w:r>
              <w:rPr>
                <w:rFonts w:ascii="Arial" w:cs="Arial" w:eastAsia="Arial" w:hAnsi="Arial"/>
                <w:sz w:val="8"/>
                <w:szCs w:val="8"/>
                <w:b w:val="1"/>
                <w:bCs w:val="1"/>
                <w:color w:val="auto"/>
              </w:rPr>
              <w:t>​​​</w:t>
            </w:r>
          </w:p>
        </w:tc>
        <w:tc>
          <w:tcPr>
            <w:tcW w:w="440" w:type="dxa"/>
            <w:vAlign w:val="bottom"/>
            <w:gridSpan w:val="6"/>
          </w:tcPr>
          <w:p>
            <w:pPr>
              <w:jc w:val="right"/>
              <w:ind w:right="318"/>
              <w:spacing w:after="0"/>
              <w:rPr>
                <w:sz w:val="20"/>
                <w:szCs w:val="20"/>
                <w:color w:val="auto"/>
              </w:rPr>
            </w:pPr>
            <w:r>
              <w:rPr>
                <w:rFonts w:ascii="Arial" w:cs="Arial" w:eastAsia="Arial" w:hAnsi="Arial"/>
                <w:sz w:val="8"/>
                <w:szCs w:val="8"/>
                <w:b w:val="1"/>
                <w:bCs w:val="1"/>
                <w:color w:val="auto"/>
              </w:rPr>
              <w:t>​​​</w:t>
            </w:r>
          </w:p>
        </w:tc>
        <w:tc>
          <w:tcPr>
            <w:tcW w:w="400" w:type="dxa"/>
            <w:vAlign w:val="bottom"/>
            <w:gridSpan w:val="6"/>
          </w:tcPr>
          <w:p>
            <w:pPr>
              <w:jc w:val="right"/>
              <w:ind w:right="298"/>
              <w:spacing w:after="0"/>
              <w:rPr>
                <w:sz w:val="20"/>
                <w:szCs w:val="20"/>
                <w:color w:val="auto"/>
              </w:rPr>
            </w:pPr>
            <w:r>
              <w:rPr>
                <w:rFonts w:ascii="Arial" w:cs="Arial" w:eastAsia="Arial" w:hAnsi="Arial"/>
                <w:sz w:val="8"/>
                <w:szCs w:val="8"/>
                <w:b w:val="1"/>
                <w:bCs w:val="1"/>
                <w:color w:val="auto"/>
              </w:rPr>
              <w:t>​​​</w:t>
            </w:r>
          </w:p>
        </w:tc>
        <w:tc>
          <w:tcPr>
            <w:tcW w:w="440" w:type="dxa"/>
            <w:vAlign w:val="bottom"/>
            <w:gridSpan w:val="5"/>
          </w:tcPr>
          <w:p>
            <w:pPr>
              <w:jc w:val="right"/>
              <w:ind w:right="318"/>
              <w:spacing w:after="0"/>
              <w:rPr>
                <w:sz w:val="20"/>
                <w:szCs w:val="20"/>
                <w:color w:val="auto"/>
              </w:rPr>
            </w:pPr>
            <w:r>
              <w:rPr>
                <w:rFonts w:ascii="Arial" w:cs="Arial" w:eastAsia="Arial" w:hAnsi="Arial"/>
                <w:sz w:val="8"/>
                <w:szCs w:val="8"/>
                <w:b w:val="1"/>
                <w:bCs w:val="1"/>
                <w:color w:val="auto"/>
              </w:rPr>
              <w:t>​​​</w:t>
            </w:r>
          </w:p>
        </w:tc>
        <w:tc>
          <w:tcPr>
            <w:tcW w:w="420" w:type="dxa"/>
            <w:vAlign w:val="bottom"/>
            <w:gridSpan w:val="6"/>
          </w:tcPr>
          <w:p>
            <w:pPr>
              <w:jc w:val="right"/>
              <w:ind w:right="298"/>
              <w:spacing w:after="0"/>
              <w:rPr>
                <w:sz w:val="20"/>
                <w:szCs w:val="20"/>
                <w:color w:val="auto"/>
              </w:rPr>
            </w:pPr>
            <w:r>
              <w:rPr>
                <w:rFonts w:ascii="Arial" w:cs="Arial" w:eastAsia="Arial" w:hAnsi="Arial"/>
                <w:sz w:val="8"/>
                <w:szCs w:val="8"/>
                <w:b w:val="1"/>
                <w:bCs w:val="1"/>
                <w:color w:val="auto"/>
              </w:rPr>
              <w:t>​​​</w:t>
            </w:r>
          </w:p>
        </w:tc>
        <w:tc>
          <w:tcPr>
            <w:tcW w:w="440" w:type="dxa"/>
            <w:vAlign w:val="bottom"/>
            <w:gridSpan w:val="6"/>
          </w:tcPr>
          <w:p>
            <w:pPr>
              <w:jc w:val="right"/>
              <w:ind w:right="318"/>
              <w:spacing w:after="0"/>
              <w:rPr>
                <w:sz w:val="20"/>
                <w:szCs w:val="20"/>
                <w:color w:val="auto"/>
              </w:rPr>
            </w:pPr>
            <w:r>
              <w:rPr>
                <w:rFonts w:ascii="Arial" w:cs="Arial" w:eastAsia="Arial" w:hAnsi="Arial"/>
                <w:sz w:val="8"/>
                <w:szCs w:val="8"/>
                <w:b w:val="1"/>
                <w:bCs w:val="1"/>
                <w:color w:val="auto"/>
              </w:rPr>
              <w:t>​​​</w:t>
            </w:r>
          </w:p>
        </w:tc>
        <w:tc>
          <w:tcPr>
            <w:tcW w:w="360" w:type="dxa"/>
            <w:vAlign w:val="bottom"/>
            <w:gridSpan w:val="6"/>
          </w:tcPr>
          <w:p>
            <w:pPr>
              <w:spacing w:after="0"/>
              <w:rPr>
                <w:sz w:val="20"/>
                <w:szCs w:val="20"/>
                <w:color w:val="auto"/>
              </w:rPr>
            </w:pPr>
            <w:r>
              <w:rPr>
                <w:rFonts w:ascii="Arial" w:cs="Arial" w:eastAsia="Arial" w:hAnsi="Arial"/>
                <w:sz w:val="8"/>
                <w:szCs w:val="8"/>
                <w:b w:val="1"/>
                <w:bCs w:val="1"/>
                <w:color w:val="auto"/>
              </w:rPr>
              <w:t>​​​</w:t>
            </w:r>
          </w:p>
        </w:tc>
        <w:tc>
          <w:tcPr>
            <w:tcW w:w="460" w:type="dxa"/>
            <w:vAlign w:val="bottom"/>
            <w:gridSpan w:val="6"/>
          </w:tcPr>
          <w:p>
            <w:pPr>
              <w:jc w:val="right"/>
              <w:ind w:right="298"/>
              <w:spacing w:after="0"/>
              <w:rPr>
                <w:sz w:val="20"/>
                <w:szCs w:val="20"/>
                <w:color w:val="auto"/>
              </w:rPr>
            </w:pPr>
            <w:r>
              <w:rPr>
                <w:rFonts w:ascii="Arial" w:cs="Arial" w:eastAsia="Arial" w:hAnsi="Arial"/>
                <w:sz w:val="8"/>
                <w:szCs w:val="8"/>
                <w:b w:val="1"/>
                <w:bCs w:val="1"/>
                <w:color w:val="auto"/>
              </w:rPr>
              <w:t>​​​</w:t>
            </w:r>
          </w:p>
        </w:tc>
        <w:tc>
          <w:tcPr>
            <w:tcW w:w="160" w:type="dxa"/>
            <w:vAlign w:val="bottom"/>
            <w:gridSpan w:val="2"/>
            <w:vMerge w:val="continue"/>
          </w:tcPr>
          <w:p>
            <w:pPr>
              <w:spacing w:after="0"/>
              <w:rPr>
                <w:sz w:val="10"/>
                <w:szCs w:val="10"/>
                <w:color w:val="auto"/>
              </w:rPr>
            </w:pPr>
          </w:p>
        </w:tc>
        <w:tc>
          <w:tcPr>
            <w:tcW w:w="1220" w:type="dxa"/>
            <w:vAlign w:val="bottom"/>
            <w:gridSpan w:val="12"/>
          </w:tcPr>
          <w:p>
            <w:pPr>
              <w:spacing w:after="0"/>
              <w:rPr>
                <w:sz w:val="20"/>
                <w:szCs w:val="20"/>
                <w:color w:val="auto"/>
              </w:rPr>
            </w:pPr>
            <w:r>
              <w:rPr>
                <w:rFonts w:ascii="Arial" w:cs="Arial" w:eastAsia="Arial" w:hAnsi="Arial"/>
                <w:sz w:val="8"/>
                <w:szCs w:val="8"/>
                <w:b w:val="1"/>
                <w:bCs w:val="1"/>
                <w:color w:val="auto"/>
              </w:rPr>
              <w:t>​​​</w:t>
            </w:r>
          </w:p>
        </w:tc>
        <w:tc>
          <w:tcPr>
            <w:tcW w:w="140" w:type="dxa"/>
            <w:vAlign w:val="bottom"/>
            <w:gridSpan w:val="2"/>
            <w:vMerge w:val="continue"/>
          </w:tcPr>
          <w:p>
            <w:pPr>
              <w:spacing w:after="0"/>
              <w:rPr>
                <w:sz w:val="10"/>
                <w:szCs w:val="10"/>
                <w:color w:val="auto"/>
              </w:rPr>
            </w:pPr>
          </w:p>
        </w:tc>
        <w:tc>
          <w:tcPr>
            <w:tcW w:w="300" w:type="dxa"/>
            <w:vAlign w:val="bottom"/>
            <w:gridSpan w:val="5"/>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500" w:type="dxa"/>
            <w:vAlign w:val="bottom"/>
            <w:gridSpan w:val="4"/>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740" w:type="dxa"/>
            <w:vAlign w:val="bottom"/>
            <w:gridSpan w:val="7"/>
          </w:tcPr>
          <w:p>
            <w:pPr>
              <w:spacing w:after="0"/>
              <w:rPr>
                <w:sz w:val="10"/>
                <w:szCs w:val="10"/>
                <w:color w:val="auto"/>
              </w:rPr>
            </w:pPr>
          </w:p>
        </w:tc>
        <w:tc>
          <w:tcPr>
            <w:tcW w:w="120" w:type="dxa"/>
            <w:vAlign w:val="bottom"/>
            <w:vMerge w:val="continue"/>
          </w:tcPr>
          <w:p>
            <w:pPr>
              <w:spacing w:after="0"/>
              <w:rPr>
                <w:sz w:val="10"/>
                <w:szCs w:val="10"/>
                <w:color w:val="auto"/>
              </w:rPr>
            </w:pPr>
          </w:p>
        </w:tc>
        <w:tc>
          <w:tcPr>
            <w:tcW w:w="660" w:type="dxa"/>
            <w:vAlign w:val="bottom"/>
            <w:gridSpan w:val="5"/>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0120" w:type="dxa"/>
            <w:vAlign w:val="bottom"/>
            <w:tcBorders>
              <w:bottom w:val="single" w:sz="8" w:color="auto"/>
            </w:tcBorders>
            <w:gridSpan w:val="96"/>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gridSpan w:val="4"/>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gridSpan w:val="31"/>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gridSpan w:val="4"/>
          </w:tcPr>
          <w:p>
            <w:pPr>
              <w:spacing w:after="0"/>
              <w:rPr>
                <w:sz w:val="7"/>
                <w:szCs w:val="7"/>
                <w:color w:val="auto"/>
              </w:rPr>
            </w:pPr>
          </w:p>
        </w:tc>
        <w:tc>
          <w:tcPr>
            <w:tcW w:w="220" w:type="dxa"/>
            <w:vAlign w:val="bottom"/>
            <w:tcBorders>
              <w:bottom w:val="single" w:sz="8" w:color="auto"/>
            </w:tcBorders>
            <w:gridSpan w:val="4"/>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6"/>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440" w:type="dxa"/>
            <w:vAlign w:val="bottom"/>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20"/>
                <w:szCs w:val="20"/>
                <w:color w:val="auto"/>
              </w:rPr>
            </w:pPr>
          </w:p>
        </w:tc>
        <w:tc>
          <w:tcPr>
            <w:tcW w:w="100" w:type="dxa"/>
            <w:vAlign w:val="bottom"/>
            <w:gridSpan w:val="4"/>
          </w:tcPr>
          <w:p>
            <w:pPr>
              <w:spacing w:after="0"/>
              <w:rPr>
                <w:sz w:val="20"/>
                <w:szCs w:val="20"/>
                <w:color w:val="auto"/>
              </w:rPr>
            </w:pPr>
            <w:r>
              <w:rPr>
                <w:rFonts w:ascii="Arial" w:cs="Arial" w:eastAsia="Arial" w:hAnsi="Arial"/>
                <w:sz w:val="8"/>
                <w:szCs w:val="8"/>
                <w:b w:val="1"/>
                <w:bCs w:val="1"/>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gridSpan w:val="31"/>
          </w:tcPr>
          <w:p>
            <w:pPr>
              <w:jc w:val="right"/>
              <w:spacing w:after="0"/>
              <w:rPr>
                <w:sz w:val="20"/>
                <w:szCs w:val="20"/>
                <w:color w:val="auto"/>
              </w:rPr>
            </w:pPr>
            <w:r>
              <w:rPr>
                <w:rFonts w:ascii="Arial" w:cs="Arial" w:eastAsia="Arial" w:hAnsi="Arial"/>
                <w:sz w:val="8"/>
                <w:szCs w:val="8"/>
                <w:b w:val="1"/>
                <w:bCs w:val="1"/>
                <w:color w:val="auto"/>
              </w:rPr>
              <w:t>REDEEMABLE CONVERTIBLE PREFERRED SHARES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8"/>
                <w:szCs w:val="8"/>
                <w:b w:val="1"/>
                <w:bCs w:val="1"/>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gridSpan w:val="2"/>
          </w:tcPr>
          <w:p>
            <w:pPr>
              <w:jc w:val="right"/>
              <w:ind w:right="37"/>
              <w:spacing w:after="0"/>
              <w:rPr>
                <w:sz w:val="20"/>
                <w:szCs w:val="20"/>
                <w:color w:val="auto"/>
              </w:rPr>
            </w:pPr>
            <w:r>
              <w:rPr>
                <w:rFonts w:ascii="Arial" w:cs="Arial" w:eastAsia="Arial" w:hAnsi="Arial"/>
                <w:sz w:val="8"/>
                <w:szCs w:val="8"/>
                <w:b w:val="1"/>
                <w:bCs w:val="1"/>
                <w:color w:val="auto"/>
              </w:rPr>
              <w:t>​​</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ind w:right="18"/>
              <w:spacing w:after="0"/>
              <w:rPr>
                <w:sz w:val="20"/>
                <w:szCs w:val="20"/>
                <w:color w:val="auto"/>
              </w:rPr>
            </w:pPr>
            <w:r>
              <w:rPr>
                <w:rFonts w:ascii="Arial" w:cs="Arial" w:eastAsia="Arial" w:hAnsi="Arial"/>
                <w:sz w:val="8"/>
                <w:szCs w:val="8"/>
                <w:b w:val="1"/>
                <w:bCs w:val="1"/>
                <w:color w:val="auto"/>
              </w:rPr>
              <w:t>​​​</w:t>
            </w:r>
          </w:p>
        </w:tc>
        <w:tc>
          <w:tcPr>
            <w:tcW w:w="200" w:type="dxa"/>
            <w:vAlign w:val="bottom"/>
            <w:gridSpan w:val="4"/>
          </w:tcPr>
          <w:p>
            <w:pPr>
              <w:ind w:left="20"/>
              <w:spacing w:after="0"/>
              <w:rPr>
                <w:sz w:val="20"/>
                <w:szCs w:val="20"/>
                <w:color w:val="auto"/>
              </w:rPr>
            </w:pPr>
            <w:r>
              <w:rPr>
                <w:rFonts w:ascii="Arial" w:cs="Arial" w:eastAsia="Arial" w:hAnsi="Arial"/>
                <w:sz w:val="8"/>
                <w:szCs w:val="8"/>
                <w:b w:val="1"/>
                <w:bCs w:val="1"/>
                <w:color w:val="auto"/>
              </w:rPr>
              <w:t>​ ​</w:t>
            </w:r>
          </w:p>
        </w:tc>
        <w:tc>
          <w:tcPr>
            <w:tcW w:w="220" w:type="dxa"/>
            <w:vAlign w:val="bottom"/>
            <w:gridSpan w:val="4"/>
          </w:tcPr>
          <w:p>
            <w:pPr>
              <w:jc w:val="right"/>
              <w:ind w:right="27"/>
              <w:spacing w:after="0"/>
              <w:rPr>
                <w:sz w:val="20"/>
                <w:szCs w:val="20"/>
                <w:color w:val="auto"/>
              </w:rPr>
            </w:pPr>
            <w:r>
              <w:rPr>
                <w:rFonts w:ascii="Arial" w:cs="Arial" w:eastAsia="Arial" w:hAnsi="Arial"/>
                <w:sz w:val="8"/>
                <w:szCs w:val="8"/>
                <w:b w:val="1"/>
                <w:bCs w:val="1"/>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6"/>
          </w:tcPr>
          <w:p>
            <w:pPr>
              <w:jc w:val="center"/>
              <w:spacing w:after="0"/>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520" w:type="dxa"/>
            <w:vAlign w:val="bottom"/>
            <w:gridSpan w:val="4"/>
          </w:tcPr>
          <w:p>
            <w:pPr>
              <w:spacing w:after="0"/>
              <w:rPr>
                <w:sz w:val="8"/>
                <w:szCs w:val="8"/>
                <w:color w:val="auto"/>
              </w:rPr>
            </w:pPr>
          </w:p>
        </w:tc>
        <w:tc>
          <w:tcPr>
            <w:tcW w:w="3360" w:type="dxa"/>
            <w:vAlign w:val="bottom"/>
            <w:tcBorders>
              <w:top w:val="single" w:sz="8" w:color="auto"/>
            </w:tcBorders>
            <w:gridSpan w:val="45"/>
          </w:tcPr>
          <w:p>
            <w:pPr>
              <w:spacing w:after="0"/>
              <w:rPr>
                <w:sz w:val="8"/>
                <w:szCs w:val="8"/>
                <w:color w:val="auto"/>
              </w:rPr>
            </w:pPr>
          </w:p>
        </w:tc>
        <w:tc>
          <w:tcPr>
            <w:tcW w:w="1040" w:type="dxa"/>
            <w:vAlign w:val="bottom"/>
            <w:gridSpan w:val="12"/>
          </w:tcPr>
          <w:p>
            <w:pPr>
              <w:spacing w:after="0"/>
              <w:rPr>
                <w:sz w:val="20"/>
                <w:szCs w:val="20"/>
                <w:color w:val="auto"/>
              </w:rPr>
            </w:pPr>
            <w:r>
              <w:rPr>
                <w:rFonts w:ascii="Arial" w:cs="Arial" w:eastAsia="Arial" w:hAnsi="Arial"/>
                <w:sz w:val="8"/>
                <w:szCs w:val="8"/>
                <w:b w:val="1"/>
                <w:bCs w:val="1"/>
                <w:color w:val="auto"/>
              </w:rPr>
              <w:t>REDEEMABLE</w:t>
            </w:r>
          </w:p>
        </w:tc>
        <w:tc>
          <w:tcPr>
            <w:tcW w:w="760" w:type="dxa"/>
            <w:vAlign w:val="bottom"/>
            <w:gridSpan w:val="10"/>
          </w:tcPr>
          <w:p>
            <w:pPr>
              <w:jc w:val="center"/>
              <w:ind w:right="78"/>
              <w:spacing w:after="0"/>
              <w:rPr>
                <w:sz w:val="20"/>
                <w:szCs w:val="20"/>
                <w:color w:val="auto"/>
              </w:rPr>
            </w:pPr>
            <w:r>
              <w:rPr>
                <w:rFonts w:ascii="Arial" w:cs="Arial" w:eastAsia="Arial" w:hAnsi="Arial"/>
                <w:sz w:val="8"/>
                <w:szCs w:val="8"/>
                <w:b w:val="1"/>
                <w:bCs w:val="1"/>
                <w:color w:val="auto"/>
              </w:rPr>
              <w:t>ORDINARY</w:t>
            </w:r>
          </w:p>
        </w:tc>
        <w:tc>
          <w:tcPr>
            <w:tcW w:w="880" w:type="dxa"/>
            <w:vAlign w:val="bottom"/>
            <w:gridSpan w:val="9"/>
          </w:tcPr>
          <w:p>
            <w:pPr>
              <w:jc w:val="center"/>
              <w:ind w:right="267"/>
              <w:spacing w:after="0"/>
              <w:rPr>
                <w:sz w:val="20"/>
                <w:szCs w:val="20"/>
                <w:color w:val="auto"/>
              </w:rPr>
            </w:pPr>
            <w:r>
              <w:rPr>
                <w:rFonts w:ascii="Arial" w:cs="Arial" w:eastAsia="Arial" w:hAnsi="Arial"/>
                <w:sz w:val="8"/>
                <w:szCs w:val="8"/>
                <w:b w:val="1"/>
                <w:bCs w:val="1"/>
                <w:color w:val="auto"/>
              </w:rPr>
              <w:t>ADDITIONAL</w:t>
            </w:r>
          </w:p>
        </w:tc>
        <w:tc>
          <w:tcPr>
            <w:tcW w:w="680" w:type="dxa"/>
            <w:vAlign w:val="bottom"/>
            <w:gridSpan w:val="7"/>
          </w:tcPr>
          <w:p>
            <w:pPr>
              <w:jc w:val="center"/>
              <w:ind w:right="298"/>
              <w:spacing w:after="0"/>
              <w:rPr>
                <w:sz w:val="20"/>
                <w:szCs w:val="20"/>
                <w:color w:val="auto"/>
              </w:rPr>
            </w:pPr>
            <w:r>
              <w:rPr>
                <w:rFonts w:ascii="Arial" w:cs="Arial" w:eastAsia="Arial" w:hAnsi="Arial"/>
                <w:sz w:val="8"/>
                <w:szCs w:val="8"/>
                <w:b w:val="1"/>
                <w:bCs w:val="1"/>
                <w:color w:val="auto"/>
              </w:rPr>
              <w:t>OTHER</w:t>
            </w:r>
          </w:p>
        </w:tc>
        <w:tc>
          <w:tcPr>
            <w:tcW w:w="880" w:type="dxa"/>
            <w:vAlign w:val="bottom"/>
            <w:gridSpan w:val="9"/>
            <w:vMerge w:val="restart"/>
          </w:tcPr>
          <w:p>
            <w:pPr>
              <w:spacing w:after="0"/>
              <w:rPr>
                <w:sz w:val="20"/>
                <w:szCs w:val="20"/>
                <w:color w:val="auto"/>
              </w:rPr>
            </w:pPr>
            <w:r>
              <w:rPr>
                <w:rFonts w:ascii="Arial" w:cs="Arial" w:eastAsia="Arial" w:hAnsi="Arial"/>
                <w:sz w:val="8"/>
                <w:szCs w:val="8"/>
                <w:b w:val="1"/>
                <w:bCs w:val="1"/>
                <w:color w:val="auto"/>
              </w:rPr>
              <w:t>ACCUMULATED  SHA</w:t>
            </w:r>
          </w:p>
        </w:tc>
        <w:tc>
          <w:tcPr>
            <w:tcW w:w="0" w:type="dxa"/>
            <w:vAlign w:val="bottom"/>
          </w:tcPr>
          <w:p>
            <w:pPr>
              <w:spacing w:after="0"/>
              <w:rPr>
                <w:sz w:val="1"/>
                <w:szCs w:val="1"/>
                <w:color w:val="auto"/>
              </w:rPr>
            </w:pPr>
          </w:p>
        </w:tc>
      </w:tr>
      <w:tr>
        <w:trPr>
          <w:trHeight w:val="113"/>
        </w:trPr>
        <w:tc>
          <w:tcPr>
            <w:tcW w:w="2440" w:type="dxa"/>
            <w:vAlign w:val="bottom"/>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9"/>
                <w:szCs w:val="9"/>
                <w:color w:val="auto"/>
              </w:rPr>
            </w:pPr>
          </w:p>
        </w:tc>
        <w:tc>
          <w:tcPr>
            <w:tcW w:w="100" w:type="dxa"/>
            <w:vAlign w:val="bottom"/>
            <w:gridSpan w:val="4"/>
          </w:tcPr>
          <w:p>
            <w:pPr>
              <w:spacing w:after="0"/>
              <w:rPr>
                <w:sz w:val="20"/>
                <w:szCs w:val="20"/>
                <w:color w:val="auto"/>
              </w:rPr>
            </w:pPr>
            <w:r>
              <w:rPr>
                <w:rFonts w:ascii="Arial" w:cs="Arial" w:eastAsia="Arial" w:hAnsi="Arial"/>
                <w:sz w:val="8"/>
                <w:szCs w:val="8"/>
                <w:b w:val="1"/>
                <w:bCs w:val="1"/>
                <w:color w:val="auto"/>
              </w:rPr>
              <w:t>​​</w:t>
            </w:r>
          </w:p>
        </w:tc>
        <w:tc>
          <w:tcPr>
            <w:tcW w:w="580" w:type="dxa"/>
            <w:vAlign w:val="bottom"/>
            <w:gridSpan w:val="6"/>
          </w:tcPr>
          <w:p>
            <w:pPr>
              <w:jc w:val="center"/>
              <w:ind w:left="38"/>
              <w:spacing w:after="0"/>
              <w:rPr>
                <w:sz w:val="20"/>
                <w:szCs w:val="20"/>
                <w:color w:val="auto"/>
              </w:rPr>
            </w:pPr>
            <w:r>
              <w:rPr>
                <w:rFonts w:ascii="Arial" w:cs="Arial" w:eastAsia="Arial" w:hAnsi="Arial"/>
                <w:sz w:val="8"/>
                <w:szCs w:val="8"/>
                <w:b w:val="1"/>
                <w:bCs w:val="1"/>
                <w:color w:val="auto"/>
              </w:rPr>
              <w:t>SERIES A</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4"/>
          </w:tcPr>
          <w:p>
            <w:pPr>
              <w:ind w:left="20"/>
              <w:spacing w:after="0"/>
              <w:rPr>
                <w:sz w:val="20"/>
                <w:szCs w:val="20"/>
                <w:color w:val="auto"/>
              </w:rPr>
            </w:pPr>
            <w:r>
              <w:rPr>
                <w:rFonts w:ascii="Arial" w:cs="Arial" w:eastAsia="Arial" w:hAnsi="Arial"/>
                <w:sz w:val="8"/>
                <w:szCs w:val="8"/>
                <w:b w:val="1"/>
                <w:bCs w:val="1"/>
                <w:color w:val="auto"/>
              </w:rPr>
              <w:t>​​</w:t>
            </w:r>
          </w:p>
        </w:tc>
        <w:tc>
          <w:tcPr>
            <w:tcW w:w="620" w:type="dxa"/>
            <w:vAlign w:val="bottom"/>
            <w:gridSpan w:val="5"/>
          </w:tcPr>
          <w:p>
            <w:pPr>
              <w:ind w:left="120"/>
              <w:spacing w:after="0"/>
              <w:rPr>
                <w:sz w:val="20"/>
                <w:szCs w:val="20"/>
                <w:color w:val="auto"/>
              </w:rPr>
            </w:pPr>
            <w:r>
              <w:rPr>
                <w:rFonts w:ascii="Arial" w:cs="Arial" w:eastAsia="Arial" w:hAnsi="Arial"/>
                <w:sz w:val="8"/>
                <w:szCs w:val="8"/>
                <w:b w:val="1"/>
                <w:bCs w:val="1"/>
                <w:color w:val="auto"/>
              </w:rPr>
              <w:t>SERIES A+</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4"/>
          </w:tcPr>
          <w:p>
            <w:pPr>
              <w:spacing w:after="0"/>
              <w:rPr>
                <w:sz w:val="20"/>
                <w:szCs w:val="20"/>
                <w:color w:val="auto"/>
              </w:rPr>
            </w:pPr>
            <w:r>
              <w:rPr>
                <w:rFonts w:ascii="Arial" w:cs="Arial" w:eastAsia="Arial" w:hAnsi="Arial"/>
                <w:sz w:val="8"/>
                <w:szCs w:val="8"/>
                <w:b w:val="1"/>
                <w:bCs w:val="1"/>
                <w:color w:val="auto"/>
              </w:rPr>
              <w:t>​​</w:t>
            </w:r>
          </w:p>
        </w:tc>
        <w:tc>
          <w:tcPr>
            <w:tcW w:w="600" w:type="dxa"/>
            <w:vAlign w:val="bottom"/>
            <w:gridSpan w:val="6"/>
          </w:tcPr>
          <w:p>
            <w:pPr>
              <w:jc w:val="center"/>
              <w:ind w:left="18"/>
              <w:spacing w:after="0"/>
              <w:rPr>
                <w:sz w:val="20"/>
                <w:szCs w:val="20"/>
                <w:color w:val="auto"/>
              </w:rPr>
            </w:pPr>
            <w:r>
              <w:rPr>
                <w:rFonts w:ascii="Arial" w:cs="Arial" w:eastAsia="Arial" w:hAnsi="Arial"/>
                <w:sz w:val="8"/>
                <w:szCs w:val="8"/>
                <w:b w:val="1"/>
                <w:bCs w:val="1"/>
                <w:color w:val="auto"/>
              </w:rPr>
              <w:t>SERIES B</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3"/>
          </w:tcPr>
          <w:p>
            <w:pPr>
              <w:jc w:val="right"/>
              <w:ind w:right="77"/>
              <w:spacing w:after="0"/>
              <w:rPr>
                <w:sz w:val="20"/>
                <w:szCs w:val="20"/>
                <w:color w:val="auto"/>
              </w:rPr>
            </w:pPr>
            <w:r>
              <w:rPr>
                <w:rFonts w:ascii="Arial" w:cs="Arial" w:eastAsia="Arial" w:hAnsi="Arial"/>
                <w:sz w:val="8"/>
                <w:szCs w:val="8"/>
                <w:b w:val="1"/>
                <w:bCs w:val="1"/>
                <w:color w:val="auto"/>
              </w:rPr>
              <w:t>​​</w:t>
            </w:r>
          </w:p>
        </w:tc>
        <w:tc>
          <w:tcPr>
            <w:tcW w:w="20" w:type="dxa"/>
            <w:vAlign w:val="bottom"/>
          </w:tcPr>
          <w:p>
            <w:pPr>
              <w:spacing w:after="0"/>
              <w:rPr>
                <w:sz w:val="9"/>
                <w:szCs w:val="9"/>
                <w:color w:val="auto"/>
              </w:rPr>
            </w:pPr>
          </w:p>
        </w:tc>
        <w:tc>
          <w:tcPr>
            <w:tcW w:w="640" w:type="dxa"/>
            <w:vAlign w:val="bottom"/>
            <w:gridSpan w:val="7"/>
          </w:tcPr>
          <w:p>
            <w:pPr>
              <w:jc w:val="right"/>
              <w:ind w:right="58"/>
              <w:spacing w:after="0"/>
              <w:rPr>
                <w:sz w:val="20"/>
                <w:szCs w:val="20"/>
                <w:color w:val="auto"/>
              </w:rPr>
            </w:pPr>
            <w:r>
              <w:rPr>
                <w:rFonts w:ascii="Arial" w:cs="Arial" w:eastAsia="Arial" w:hAnsi="Arial"/>
                <w:sz w:val="8"/>
                <w:szCs w:val="8"/>
                <w:b w:val="1"/>
                <w:bCs w:val="1"/>
                <w:color w:val="auto"/>
              </w:rPr>
              <w:t>SERIES B-1</w:t>
            </w:r>
          </w:p>
        </w:tc>
        <w:tc>
          <w:tcPr>
            <w:tcW w:w="60" w:type="dxa"/>
            <w:vAlign w:val="bottom"/>
          </w:tcPr>
          <w:p>
            <w:pPr>
              <w:spacing w:after="0"/>
              <w:rPr>
                <w:sz w:val="9"/>
                <w:szCs w:val="9"/>
                <w:color w:val="auto"/>
              </w:rPr>
            </w:pPr>
          </w:p>
        </w:tc>
        <w:tc>
          <w:tcPr>
            <w:tcW w:w="920" w:type="dxa"/>
            <w:vAlign w:val="bottom"/>
            <w:gridSpan w:val="8"/>
          </w:tcPr>
          <w:p>
            <w:pPr>
              <w:jc w:val="center"/>
              <w:spacing w:after="0"/>
              <w:rPr>
                <w:sz w:val="20"/>
                <w:szCs w:val="20"/>
                <w:color w:val="auto"/>
              </w:rPr>
            </w:pPr>
            <w:r>
              <w:rPr>
                <w:rFonts w:ascii="Arial" w:cs="Arial" w:eastAsia="Arial" w:hAnsi="Arial"/>
                <w:sz w:val="8"/>
                <w:szCs w:val="8"/>
                <w:b w:val="1"/>
                <w:bCs w:val="1"/>
                <w:color w:val="auto"/>
              </w:rPr>
              <w:t>​NONCONTROLLING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jc w:val="right"/>
              <w:ind w:right="57"/>
              <w:spacing w:after="0"/>
              <w:rPr>
                <w:sz w:val="20"/>
                <w:szCs w:val="20"/>
                <w:color w:val="auto"/>
              </w:rPr>
            </w:pPr>
            <w:r>
              <w:rPr>
                <w:rFonts w:ascii="Arial" w:cs="Arial" w:eastAsia="Arial" w:hAnsi="Arial"/>
                <w:sz w:val="1"/>
                <w:szCs w:val="1"/>
                <w:b w:val="1"/>
                <w:bCs w:val="1"/>
                <w:color w:val="auto"/>
                <w:w w:val="4294942296"/>
              </w:rPr>
              <w:t>​</w:t>
            </w:r>
          </w:p>
        </w:tc>
        <w:tc>
          <w:tcPr>
            <w:tcW w:w="620" w:type="dxa"/>
            <w:vAlign w:val="bottom"/>
            <w:gridSpan w:val="7"/>
          </w:tcPr>
          <w:p>
            <w:pPr>
              <w:jc w:val="right"/>
              <w:ind w:right="95"/>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jc w:val="right"/>
              <w:ind w:right="27"/>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9"/>
                <w:szCs w:val="9"/>
                <w:color w:val="auto"/>
              </w:rPr>
            </w:pPr>
          </w:p>
        </w:tc>
        <w:tc>
          <w:tcPr>
            <w:tcW w:w="460" w:type="dxa"/>
            <w:vAlign w:val="bottom"/>
            <w:gridSpan w:val="3"/>
          </w:tcPr>
          <w:p>
            <w:pPr>
              <w:jc w:val="center"/>
              <w:ind w:right="80"/>
              <w:spacing w:after="0"/>
              <w:rPr>
                <w:sz w:val="20"/>
                <w:szCs w:val="20"/>
                <w:color w:val="auto"/>
              </w:rPr>
            </w:pPr>
            <w:r>
              <w:rPr>
                <w:rFonts w:ascii="Arial" w:cs="Arial" w:eastAsia="Arial" w:hAnsi="Arial"/>
                <w:sz w:val="8"/>
                <w:szCs w:val="8"/>
                <w:b w:val="1"/>
                <w:bCs w:val="1"/>
                <w:color w:val="auto"/>
              </w:rPr>
              <w:t>PAID-IN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8"/>
          </w:tcPr>
          <w:p>
            <w:pPr>
              <w:jc w:val="right"/>
              <w:spacing w:after="0"/>
              <w:rPr>
                <w:sz w:val="20"/>
                <w:szCs w:val="20"/>
                <w:color w:val="auto"/>
              </w:rPr>
            </w:pPr>
            <w:r>
              <w:rPr>
                <w:rFonts w:ascii="Arial" w:cs="Arial" w:eastAsia="Arial" w:hAnsi="Arial"/>
                <w:sz w:val="8"/>
                <w:szCs w:val="8"/>
                <w:b w:val="1"/>
                <w:bCs w:val="1"/>
                <w:color w:val="auto"/>
              </w:rPr>
              <w:t>COMPREHENSIVE</w:t>
            </w:r>
          </w:p>
        </w:tc>
        <w:tc>
          <w:tcPr>
            <w:tcW w:w="120" w:type="dxa"/>
            <w:vAlign w:val="bottom"/>
          </w:tcPr>
          <w:p>
            <w:pPr>
              <w:spacing w:after="0"/>
              <w:rPr>
                <w:sz w:val="9"/>
                <w:szCs w:val="9"/>
                <w:color w:val="auto"/>
              </w:rPr>
            </w:pPr>
          </w:p>
        </w:tc>
        <w:tc>
          <w:tcPr>
            <w:tcW w:w="8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line="20" w:lineRule="exact"/>
              <w:rPr>
                <w:sz w:val="1"/>
                <w:szCs w:val="1"/>
                <w:color w:val="auto"/>
              </w:rPr>
            </w:pPr>
          </w:p>
        </w:tc>
        <w:tc>
          <w:tcPr>
            <w:tcW w:w="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w:t>
            </w:r>
          </w:p>
        </w:tc>
        <w:tc>
          <w:tcPr>
            <w:tcW w:w="800" w:type="dxa"/>
            <w:vAlign w:val="bottom"/>
            <w:gridSpan w:val="10"/>
            <w:shd w:val="clear" w:color="auto" w:fill="000000"/>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800" w:type="dxa"/>
            <w:vAlign w:val="bottom"/>
            <w:gridSpan w:val="9"/>
            <w:shd w:val="clear" w:color="auto" w:fill="000000"/>
          </w:tcPr>
          <w:p>
            <w:pPr>
              <w:spacing w:after="0" w:line="20" w:lineRule="exact"/>
              <w:rPr>
                <w:sz w:val="1"/>
                <w:szCs w:val="1"/>
                <w:color w:val="auto"/>
              </w:rPr>
            </w:pPr>
          </w:p>
        </w:tc>
        <w:tc>
          <w:tcPr>
            <w:tcW w:w="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w:t>
            </w:r>
          </w:p>
        </w:tc>
        <w:tc>
          <w:tcPr>
            <w:tcW w:w="780" w:type="dxa"/>
            <w:vAlign w:val="bottom"/>
            <w:gridSpan w:val="10"/>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820" w:type="dxa"/>
            <w:vAlign w:val="bottom"/>
            <w:gridSpan w:val="11"/>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720" w:type="dxa"/>
            <w:vAlign w:val="bottom"/>
            <w:gridSpan w:val="6"/>
            <w:vMerge w:val="restart"/>
          </w:tcPr>
          <w:p>
            <w:pPr>
              <w:ind w:left="160"/>
              <w:spacing w:after="0"/>
              <w:rPr>
                <w:sz w:val="20"/>
                <w:szCs w:val="20"/>
                <w:color w:val="auto"/>
              </w:rPr>
            </w:pPr>
            <w:r>
              <w:rPr>
                <w:rFonts w:ascii="Arial" w:cs="Arial" w:eastAsia="Arial" w:hAnsi="Arial"/>
                <w:sz w:val="8"/>
                <w:szCs w:val="8"/>
                <w:b w:val="1"/>
                <w:bCs w:val="1"/>
                <w:color w:val="auto"/>
              </w:rPr>
              <w:t>INTEREST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11"/>
            <w:shd w:val="clear" w:color="auto" w:fill="000000"/>
          </w:tcPr>
          <w:p>
            <w:pPr>
              <w:spacing w:after="0" w:line="20" w:lineRule="exact"/>
              <w:rPr>
                <w:sz w:val="1"/>
                <w:szCs w:val="1"/>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line="20" w:lineRule="exact"/>
              <w:rPr>
                <w:sz w:val="1"/>
                <w:szCs w:val="1"/>
                <w:color w:val="auto"/>
              </w:rPr>
            </w:pPr>
          </w:p>
        </w:tc>
        <w:tc>
          <w:tcPr>
            <w:tcW w:w="460" w:type="dxa"/>
            <w:vAlign w:val="bottom"/>
            <w:gridSpan w:val="3"/>
            <w:vMerge w:val="restart"/>
          </w:tcPr>
          <w:p>
            <w:pPr>
              <w:jc w:val="center"/>
              <w:ind w:right="80"/>
              <w:spacing w:after="0"/>
              <w:rPr>
                <w:sz w:val="20"/>
                <w:szCs w:val="20"/>
                <w:color w:val="auto"/>
              </w:rPr>
            </w:pPr>
            <w:r>
              <w:rPr>
                <w:rFonts w:ascii="Arial" w:cs="Arial" w:eastAsia="Arial" w:hAnsi="Arial"/>
                <w:sz w:val="8"/>
                <w:szCs w:val="8"/>
                <w:b w:val="1"/>
                <w:bCs w:val="1"/>
                <w:color w:val="auto"/>
              </w:rPr>
              <w:t>CAPITAL</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180" w:type="dxa"/>
            <w:vAlign w:val="bottom"/>
          </w:tcPr>
          <w:p>
            <w:pPr>
              <w:spacing w:after="0" w:line="20" w:lineRule="exact"/>
              <w:rPr>
                <w:sz w:val="1"/>
                <w:szCs w:val="1"/>
                <w:color w:val="auto"/>
              </w:rPr>
            </w:pPr>
          </w:p>
        </w:tc>
        <w:tc>
          <w:tcPr>
            <w:tcW w:w="520" w:type="dxa"/>
            <w:vAlign w:val="bottom"/>
            <w:gridSpan w:val="5"/>
            <w:vMerge w:val="restart"/>
          </w:tcPr>
          <w:p>
            <w:pPr>
              <w:ind w:left="60"/>
              <w:spacing w:after="0"/>
              <w:rPr>
                <w:sz w:val="20"/>
                <w:szCs w:val="20"/>
                <w:color w:val="auto"/>
              </w:rPr>
            </w:pPr>
            <w:r>
              <w:rPr>
                <w:rFonts w:ascii="Arial" w:cs="Arial" w:eastAsia="Arial" w:hAnsi="Arial"/>
                <w:sz w:val="8"/>
                <w:szCs w:val="8"/>
                <w:b w:val="1"/>
                <w:bCs w:val="1"/>
                <w:color w:val="auto"/>
              </w:rPr>
              <w:t>LOSS</w:t>
            </w:r>
          </w:p>
        </w:tc>
        <w:tc>
          <w:tcPr>
            <w:tcW w:w="40" w:type="dxa"/>
            <w:vAlign w:val="bottom"/>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Arial" w:cs="Arial" w:eastAsia="Arial" w:hAnsi="Arial"/>
                <w:sz w:val="8"/>
                <w:szCs w:val="8"/>
                <w:b w:val="1"/>
                <w:bCs w:val="1"/>
                <w:color w:val="auto"/>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DEFICIT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800" w:type="dxa"/>
            <w:vAlign w:val="bottom"/>
            <w:gridSpan w:val="10"/>
          </w:tcPr>
          <w:p>
            <w:pPr>
              <w:jc w:val="center"/>
              <w:spacing w:after="0"/>
              <w:rPr>
                <w:sz w:val="20"/>
                <w:szCs w:val="20"/>
                <w:color w:val="auto"/>
              </w:rPr>
            </w:pPr>
            <w:r>
              <w:rPr>
                <w:rFonts w:ascii="Arial" w:cs="Arial" w:eastAsia="Arial" w:hAnsi="Arial"/>
                <w:sz w:val="8"/>
                <w:szCs w:val="8"/>
                <w:b w:val="1"/>
                <w:bCs w:val="1"/>
                <w:color w:val="auto"/>
              </w:rPr>
              <w:t>​SHARES ​​AMOUNT</w:t>
            </w:r>
          </w:p>
        </w:tc>
        <w:tc>
          <w:tcPr>
            <w:tcW w:w="60" w:type="dxa"/>
            <w:vAlign w:val="bottom"/>
            <w:gridSpan w:val="2"/>
            <w:vMerge w:val="continue"/>
          </w:tcPr>
          <w:p>
            <w:pPr>
              <w:spacing w:after="0"/>
              <w:rPr>
                <w:sz w:val="8"/>
                <w:szCs w:val="8"/>
                <w:color w:val="auto"/>
              </w:rPr>
            </w:pPr>
          </w:p>
        </w:tc>
        <w:tc>
          <w:tcPr>
            <w:tcW w:w="800" w:type="dxa"/>
            <w:vAlign w:val="bottom"/>
            <w:gridSpan w:val="9"/>
          </w:tcPr>
          <w:p>
            <w:pPr>
              <w:jc w:val="right"/>
              <w:spacing w:after="0"/>
              <w:rPr>
                <w:sz w:val="20"/>
                <w:szCs w:val="20"/>
                <w:color w:val="auto"/>
              </w:rPr>
            </w:pPr>
            <w:r>
              <w:rPr>
                <w:rFonts w:ascii="Arial" w:cs="Arial" w:eastAsia="Arial" w:hAnsi="Arial"/>
                <w:sz w:val="8"/>
                <w:szCs w:val="8"/>
                <w:b w:val="1"/>
                <w:bCs w:val="1"/>
                <w:color w:val="auto"/>
              </w:rPr>
              <w:t>​SHARES ​​AMOUNT</w:t>
            </w:r>
          </w:p>
        </w:tc>
        <w:tc>
          <w:tcPr>
            <w:tcW w:w="60" w:type="dxa"/>
            <w:vAlign w:val="bottom"/>
            <w:gridSpan w:val="2"/>
            <w:vMerge w:val="continue"/>
          </w:tcPr>
          <w:p>
            <w:pPr>
              <w:spacing w:after="0"/>
              <w:rPr>
                <w:sz w:val="8"/>
                <w:szCs w:val="8"/>
                <w:color w:val="auto"/>
              </w:rPr>
            </w:pPr>
          </w:p>
        </w:tc>
        <w:tc>
          <w:tcPr>
            <w:tcW w:w="780" w:type="dxa"/>
            <w:vAlign w:val="bottom"/>
            <w:gridSpan w:val="10"/>
          </w:tcPr>
          <w:p>
            <w:pPr>
              <w:jc w:val="center"/>
              <w:spacing w:after="0"/>
              <w:rPr>
                <w:sz w:val="20"/>
                <w:szCs w:val="20"/>
                <w:color w:val="auto"/>
              </w:rPr>
            </w:pPr>
            <w:r>
              <w:rPr>
                <w:rFonts w:ascii="Arial" w:cs="Arial" w:eastAsia="Arial" w:hAnsi="Arial"/>
                <w:sz w:val="8"/>
                <w:szCs w:val="8"/>
                <w:b w:val="1"/>
                <w:bCs w:val="1"/>
                <w:color w:val="auto"/>
              </w:rPr>
              <w:t>​SHARES ​​AMOUNT</w:t>
            </w:r>
          </w:p>
        </w:tc>
        <w:tc>
          <w:tcPr>
            <w:tcW w:w="40" w:type="dxa"/>
            <w:vAlign w:val="bottom"/>
            <w:vMerge w:val="continue"/>
          </w:tcPr>
          <w:p>
            <w:pPr>
              <w:spacing w:after="0"/>
              <w:rPr>
                <w:sz w:val="8"/>
                <w:szCs w:val="8"/>
                <w:color w:val="auto"/>
              </w:rPr>
            </w:pPr>
          </w:p>
        </w:tc>
        <w:tc>
          <w:tcPr>
            <w:tcW w:w="820" w:type="dxa"/>
            <w:vAlign w:val="bottom"/>
            <w:gridSpan w:val="11"/>
          </w:tcPr>
          <w:p>
            <w:pPr>
              <w:spacing w:after="0"/>
              <w:rPr>
                <w:sz w:val="20"/>
                <w:szCs w:val="20"/>
                <w:color w:val="auto"/>
              </w:rPr>
            </w:pPr>
            <w:r>
              <w:rPr>
                <w:rFonts w:ascii="Arial" w:cs="Arial" w:eastAsia="Arial" w:hAnsi="Arial"/>
                <w:sz w:val="8"/>
                <w:szCs w:val="8"/>
                <w:b w:val="1"/>
                <w:bCs w:val="1"/>
                <w:color w:val="auto"/>
              </w:rPr>
              <w:t>​SHARES ​​AMOUNT</w:t>
            </w:r>
          </w:p>
        </w:tc>
        <w:tc>
          <w:tcPr>
            <w:tcW w:w="100" w:type="dxa"/>
            <w:vAlign w:val="bottom"/>
            <w:vMerge w:val="continue"/>
          </w:tcPr>
          <w:p>
            <w:pPr>
              <w:spacing w:after="0"/>
              <w:rPr>
                <w:sz w:val="8"/>
                <w:szCs w:val="8"/>
                <w:color w:val="auto"/>
              </w:rPr>
            </w:pPr>
          </w:p>
        </w:tc>
        <w:tc>
          <w:tcPr>
            <w:tcW w:w="72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12"/>
          </w:tcPr>
          <w:p>
            <w:pPr>
              <w:jc w:val="center"/>
              <w:spacing w:after="0"/>
              <w:rPr>
                <w:sz w:val="20"/>
                <w:szCs w:val="20"/>
                <w:color w:val="auto"/>
              </w:rPr>
            </w:pPr>
            <w:r>
              <w:rPr>
                <w:rFonts w:ascii="Arial" w:cs="Arial" w:eastAsia="Arial" w:hAnsi="Arial"/>
                <w:sz w:val="8"/>
                <w:szCs w:val="8"/>
                <w:b w:val="1"/>
                <w:bCs w:val="1"/>
                <w:color w:val="auto"/>
              </w:rPr>
              <w:t>​​SHARES ​​AMOUNT</w:t>
            </w: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CEEFF"/>
          </w:tcPr>
          <w:p>
            <w:pPr>
              <w:spacing w:after="0"/>
              <w:rPr>
                <w:sz w:val="20"/>
                <w:szCs w:val="20"/>
                <w:color w:val="auto"/>
              </w:rPr>
            </w:pPr>
            <w:r>
              <w:rPr>
                <w:rFonts w:ascii="Arial" w:cs="Arial" w:eastAsia="Arial" w:hAnsi="Arial"/>
                <w:sz w:val="8"/>
                <w:szCs w:val="8"/>
                <w:b w:val="1"/>
                <w:bCs w:val="1"/>
                <w:color w:val="auto"/>
              </w:rPr>
              <w:t>Balance at December 31, 2020</w:t>
            </w:r>
          </w:p>
        </w:tc>
        <w:tc>
          <w:tcPr>
            <w:tcW w:w="440" w:type="dxa"/>
            <w:vAlign w:val="bottom"/>
            <w:gridSpan w:val="7"/>
            <w:shd w:val="clear" w:color="auto" w:fill="CCEEFF"/>
          </w:tcPr>
          <w:p>
            <w:pPr>
              <w:spacing w:after="0" w:line="20" w:lineRule="exact"/>
              <w:rPr>
                <w:sz w:val="1"/>
                <w:szCs w:val="1"/>
                <w:color w:val="auto"/>
              </w:rPr>
            </w:pPr>
          </w:p>
        </w:tc>
        <w:tc>
          <w:tcPr>
            <w:tcW w:w="40" w:type="dxa"/>
            <w:vAlign w:val="bottom"/>
            <w:tcBorders>
              <w:left w:val="single" w:sz="8" w:color="CCEEFF"/>
            </w:tcBorders>
            <w:vMerge w:val="restart"/>
            <w:shd w:val="clear" w:color="auto" w:fill="CCEEFF"/>
          </w:tcPr>
          <w:p>
            <w:pPr>
              <w:spacing w:after="0" w:line="20" w:lineRule="exact"/>
              <w:rPr>
                <w:sz w:val="1"/>
                <w:szCs w:val="1"/>
                <w:color w:val="auto"/>
              </w:rPr>
            </w:pPr>
          </w:p>
        </w:tc>
        <w:tc>
          <w:tcPr>
            <w:tcW w:w="400" w:type="dxa"/>
            <w:vAlign w:val="bottom"/>
            <w:tcBorders>
              <w:left w:val="single" w:sz="8" w:color="CCEEFF"/>
            </w:tcBorders>
            <w:gridSpan w:val="5"/>
            <w:shd w:val="clear" w:color="auto" w:fill="000000"/>
          </w:tcPr>
          <w:p>
            <w:pPr>
              <w:spacing w:after="0" w:line="20" w:lineRule="exact"/>
              <w:rPr>
                <w:sz w:val="1"/>
                <w:szCs w:val="1"/>
                <w:color w:val="auto"/>
              </w:rPr>
            </w:pPr>
          </w:p>
        </w:tc>
        <w:tc>
          <w:tcPr>
            <w:tcW w:w="60" w:type="dxa"/>
            <w:vAlign w:val="bottom"/>
            <w:tcBorders>
              <w:left w:val="single" w:sz="8" w:color="CCEEFF"/>
            </w:tcBorders>
            <w:gridSpan w:val="2"/>
            <w:vMerge w:val="restart"/>
            <w:shd w:val="clear" w:color="auto" w:fill="CCEEFF"/>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CCEEFF"/>
            </w:tcBorders>
            <w:vMerge w:val="restart"/>
            <w:shd w:val="clear" w:color="auto" w:fill="CCEEFF"/>
          </w:tcPr>
          <w:p>
            <w:pPr>
              <w:spacing w:after="0" w:line="20" w:lineRule="exact"/>
              <w:rPr>
                <w:sz w:val="1"/>
                <w:szCs w:val="1"/>
                <w:color w:val="auto"/>
              </w:rPr>
            </w:pPr>
          </w:p>
        </w:tc>
        <w:tc>
          <w:tcPr>
            <w:tcW w:w="400" w:type="dxa"/>
            <w:vAlign w:val="bottom"/>
            <w:tcBorders>
              <w:left w:val="single" w:sz="8" w:color="CCEEFF"/>
            </w:tcBorders>
            <w:gridSpan w:val="4"/>
            <w:shd w:val="clear" w:color="auto" w:fill="000000"/>
          </w:tcPr>
          <w:p>
            <w:pPr>
              <w:spacing w:after="0" w:line="20" w:lineRule="exact"/>
              <w:rPr>
                <w:sz w:val="1"/>
                <w:szCs w:val="1"/>
                <w:color w:val="auto"/>
              </w:rPr>
            </w:pPr>
          </w:p>
        </w:tc>
        <w:tc>
          <w:tcPr>
            <w:tcW w:w="60" w:type="dxa"/>
            <w:vAlign w:val="bottom"/>
            <w:tcBorders>
              <w:left w:val="single" w:sz="8" w:color="CCEEFF"/>
            </w:tcBorders>
            <w:gridSpan w:val="2"/>
            <w:vMerge w:val="restart"/>
            <w:shd w:val="clear" w:color="auto" w:fill="CCEEFF"/>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gridSpan w:val="5"/>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gridSpan w:val="3"/>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6"/>
            <w:shd w:val="clear" w:color="auto" w:fill="000000"/>
          </w:tcPr>
          <w:p>
            <w:pPr>
              <w:spacing w:after="0" w:line="20" w:lineRule="exact"/>
              <w:rPr>
                <w:sz w:val="1"/>
                <w:szCs w:val="1"/>
                <w:color w:val="auto"/>
              </w:rPr>
            </w:pPr>
          </w:p>
        </w:tc>
        <w:tc>
          <w:tcPr>
            <w:tcW w:w="440" w:type="dxa"/>
            <w:vAlign w:val="bottom"/>
            <w:tcBorders>
              <w:right w:val="single" w:sz="8" w:color="CCEEFF"/>
            </w:tcBorders>
            <w:gridSpan w:val="6"/>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6"/>
            <w:shd w:val="clear" w:color="auto" w:fill="000000"/>
          </w:tcPr>
          <w:p>
            <w:pPr>
              <w:spacing w:after="0" w:line="20" w:lineRule="exact"/>
              <w:rPr>
                <w:sz w:val="1"/>
                <w:szCs w:val="1"/>
                <w:color w:val="auto"/>
              </w:rPr>
            </w:pPr>
          </w:p>
        </w:tc>
        <w:tc>
          <w:tcPr>
            <w:tcW w:w="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jc w:val="right"/>
              <w:spacing w:after="0"/>
              <w:rPr>
                <w:sz w:val="20"/>
                <w:szCs w:val="20"/>
                <w:color w:val="auto"/>
              </w:rPr>
            </w:pPr>
            <w:r>
              <w:rPr>
                <w:rFonts w:ascii="Arial" w:cs="Arial" w:eastAsia="Arial" w:hAnsi="Arial"/>
                <w:sz w:val="1"/>
                <w:szCs w:val="1"/>
                <w:color w:val="auto"/>
                <w:w w:val="4294942296"/>
              </w:rPr>
              <w:t>​​​</w:t>
            </w:r>
          </w:p>
        </w:tc>
        <w:tc>
          <w:tcPr>
            <w:tcW w:w="24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440" w:type="dxa"/>
            <w:vAlign w:val="bottom"/>
            <w:vMerge w:val="continue"/>
            <w:shd w:val="clear" w:color="auto" w:fill="CCEEFF"/>
          </w:tcPr>
          <w:p>
            <w:pPr>
              <w:spacing w:after="0"/>
              <w:rPr>
                <w:sz w:val="6"/>
                <w:szCs w:val="6"/>
                <w:color w:val="auto"/>
              </w:rPr>
            </w:pPr>
          </w:p>
        </w:tc>
        <w:tc>
          <w:tcPr>
            <w:tcW w:w="140" w:type="dxa"/>
            <w:vAlign w:val="bottom"/>
            <w:gridSpan w:val="5"/>
            <w:shd w:val="clear" w:color="auto" w:fill="CCEEFF"/>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00" w:type="dxa"/>
            <w:vAlign w:val="bottom"/>
            <w:gridSpan w:val="2"/>
            <w:shd w:val="clear" w:color="auto" w:fill="CCEEFF"/>
          </w:tcPr>
          <w:p>
            <w:pPr>
              <w:ind w:left="60"/>
              <w:spacing w:after="0" w:line="77" w:lineRule="exact"/>
              <w:rPr>
                <w:sz w:val="20"/>
                <w:szCs w:val="20"/>
                <w:color w:val="auto"/>
              </w:rPr>
            </w:pPr>
            <w:r>
              <w:rPr>
                <w:rFonts w:ascii="Arial" w:cs="Arial" w:eastAsia="Arial" w:hAnsi="Arial"/>
                <w:sz w:val="8"/>
                <w:szCs w:val="8"/>
                <w:color w:val="auto"/>
                <w:w w:val="81"/>
              </w:rPr>
              <w:t>19,200​​​​</w:t>
            </w:r>
          </w:p>
        </w:tc>
        <w:tc>
          <w:tcPr>
            <w:tcW w:w="40" w:type="dxa"/>
            <w:vAlign w:val="bottom"/>
            <w:tcBorders>
              <w:left w:val="single" w:sz="8" w:color="CCEEFF"/>
            </w:tcBorders>
            <w:vMerge w:val="continue"/>
            <w:shd w:val="clear" w:color="auto" w:fill="CCEEFF"/>
          </w:tcPr>
          <w:p>
            <w:pPr>
              <w:spacing w:after="0"/>
              <w:rPr>
                <w:sz w:val="6"/>
                <w:szCs w:val="6"/>
                <w:color w:val="auto"/>
              </w:rPr>
            </w:pPr>
          </w:p>
        </w:tc>
        <w:tc>
          <w:tcPr>
            <w:tcW w:w="100" w:type="dxa"/>
            <w:vAlign w:val="bottom"/>
            <w:tcBorders>
              <w:lef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rPr>
              <w:t>$</w:t>
            </w:r>
          </w:p>
        </w:tc>
        <w:tc>
          <w:tcPr>
            <w:tcW w:w="300" w:type="dxa"/>
            <w:vAlign w:val="bottom"/>
            <w:gridSpan w:val="3"/>
            <w:shd w:val="clear" w:color="auto" w:fill="CCEEFF"/>
          </w:tcPr>
          <w:p>
            <w:pPr>
              <w:jc w:val="right"/>
              <w:spacing w:after="0" w:line="77" w:lineRule="exact"/>
              <w:rPr>
                <w:sz w:val="20"/>
                <w:szCs w:val="20"/>
                <w:color w:val="auto"/>
              </w:rPr>
            </w:pPr>
            <w:r>
              <w:rPr>
                <w:rFonts w:ascii="Arial" w:cs="Arial" w:eastAsia="Arial" w:hAnsi="Arial"/>
                <w:sz w:val="8"/>
                <w:szCs w:val="8"/>
                <w:color w:val="auto"/>
              </w:rPr>
              <w:t>32,001​​​</w:t>
            </w:r>
          </w:p>
        </w:tc>
        <w:tc>
          <w:tcPr>
            <w:tcW w:w="60" w:type="dxa"/>
            <w:vAlign w:val="bottom"/>
            <w:tcBorders>
              <w:left w:val="single" w:sz="8" w:color="CCEEFF"/>
            </w:tcBorders>
            <w:gridSpan w:val="2"/>
            <w:vMerge w:val="continue"/>
            <w:shd w:val="clear" w:color="auto" w:fill="CCEEFF"/>
          </w:tcPr>
          <w:p>
            <w:pPr>
              <w:spacing w:after="0"/>
              <w:rPr>
                <w:sz w:val="6"/>
                <w:szCs w:val="6"/>
                <w:color w:val="auto"/>
              </w:rPr>
            </w:pPr>
          </w:p>
        </w:tc>
        <w:tc>
          <w:tcPr>
            <w:tcW w:w="40" w:type="dxa"/>
            <w:vAlign w:val="bottom"/>
            <w:gridSpan w:val="2"/>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320" w:type="dxa"/>
            <w:vAlign w:val="bottom"/>
            <w:gridSpan w:val="2"/>
            <w:shd w:val="clear" w:color="auto" w:fill="CCEEFF"/>
          </w:tcPr>
          <w:p>
            <w:pPr>
              <w:ind w:left="60"/>
              <w:spacing w:after="0" w:line="77" w:lineRule="exact"/>
              <w:rPr>
                <w:sz w:val="20"/>
                <w:szCs w:val="20"/>
                <w:color w:val="auto"/>
              </w:rPr>
            </w:pPr>
            <w:r>
              <w:rPr>
                <w:rFonts w:ascii="Arial" w:cs="Arial" w:eastAsia="Arial" w:hAnsi="Arial"/>
                <w:sz w:val="8"/>
                <w:szCs w:val="8"/>
                <w:color w:val="auto"/>
                <w:w w:val="89"/>
              </w:rPr>
              <w:t>12,800​​​​</w:t>
            </w:r>
          </w:p>
        </w:tc>
        <w:tc>
          <w:tcPr>
            <w:tcW w:w="40" w:type="dxa"/>
            <w:vAlign w:val="bottom"/>
            <w:tcBorders>
              <w:left w:val="single" w:sz="8" w:color="CCEEFF"/>
            </w:tcBorders>
            <w:vMerge w:val="continue"/>
            <w:shd w:val="clear" w:color="auto" w:fill="CCEEFF"/>
          </w:tcPr>
          <w:p>
            <w:pPr>
              <w:spacing w:after="0"/>
              <w:rPr>
                <w:sz w:val="6"/>
                <w:szCs w:val="6"/>
                <w:color w:val="auto"/>
              </w:rPr>
            </w:pPr>
          </w:p>
        </w:tc>
        <w:tc>
          <w:tcPr>
            <w:tcW w:w="400" w:type="dxa"/>
            <w:vAlign w:val="bottom"/>
            <w:tcBorders>
              <w:left w:val="single" w:sz="8" w:color="CCEEFF"/>
            </w:tcBorders>
            <w:gridSpan w:val="4"/>
            <w:shd w:val="clear" w:color="auto" w:fill="CCEEFF"/>
          </w:tcPr>
          <w:p>
            <w:pPr>
              <w:jc w:val="right"/>
              <w:spacing w:after="0" w:line="77" w:lineRule="exact"/>
              <w:rPr>
                <w:sz w:val="20"/>
                <w:szCs w:val="20"/>
                <w:color w:val="auto"/>
              </w:rPr>
            </w:pPr>
            <w:r>
              <w:rPr>
                <w:rFonts w:ascii="Arial" w:cs="Arial" w:eastAsia="Arial" w:hAnsi="Arial"/>
                <w:sz w:val="8"/>
                <w:szCs w:val="8"/>
                <w:color w:val="auto"/>
              </w:rPr>
              <w:t>$  26,000​​​</w:t>
            </w:r>
          </w:p>
        </w:tc>
        <w:tc>
          <w:tcPr>
            <w:tcW w:w="60" w:type="dxa"/>
            <w:vAlign w:val="bottom"/>
            <w:tcBorders>
              <w:left w:val="single" w:sz="8" w:color="CCEEFF"/>
            </w:tcBorders>
            <w:gridSpan w:val="2"/>
            <w:vMerge w:val="continue"/>
            <w:shd w:val="clear" w:color="auto" w:fill="CCEEFF"/>
          </w:tcPr>
          <w:p>
            <w:pPr>
              <w:spacing w:after="0"/>
              <w:rPr>
                <w:sz w:val="6"/>
                <w:szCs w:val="6"/>
                <w:color w:val="auto"/>
              </w:rPr>
            </w:pPr>
          </w:p>
        </w:tc>
        <w:tc>
          <w:tcPr>
            <w:tcW w:w="40" w:type="dxa"/>
            <w:vAlign w:val="bottom"/>
            <w:gridSpan w:val="2"/>
            <w:shd w:val="clear" w:color="auto" w:fill="CCEEFF"/>
          </w:tcPr>
          <w:p>
            <w:pPr>
              <w:jc w:val="right"/>
              <w:ind w:right="13"/>
              <w:spacing w:after="0" w:line="77" w:lineRule="exact"/>
              <w:rPr>
                <w:sz w:val="20"/>
                <w:szCs w:val="20"/>
                <w:color w:val="auto"/>
              </w:rPr>
            </w:pPr>
            <w:r>
              <w:rPr>
                <w:rFonts w:ascii="Arial" w:cs="Arial" w:eastAsia="Arial" w:hAnsi="Arial"/>
                <w:sz w:val="8"/>
                <w:szCs w:val="8"/>
                <w:b w:val="1"/>
                <w:bCs w:val="1"/>
                <w:color w:val="auto"/>
              </w:rPr>
              <w:t>​</w:t>
            </w:r>
          </w:p>
        </w:tc>
        <w:tc>
          <w:tcPr>
            <w:tcW w:w="340" w:type="dxa"/>
            <w:vAlign w:val="bottom"/>
            <w:gridSpan w:val="3"/>
            <w:shd w:val="clear" w:color="auto" w:fill="CCEEFF"/>
          </w:tcPr>
          <w:p>
            <w:pPr>
              <w:ind w:left="220"/>
              <w:spacing w:after="0" w:line="77" w:lineRule="exact"/>
              <w:rPr>
                <w:sz w:val="20"/>
                <w:szCs w:val="20"/>
                <w:color w:val="auto"/>
              </w:rPr>
            </w:pPr>
            <w:r>
              <w:rPr>
                <w:rFonts w:ascii="Arial" w:cs="Arial" w:eastAsia="Arial" w:hAnsi="Arial"/>
                <w:sz w:val="8"/>
                <w:szCs w:val="8"/>
                <w:color w:val="auto"/>
                <w:w w:val="99"/>
              </w:rPr>
              <w:t>—​​​​</w:t>
            </w:r>
          </w:p>
        </w:tc>
        <w:tc>
          <w:tcPr>
            <w:tcW w:w="260" w:type="dxa"/>
            <w:vAlign w:val="bottom"/>
            <w:tcBorders>
              <w:left w:val="single" w:sz="8" w:color="CCEEFF"/>
            </w:tcBorders>
            <w:gridSpan w:val="3"/>
            <w:shd w:val="clear" w:color="auto" w:fill="CCEEFF"/>
          </w:tcPr>
          <w:p>
            <w:pPr>
              <w:jc w:val="right"/>
              <w:ind w:right="158"/>
              <w:spacing w:after="0" w:line="77" w:lineRule="exact"/>
              <w:rPr>
                <w:sz w:val="20"/>
                <w:szCs w:val="20"/>
                <w:color w:val="auto"/>
              </w:rPr>
            </w:pPr>
            <w:r>
              <w:rPr>
                <w:rFonts w:ascii="Arial" w:cs="Arial" w:eastAsia="Arial" w:hAnsi="Arial"/>
                <w:sz w:val="8"/>
                <w:szCs w:val="8"/>
                <w:color w:val="auto"/>
                <w:w w:val="88"/>
              </w:rPr>
              <w:t>$</w:t>
            </w:r>
          </w:p>
        </w:tc>
        <w:tc>
          <w:tcPr>
            <w:tcW w:w="280" w:type="dxa"/>
            <w:vAlign w:val="bottom"/>
            <w:tcBorders>
              <w:right w:val="single" w:sz="8" w:color="CCEEFF"/>
            </w:tcBorders>
            <w:gridSpan w:val="5"/>
            <w:shd w:val="clear" w:color="auto" w:fill="CCEEFF"/>
          </w:tcPr>
          <w:p>
            <w:pPr>
              <w:jc w:val="right"/>
              <w:ind w:right="97"/>
              <w:spacing w:after="0" w:line="77"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rPr>
              <w:t>​​   —</w:t>
            </w:r>
          </w:p>
        </w:tc>
        <w:tc>
          <w:tcPr>
            <w:tcW w:w="80" w:type="dxa"/>
            <w:vAlign w:val="bottom"/>
            <w:tcBorders>
              <w:left w:val="single" w:sz="8" w:color="CCEEFF"/>
            </w:tcBorders>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60" w:type="dxa"/>
            <w:vAlign w:val="bottom"/>
            <w:tcBorders>
              <w:left w:val="single" w:sz="8" w:color="CCEEFF"/>
            </w:tcBorders>
            <w:shd w:val="clear" w:color="auto" w:fill="CCEEFF"/>
          </w:tcPr>
          <w:p>
            <w:pPr>
              <w:spacing w:after="0"/>
              <w:rPr>
                <w:sz w:val="6"/>
                <w:szCs w:val="6"/>
                <w:color w:val="auto"/>
              </w:rPr>
            </w:pPr>
          </w:p>
        </w:tc>
        <w:tc>
          <w:tcPr>
            <w:tcW w:w="100" w:type="dxa"/>
            <w:vAlign w:val="bottom"/>
            <w:tcBorders>
              <w:left w:val="single" w:sz="8" w:color="CCEEFF"/>
            </w:tcBorders>
            <w:shd w:val="clear" w:color="auto" w:fill="CCEEFF"/>
          </w:tcPr>
          <w:p>
            <w:pPr>
              <w:ind w:left="20"/>
              <w:spacing w:after="0" w:line="77"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gridSpan w:val="2"/>
            <w:shd w:val="clear" w:color="auto" w:fill="CCEEFF"/>
          </w:tcPr>
          <w:p>
            <w:pPr>
              <w:jc w:val="right"/>
              <w:spacing w:after="0" w:line="77" w:lineRule="exact"/>
              <w:rPr>
                <w:sz w:val="20"/>
                <w:szCs w:val="20"/>
                <w:color w:val="auto"/>
              </w:rPr>
            </w:pPr>
            <w:r>
              <w:rPr>
                <w:rFonts w:ascii="Arial" w:cs="Arial" w:eastAsia="Arial" w:hAnsi="Arial"/>
                <w:sz w:val="8"/>
                <w:szCs w:val="8"/>
                <w:color w:val="auto"/>
                <w:w w:val="95"/>
              </w:rPr>
              <w:t>  —</w:t>
            </w:r>
          </w:p>
        </w:tc>
        <w:tc>
          <w:tcPr>
            <w:tcW w:w="60" w:type="dxa"/>
            <w:vAlign w:val="bottom"/>
            <w:tcBorders>
              <w:left w:val="single" w:sz="8" w:color="CCEEFF"/>
            </w:tcBorders>
            <w:shd w:val="clear" w:color="auto" w:fill="CCEEFF"/>
          </w:tcPr>
          <w:p>
            <w:pPr>
              <w:spacing w:after="0"/>
              <w:rPr>
                <w:sz w:val="6"/>
                <w:szCs w:val="6"/>
                <w:color w:val="auto"/>
              </w:rPr>
            </w:pPr>
          </w:p>
        </w:tc>
        <w:tc>
          <w:tcPr>
            <w:tcW w:w="100" w:type="dxa"/>
            <w:vAlign w:val="bottom"/>
            <w:tcBorders>
              <w:left w:val="single" w:sz="8" w:color="CCEEFF"/>
            </w:tcBorders>
            <w:shd w:val="clear" w:color="auto" w:fill="CCEEFF"/>
          </w:tcPr>
          <w:p>
            <w:pPr>
              <w:jc w:val="right"/>
              <w:ind w:right="18"/>
              <w:spacing w:after="0" w:line="77"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ind w:left="140"/>
              <w:spacing w:after="0" w:line="77" w:lineRule="exact"/>
              <w:rPr>
                <w:sz w:val="20"/>
                <w:szCs w:val="20"/>
                <w:color w:val="auto"/>
              </w:rPr>
            </w:pPr>
            <w:r>
              <w:rPr>
                <w:rFonts w:ascii="Arial" w:cs="Arial" w:eastAsia="Arial" w:hAnsi="Arial"/>
                <w:sz w:val="8"/>
                <w:szCs w:val="8"/>
                <w:color w:val="auto"/>
              </w:rPr>
              <w:t>​</w:t>
            </w:r>
          </w:p>
        </w:tc>
        <w:tc>
          <w:tcPr>
            <w:tcW w:w="260" w:type="dxa"/>
            <w:vAlign w:val="bottom"/>
            <w:gridSpan w:val="3"/>
            <w:shd w:val="clear" w:color="auto" w:fill="CCEEFF"/>
          </w:tcPr>
          <w:p>
            <w:pPr>
              <w:jc w:val="right"/>
              <w:ind w:right="178"/>
              <w:spacing w:after="0"/>
              <w:rPr>
                <w:sz w:val="20"/>
                <w:szCs w:val="20"/>
                <w:color w:val="auto"/>
              </w:rPr>
            </w:pPr>
            <w:r>
              <w:rPr>
                <w:rFonts w:ascii="Arial" w:cs="Arial" w:eastAsia="Arial" w:hAnsi="Arial"/>
                <w:sz w:val="5"/>
                <w:szCs w:val="5"/>
                <w:color w:val="auto"/>
                <w:w w:val="70"/>
              </w:rPr>
              <w:t>$</w:t>
            </w:r>
          </w:p>
        </w:tc>
        <w:tc>
          <w:tcPr>
            <w:tcW w:w="240" w:type="dxa"/>
            <w:vAlign w:val="bottom"/>
            <w:gridSpan w:val="2"/>
            <w:shd w:val="clear" w:color="auto" w:fill="CCEEFF"/>
          </w:tcPr>
          <w:p>
            <w:pPr>
              <w:jc w:val="right"/>
              <w:ind w:right="160"/>
              <w:spacing w:after="0" w:line="77" w:lineRule="exact"/>
              <w:rPr>
                <w:sz w:val="20"/>
                <w:szCs w:val="20"/>
                <w:color w:val="auto"/>
              </w:rPr>
            </w:pPr>
            <w:r>
              <w:rPr>
                <w:rFonts w:ascii="Arial" w:cs="Arial" w:eastAsia="Arial" w:hAnsi="Arial"/>
                <w:sz w:val="8"/>
                <w:szCs w:val="8"/>
                <w:color w:val="auto"/>
                <w:w w:val="74"/>
              </w:rPr>
              <w:t>—</w:t>
            </w:r>
          </w:p>
        </w:tc>
        <w:tc>
          <w:tcPr>
            <w:tcW w:w="120" w:type="dxa"/>
            <w:vAlign w:val="bottom"/>
            <w:gridSpan w:val="2"/>
            <w:shd w:val="clear" w:color="auto" w:fill="CCEEFF"/>
          </w:tcPr>
          <w:p>
            <w:pPr>
              <w:ind w:left="60"/>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3"/>
            <w:shd w:val="clear" w:color="auto" w:fill="CCEEFF"/>
          </w:tcPr>
          <w:p>
            <w:pPr>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20" w:type="dxa"/>
            <w:vAlign w:val="bottom"/>
            <w:tcBorders>
              <w:right w:val="single" w:sz="8" w:color="CCEEFF"/>
            </w:tcBorders>
            <w:gridSpan w:val="2"/>
            <w:shd w:val="clear" w:color="auto" w:fill="CCEEFF"/>
          </w:tcPr>
          <w:p>
            <w:pPr>
              <w:ind w:left="60"/>
              <w:spacing w:after="0" w:line="77" w:lineRule="exact"/>
              <w:rPr>
                <w:sz w:val="20"/>
                <w:szCs w:val="20"/>
                <w:color w:val="auto"/>
              </w:rPr>
            </w:pPr>
            <w:r>
              <w:rPr>
                <w:rFonts w:ascii="Arial" w:cs="Arial" w:eastAsia="Arial" w:hAnsi="Arial"/>
                <w:sz w:val="8"/>
                <w:szCs w:val="8"/>
                <w:color w:val="auto"/>
                <w:w w:val="89"/>
              </w:rPr>
              <w:t>10,865​​​</w:t>
            </w: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100" w:type="dxa"/>
            <w:vAlign w:val="bottom"/>
            <w:tcBorders>
              <w:left w:val="single" w:sz="8" w:color="CCEEFF"/>
            </w:tcBorders>
            <w:gridSpan w:val="2"/>
            <w:shd w:val="clear" w:color="auto" w:fill="CCEEFF"/>
          </w:tcPr>
          <w:p>
            <w:pPr>
              <w:ind w:left="20"/>
              <w:spacing w:after="0" w:line="77" w:lineRule="exact"/>
              <w:rPr>
                <w:sz w:val="20"/>
                <w:szCs w:val="20"/>
                <w:color w:val="auto"/>
              </w:rPr>
            </w:pPr>
            <w:r>
              <w:rPr>
                <w:rFonts w:ascii="Arial" w:cs="Arial" w:eastAsia="Arial" w:hAnsi="Arial"/>
                <w:sz w:val="8"/>
                <w:szCs w:val="8"/>
                <w:color w:val="auto"/>
              </w:rPr>
              <w:t>​$</w:t>
            </w:r>
          </w:p>
        </w:tc>
        <w:tc>
          <w:tcPr>
            <w:tcW w:w="220" w:type="dxa"/>
            <w:vAlign w:val="bottom"/>
            <w:gridSpan w:val="4"/>
            <w:shd w:val="clear" w:color="auto" w:fill="CCEEFF"/>
          </w:tcPr>
          <w:p>
            <w:pPr>
              <w:jc w:val="right"/>
              <w:ind w:right="81"/>
              <w:spacing w:after="0" w:line="77" w:lineRule="exact"/>
              <w:rPr>
                <w:sz w:val="20"/>
                <w:szCs w:val="20"/>
                <w:color w:val="auto"/>
              </w:rPr>
            </w:pPr>
            <w:r>
              <w:rPr>
                <w:rFonts w:ascii="Arial" w:cs="Arial" w:eastAsia="Arial" w:hAnsi="Arial"/>
                <w:sz w:val="8"/>
                <w:szCs w:val="8"/>
                <w:color w:val="auto"/>
              </w:rPr>
              <w:t>1</w:t>
            </w:r>
          </w:p>
        </w:tc>
        <w:tc>
          <w:tcPr>
            <w:tcW w:w="20" w:type="dxa"/>
            <w:vAlign w:val="bottom"/>
            <w:vMerge w:val="continue"/>
            <w:shd w:val="clear" w:color="auto" w:fill="CCEEFF"/>
          </w:tcPr>
          <w:p>
            <w:pPr>
              <w:spacing w:after="0"/>
              <w:rPr>
                <w:sz w:val="6"/>
                <w:szCs w:val="6"/>
                <w:color w:val="auto"/>
              </w:rPr>
            </w:pPr>
          </w:p>
        </w:tc>
        <w:tc>
          <w:tcPr>
            <w:tcW w:w="80" w:type="dxa"/>
            <w:vAlign w:val="bottom"/>
            <w:tcBorders>
              <w:left w:val="single" w:sz="8" w:color="CCEEFF"/>
              <w:right w:val="single" w:sz="8" w:color="CCEEFF"/>
            </w:tcBorders>
            <w:shd w:val="clear" w:color="auto" w:fill="CCEEFF"/>
          </w:tcPr>
          <w:p>
            <w:pPr>
              <w:spacing w:after="0"/>
              <w:rPr>
                <w:sz w:val="6"/>
                <w:szCs w:val="6"/>
                <w:color w:val="auto"/>
              </w:rPr>
            </w:pPr>
          </w:p>
        </w:tc>
        <w:tc>
          <w:tcPr>
            <w:tcW w:w="160" w:type="dxa"/>
            <w:vAlign w:val="bottom"/>
            <w:tcBorders>
              <w:left w:val="single" w:sz="8" w:color="CCEEFF"/>
            </w:tcBorders>
            <w:gridSpan w:val="2"/>
            <w:shd w:val="clear" w:color="auto" w:fill="CCEEFF"/>
          </w:tcPr>
          <w:p>
            <w:pPr>
              <w:spacing w:after="0" w:line="77" w:lineRule="exact"/>
              <w:rPr>
                <w:sz w:val="20"/>
                <w:szCs w:val="20"/>
                <w:color w:val="auto"/>
              </w:rPr>
            </w:pPr>
            <w:r>
              <w:rPr>
                <w:rFonts w:ascii="Arial" w:cs="Arial" w:eastAsia="Arial" w:hAnsi="Arial"/>
                <w:sz w:val="8"/>
                <w:szCs w:val="8"/>
                <w:color w:val="auto"/>
              </w:rPr>
              <w:t>​ $</w:t>
            </w:r>
          </w:p>
        </w:tc>
        <w:tc>
          <w:tcPr>
            <w:tcW w:w="340" w:type="dxa"/>
            <w:vAlign w:val="bottom"/>
            <w:tcBorders>
              <w:right w:val="single" w:sz="8" w:color="CCEEFF"/>
            </w:tcBorders>
            <w:gridSpan w:val="2"/>
            <w:shd w:val="clear" w:color="auto" w:fill="CCEEFF"/>
          </w:tcPr>
          <w:p>
            <w:pPr>
              <w:jc w:val="right"/>
              <w:ind w:right="60"/>
              <w:spacing w:after="0" w:line="77" w:lineRule="exact"/>
              <w:rPr>
                <w:sz w:val="20"/>
                <w:szCs w:val="20"/>
                <w:color w:val="auto"/>
              </w:rPr>
            </w:pPr>
            <w:r>
              <w:rPr>
                <w:rFonts w:ascii="Arial" w:cs="Arial" w:eastAsia="Arial" w:hAnsi="Arial"/>
                <w:sz w:val="8"/>
                <w:szCs w:val="8"/>
                <w:color w:val="auto"/>
              </w:rPr>
              <w:t>477</w:t>
            </w:r>
          </w:p>
        </w:tc>
        <w:tc>
          <w:tcPr>
            <w:tcW w:w="40" w:type="dxa"/>
            <w:vAlign w:val="bottom"/>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24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140" w:type="dxa"/>
            <w:vAlign w:val="bottom"/>
            <w:gridSpan w:val="3"/>
            <w:shd w:val="clear" w:color="auto" w:fill="CCEEFF"/>
          </w:tcPr>
          <w:p>
            <w:pPr>
              <w:jc w:val="right"/>
              <w:spacing w:after="0" w:line="77" w:lineRule="exact"/>
              <w:rPr>
                <w:sz w:val="20"/>
                <w:szCs w:val="20"/>
                <w:color w:val="auto"/>
              </w:rPr>
            </w:pPr>
            <w:r>
              <w:rPr>
                <w:rFonts w:ascii="Arial" w:cs="Arial" w:eastAsia="Arial" w:hAnsi="Arial"/>
                <w:sz w:val="8"/>
                <w:szCs w:val="8"/>
                <w:color w:val="auto"/>
              </w:rPr>
              <w:t>​ $</w:t>
            </w:r>
          </w:p>
        </w:tc>
        <w:tc>
          <w:tcPr>
            <w:tcW w:w="160" w:type="dxa"/>
            <w:vAlign w:val="bottom"/>
            <w:tcBorders>
              <w:right w:val="single" w:sz="8" w:color="CCEEFF"/>
            </w:tcBorders>
            <w:shd w:val="clear" w:color="auto" w:fill="CCEEFF"/>
          </w:tcPr>
          <w:p>
            <w:pPr>
              <w:jc w:val="right"/>
              <w:spacing w:after="0" w:line="77" w:lineRule="exact"/>
              <w:rPr>
                <w:sz w:val="20"/>
                <w:szCs w:val="20"/>
                <w:color w:val="auto"/>
              </w:rPr>
            </w:pPr>
            <w:r>
              <w:rPr>
                <w:rFonts w:ascii="Arial" w:cs="Arial" w:eastAsia="Arial" w:hAnsi="Arial"/>
                <w:sz w:val="8"/>
                <w:szCs w:val="8"/>
                <w:color w:val="auto"/>
              </w:rPr>
              <w:t>(1)</w:t>
            </w:r>
          </w:p>
        </w:tc>
        <w:tc>
          <w:tcPr>
            <w:tcW w:w="26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tcBorders>
              <w:left w:val="single" w:sz="8" w:color="CCEEFF"/>
              <w:right w:val="single" w:sz="8" w:color="CCEEFF"/>
            </w:tcBorders>
            <w:shd w:val="clear" w:color="auto" w:fill="CCEEFF"/>
          </w:tcPr>
          <w:p>
            <w:pPr>
              <w:ind w:left="40"/>
              <w:spacing w:after="0" w:line="77" w:lineRule="exact"/>
              <w:rPr>
                <w:sz w:val="20"/>
                <w:szCs w:val="20"/>
                <w:color w:val="auto"/>
              </w:rPr>
            </w:pPr>
            <w:r>
              <w:rPr>
                <w:rFonts w:ascii="Arial" w:cs="Arial" w:eastAsia="Arial" w:hAnsi="Arial"/>
                <w:sz w:val="8"/>
                <w:szCs w:val="8"/>
                <w:color w:val="auto"/>
              </w:rPr>
              <w:t>​​</w:t>
            </w:r>
          </w:p>
        </w:tc>
        <w:tc>
          <w:tcPr>
            <w:tcW w:w="60" w:type="dxa"/>
            <w:vAlign w:val="bottom"/>
            <w:tcBorders>
              <w:right w:val="single" w:sz="8" w:color="CCEEFF"/>
            </w:tcBorders>
            <w:shd w:val="clear" w:color="auto" w:fill="CCEEFF"/>
          </w:tcPr>
          <w:p>
            <w:pPr>
              <w:spacing w:after="0"/>
              <w:rPr>
                <w:sz w:val="6"/>
                <w:szCs w:val="6"/>
                <w:color w:val="auto"/>
              </w:rPr>
            </w:pPr>
          </w:p>
        </w:tc>
        <w:tc>
          <w:tcPr>
            <w:tcW w:w="140" w:type="dxa"/>
            <w:vAlign w:val="bottom"/>
            <w:gridSpan w:val="2"/>
            <w:shd w:val="clear" w:color="auto" w:fill="CCEEFF"/>
          </w:tcPr>
          <w:p>
            <w:pPr>
              <w:jc w:val="center"/>
              <w:ind w:right="18"/>
              <w:spacing w:after="0" w:line="77" w:lineRule="exact"/>
              <w:rPr>
                <w:sz w:val="20"/>
                <w:szCs w:val="20"/>
                <w:color w:val="auto"/>
              </w:rPr>
            </w:pPr>
            <w:r>
              <w:rPr>
                <w:rFonts w:ascii="Arial" w:cs="Arial" w:eastAsia="Arial" w:hAnsi="Arial"/>
                <w:sz w:val="8"/>
                <w:szCs w:val="8"/>
                <w:color w:val="auto"/>
              </w:rPr>
              <w:t>​ $</w:t>
            </w:r>
          </w:p>
        </w:tc>
        <w:tc>
          <w:tcPr>
            <w:tcW w:w="360" w:type="dxa"/>
            <w:vAlign w:val="bottom"/>
            <w:tcBorders>
              <w:right w:val="single" w:sz="8" w:color="CCEEFF"/>
            </w:tcBorders>
            <w:shd w:val="clear" w:color="auto" w:fill="CCEEFF"/>
          </w:tcPr>
          <w:p>
            <w:pPr>
              <w:jc w:val="right"/>
              <w:spacing w:after="0" w:line="77" w:lineRule="exact"/>
              <w:rPr>
                <w:sz w:val="20"/>
                <w:szCs w:val="20"/>
                <w:color w:val="auto"/>
              </w:rPr>
            </w:pPr>
            <w:r>
              <w:rPr>
                <w:rFonts w:ascii="Arial" w:cs="Arial" w:eastAsia="Arial" w:hAnsi="Arial"/>
                <w:sz w:val="8"/>
                <w:szCs w:val="8"/>
                <w:color w:val="auto"/>
              </w:rPr>
              <w:t>(22,946)</w:t>
            </w: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20" w:type="dxa"/>
            <w:vAlign w:val="bottom"/>
            <w:shd w:val="clear" w:color="auto" w:fill="CCEEFF"/>
          </w:tcPr>
          <w:p>
            <w:pPr>
              <w:spacing w:after="0" w:line="77" w:lineRule="exact"/>
              <w:rPr>
                <w:sz w:val="20"/>
                <w:szCs w:val="20"/>
                <w:color w:val="auto"/>
              </w:rPr>
            </w:pPr>
            <w:r>
              <w:rPr>
                <w:rFonts w:ascii="Arial" w:cs="Arial" w:eastAsia="Arial" w:hAnsi="Arial"/>
                <w:sz w:val="8"/>
                <w:szCs w:val="8"/>
                <w:color w:val="auto"/>
              </w:rPr>
              <w:t>​​​</w:t>
            </w:r>
          </w:p>
        </w:tc>
        <w:tc>
          <w:tcPr>
            <w:tcW w:w="120" w:type="dxa"/>
            <w:vAlign w:val="bottom"/>
            <w:tcBorders>
              <w:left w:val="single" w:sz="8" w:color="CCEEFF"/>
            </w:tcBorders>
            <w:gridSpan w:val="2"/>
            <w:shd w:val="clear" w:color="auto" w:fill="CCEEFF"/>
          </w:tcPr>
          <w:p>
            <w:pPr>
              <w:spacing w:after="0"/>
              <w:rPr>
                <w:sz w:val="6"/>
                <w:szCs w:val="6"/>
                <w:color w:val="auto"/>
              </w:rPr>
            </w:pPr>
          </w:p>
        </w:tc>
        <w:tc>
          <w:tcPr>
            <w:tcW w:w="80" w:type="dxa"/>
            <w:vAlign w:val="bottom"/>
            <w:tcBorders>
              <w:left w:val="single" w:sz="8" w:color="CCEEFF"/>
            </w:tcBorders>
            <w:shd w:val="clear" w:color="auto" w:fill="CCEEFF"/>
          </w:tcPr>
          <w:p>
            <w:pPr>
              <w:jc w:val="cente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0"/>
        </w:trPr>
        <w:tc>
          <w:tcPr>
            <w:tcW w:w="10120" w:type="dxa"/>
            <w:vAlign w:val="bottom"/>
            <w:gridSpan w:val="96"/>
          </w:tcPr>
          <w:p>
            <w:pPr>
              <w:spacing w:after="0"/>
              <w:rPr>
                <w:sz w:val="20"/>
                <w:szCs w:val="20"/>
                <w:color w:val="auto"/>
              </w:rPr>
            </w:pPr>
            <w:r>
              <w:rPr>
                <w:rFonts w:ascii="Arial" w:cs="Arial" w:eastAsia="Arial" w:hAnsi="Arial"/>
                <w:sz w:val="8"/>
                <w:szCs w:val="8"/>
                <w:color w:val="auto"/>
              </w:rPr>
              <w:t>Issuance of Series Seed redeemable convertible preferred shares</w:t>
            </w:r>
          </w:p>
        </w:tc>
        <w:tc>
          <w:tcPr>
            <w:tcW w:w="0" w:type="dxa"/>
            <w:vAlign w:val="bottom"/>
          </w:tcPr>
          <w:p>
            <w:pPr>
              <w:spacing w:after="0"/>
              <w:rPr>
                <w:sz w:val="1"/>
                <w:szCs w:val="1"/>
                <w:color w:val="auto"/>
              </w:rPr>
            </w:pPr>
          </w:p>
        </w:tc>
      </w:tr>
      <w:tr>
        <w:trPr>
          <w:trHeight w:val="106"/>
        </w:trPr>
        <w:tc>
          <w:tcPr>
            <w:tcW w:w="10120" w:type="dxa"/>
            <w:vAlign w:val="bottom"/>
            <w:gridSpan w:val="96"/>
          </w:tcPr>
          <w:p>
            <w:pPr>
              <w:ind w:left="100"/>
              <w:spacing w:after="0"/>
              <w:rPr>
                <w:sz w:val="20"/>
                <w:szCs w:val="20"/>
                <w:color w:val="auto"/>
              </w:rPr>
            </w:pPr>
            <w:r>
              <w:rPr>
                <w:rFonts w:ascii="Arial" w:cs="Arial" w:eastAsia="Arial" w:hAnsi="Arial"/>
                <w:sz w:val="8"/>
                <w:szCs w:val="8"/>
                <w:color w:val="auto"/>
              </w:rPr>
              <w:t>of Basecamp to noncontrolling interest holders, net of</w:t>
            </w:r>
          </w:p>
        </w:tc>
        <w:tc>
          <w:tcPr>
            <w:tcW w:w="0" w:type="dxa"/>
            <w:vAlign w:val="bottom"/>
          </w:tcPr>
          <w:p>
            <w:pPr>
              <w:spacing w:after="0"/>
              <w:rPr>
                <w:sz w:val="1"/>
                <w:szCs w:val="1"/>
                <w:color w:val="auto"/>
              </w:rPr>
            </w:pPr>
          </w:p>
        </w:tc>
      </w:tr>
      <w:tr>
        <w:trPr>
          <w:trHeight w:val="111"/>
        </w:trPr>
        <w:tc>
          <w:tcPr>
            <w:tcW w:w="2440" w:type="dxa"/>
            <w:vAlign w:val="bottom"/>
          </w:tcPr>
          <w:p>
            <w:pPr>
              <w:ind w:left="100"/>
              <w:spacing w:after="0"/>
              <w:rPr>
                <w:sz w:val="20"/>
                <w:szCs w:val="20"/>
                <w:color w:val="auto"/>
              </w:rPr>
            </w:pPr>
            <w:r>
              <w:rPr>
                <w:rFonts w:ascii="Arial" w:cs="Arial" w:eastAsia="Arial" w:hAnsi="Arial"/>
                <w:sz w:val="8"/>
                <w:szCs w:val="8"/>
                <w:color w:val="auto"/>
              </w:rPr>
              <w:t>issuance costs of  $91</w:t>
            </w:r>
          </w:p>
        </w:tc>
        <w:tc>
          <w:tcPr>
            <w:tcW w:w="40" w:type="dxa"/>
            <w:vAlign w:val="bottom"/>
          </w:tcPr>
          <w:p>
            <w:pPr>
              <w:spacing w:after="0"/>
              <w:rPr>
                <w:sz w:val="9"/>
                <w:szCs w:val="9"/>
                <w:color w:val="auto"/>
              </w:rPr>
            </w:pPr>
          </w:p>
        </w:tc>
        <w:tc>
          <w:tcPr>
            <w:tcW w:w="100" w:type="dxa"/>
            <w:vAlign w:val="bottom"/>
            <w:gridSpan w:val="4"/>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260" w:type="dxa"/>
            <w:vAlign w:val="bottom"/>
            <w:gridSpan w:val="6"/>
          </w:tcPr>
          <w:p>
            <w:pPr>
              <w:jc w:val="right"/>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ind w:left="20"/>
              <w:spacing w:after="0"/>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1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spacing w:after="0"/>
              <w:rPr>
                <w:sz w:val="20"/>
                <w:szCs w:val="20"/>
                <w:color w:val="auto"/>
              </w:rPr>
            </w:pPr>
            <w:r>
              <w:rPr>
                <w:rFonts w:ascii="Arial" w:cs="Arial" w:eastAsia="Arial" w:hAnsi="Arial"/>
                <w:sz w:val="8"/>
                <w:szCs w:val="8"/>
                <w:color w:val="auto"/>
              </w:rPr>
              <w:t>—​​​​ ​</w:t>
            </w:r>
          </w:p>
        </w:tc>
        <w:tc>
          <w:tcPr>
            <w:tcW w:w="160" w:type="dxa"/>
            <w:vAlign w:val="bottom"/>
          </w:tcPr>
          <w:p>
            <w:pPr>
              <w:spacing w:after="0"/>
              <w:rPr>
                <w:sz w:val="9"/>
                <w:szCs w:val="9"/>
                <w:color w:val="auto"/>
              </w:rPr>
            </w:pPr>
          </w:p>
        </w:tc>
        <w:tc>
          <w:tcPr>
            <w:tcW w:w="280" w:type="dxa"/>
            <w:vAlign w:val="bottom"/>
            <w:gridSpan w:val="5"/>
          </w:tcPr>
          <w:p>
            <w:pPr>
              <w:jc w:val="right"/>
              <w:ind w:right="77"/>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gridSpan w:val="3"/>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jc w:val="right"/>
              <w:spacing w:after="0"/>
              <w:rPr>
                <w:sz w:val="20"/>
                <w:szCs w:val="20"/>
                <w:color w:val="auto"/>
              </w:rPr>
            </w:pPr>
            <w:r>
              <w:rPr>
                <w:rFonts w:ascii="Arial" w:cs="Arial" w:eastAsia="Arial" w:hAnsi="Arial"/>
                <w:sz w:val="8"/>
                <w:szCs w:val="8"/>
                <w:color w:val="auto"/>
                <w:w w:val="74"/>
              </w:rPr>
              <w:t>—</w:t>
            </w:r>
          </w:p>
        </w:tc>
        <w:tc>
          <w:tcPr>
            <w:tcW w:w="160" w:type="dxa"/>
            <w:vAlign w:val="bottom"/>
            <w:gridSpan w:val="2"/>
          </w:tcPr>
          <w:p>
            <w:pPr>
              <w:ind w:left="40"/>
              <w:spacing w:after="0"/>
              <w:rPr>
                <w:sz w:val="20"/>
                <w:szCs w:val="20"/>
                <w:color w:val="auto"/>
              </w:rPr>
            </w:pPr>
            <w:r>
              <w:rPr>
                <w:rFonts w:ascii="Arial" w:cs="Arial" w:eastAsia="Arial" w:hAnsi="Arial"/>
                <w:sz w:val="8"/>
                <w:szCs w:val="8"/>
                <w:color w:val="auto"/>
              </w:rPr>
              <w:t>​​​</w:t>
            </w:r>
          </w:p>
        </w:tc>
        <w:tc>
          <w:tcPr>
            <w:tcW w:w="220" w:type="dxa"/>
            <w:vAlign w:val="bottom"/>
          </w:tcPr>
          <w:p>
            <w:pPr>
              <w:ind w:left="14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8"/>
                <w:szCs w:val="8"/>
                <w:color w:val="auto"/>
              </w:rPr>
              <w:t>6,909</w:t>
            </w:r>
          </w:p>
        </w:tc>
        <w:tc>
          <w:tcPr>
            <w:tcW w:w="12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100" w:type="dxa"/>
            <w:vAlign w:val="bottom"/>
            <w:gridSpan w:val="3"/>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tcPr>
          <w:p>
            <w:pPr>
              <w:ind w:left="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9"/>
                <w:szCs w:val="9"/>
                <w:color w:val="auto"/>
              </w:rPr>
            </w:pPr>
          </w:p>
        </w:tc>
        <w:tc>
          <w:tcPr>
            <w:tcW w:w="120" w:type="dxa"/>
            <w:vAlign w:val="bottom"/>
            <w:gridSpan w:val="3"/>
          </w:tcPr>
          <w:p>
            <w:pPr>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120" w:type="dxa"/>
            <w:vAlign w:val="bottom"/>
            <w:gridSpan w:val="3"/>
          </w:tcPr>
          <w:p>
            <w:pPr>
              <w:ind w:left="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20" w:type="dxa"/>
            <w:vAlign w:val="bottom"/>
            <w:gridSpan w:val="2"/>
          </w:tcPr>
          <w:p>
            <w:pPr>
              <w:jc w:val="right"/>
              <w:ind w:right="18"/>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380" w:type="dxa"/>
            <w:vAlign w:val="bottom"/>
            <w:gridSpan w:val="2"/>
          </w:tcPr>
          <w:p>
            <w:pPr>
              <w:jc w:val="right"/>
              <w:ind w:right="218"/>
              <w:spacing w:after="0"/>
              <w:rPr>
                <w:sz w:val="20"/>
                <w:szCs w:val="20"/>
                <w:color w:val="auto"/>
              </w:rPr>
            </w:pPr>
            <w:r>
              <w:rPr>
                <w:rFonts w:ascii="Arial" w:cs="Arial" w:eastAsia="Arial" w:hAnsi="Arial"/>
                <w:sz w:val="8"/>
                <w:szCs w:val="8"/>
                <w:color w:val="auto"/>
                <w:w w:val="97"/>
              </w:rPr>
              <w:t>​ —</w:t>
            </w:r>
          </w:p>
        </w:tc>
        <w:tc>
          <w:tcPr>
            <w:tcW w:w="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tcPr>
          <w:p>
            <w:pPr>
              <w:ind w:left="40"/>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0" w:type="dxa"/>
            <w:vAlign w:val="bottom"/>
            <w:gridSpan w:val="2"/>
          </w:tcPr>
          <w:p>
            <w:pPr>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80" w:type="dxa"/>
            <w:vAlign w:val="bottom"/>
          </w:tcPr>
          <w:p>
            <w:pPr>
              <w:jc w:val="center"/>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1"/>
        </w:trPr>
        <w:tc>
          <w:tcPr>
            <w:tcW w:w="2880" w:type="dxa"/>
            <w:vAlign w:val="bottom"/>
            <w:gridSpan w:val="8"/>
            <w:shd w:val="clear" w:color="auto" w:fill="CCEEFF"/>
          </w:tcPr>
          <w:p>
            <w:pPr>
              <w:spacing w:after="0"/>
              <w:rPr>
                <w:sz w:val="20"/>
                <w:szCs w:val="20"/>
                <w:color w:val="auto"/>
              </w:rPr>
            </w:pPr>
            <w:r>
              <w:rPr>
                <w:rFonts w:ascii="Arial" w:cs="Arial" w:eastAsia="Arial" w:hAnsi="Arial"/>
                <w:sz w:val="8"/>
                <w:szCs w:val="8"/>
                <w:color w:val="auto"/>
              </w:rPr>
              <w:t>Accretion of Series Seed redeemable convertible preferred shares</w:t>
            </w: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42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4"/>
            <w:shd w:val="clear" w:color="auto" w:fill="CCEEFF"/>
          </w:tcPr>
          <w:p>
            <w:pPr>
              <w:spacing w:after="0"/>
              <w:rPr>
                <w:sz w:val="8"/>
                <w:szCs w:val="8"/>
                <w:color w:val="auto"/>
              </w:rPr>
            </w:pPr>
          </w:p>
        </w:tc>
        <w:tc>
          <w:tcPr>
            <w:tcW w:w="40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20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tcBorders>
            <w:gridSpan w:val="2"/>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0" w:type="dxa"/>
            <w:vAlign w:val="bottom"/>
            <w:tcBorders>
              <w:right w:val="single" w:sz="8" w:color="CCEEFF"/>
            </w:tcBorders>
            <w:gridSpan w:val="6"/>
            <w:shd w:val="clear" w:color="auto" w:fill="CCEEFF"/>
          </w:tcPr>
          <w:p>
            <w:pPr>
              <w:spacing w:after="0"/>
              <w:rPr>
                <w:sz w:val="8"/>
                <w:szCs w:val="8"/>
                <w:color w:val="auto"/>
              </w:rPr>
            </w:pPr>
          </w:p>
        </w:tc>
        <w:tc>
          <w:tcPr>
            <w:tcW w:w="440" w:type="dxa"/>
            <w:vAlign w:val="bottom"/>
            <w:tcBorders>
              <w:right w:val="single" w:sz="8" w:color="CCEEFF"/>
            </w:tcBorders>
            <w:gridSpan w:val="6"/>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tcBorders>
              <w:left w:val="single" w:sz="8" w:color="CCEEFF"/>
            </w:tcBorders>
            <w:gridSpan w:val="7"/>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4"/>
            <w:shd w:val="clear" w:color="auto" w:fill="CCEEFF"/>
          </w:tcPr>
          <w:p>
            <w:pPr>
              <w:spacing w:after="0"/>
              <w:rPr>
                <w:sz w:val="8"/>
                <w:szCs w:val="8"/>
                <w:color w:val="auto"/>
              </w:rPr>
            </w:pPr>
          </w:p>
        </w:tc>
        <w:tc>
          <w:tcPr>
            <w:tcW w:w="60" w:type="dxa"/>
            <w:vAlign w:val="bottom"/>
            <w:gridSpan w:val="2"/>
            <w:shd w:val="clear" w:color="auto" w:fill="CCEEFF"/>
          </w:tcPr>
          <w:p>
            <w:pPr>
              <w:spacing w:after="0"/>
              <w:rPr>
                <w:sz w:val="8"/>
                <w:szCs w:val="8"/>
                <w:color w:val="auto"/>
              </w:rPr>
            </w:pPr>
          </w:p>
        </w:tc>
        <w:tc>
          <w:tcPr>
            <w:tcW w:w="24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00" w:type="dxa"/>
            <w:vAlign w:val="bottom"/>
            <w:tcBorders>
              <w:right w:val="single" w:sz="8" w:color="CCEEFF"/>
            </w:tcBorders>
            <w:gridSpan w:val="4"/>
            <w:shd w:val="clear" w:color="auto" w:fill="CCEEFF"/>
          </w:tcPr>
          <w:p>
            <w:pPr>
              <w:spacing w:after="0"/>
              <w:rPr>
                <w:sz w:val="8"/>
                <w:szCs w:val="8"/>
                <w:color w:val="auto"/>
              </w:rPr>
            </w:pPr>
          </w:p>
        </w:tc>
        <w:tc>
          <w:tcPr>
            <w:tcW w:w="260" w:type="dxa"/>
            <w:vAlign w:val="bottom"/>
            <w:gridSpan w:val="2"/>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00" w:type="dxa"/>
            <w:vAlign w:val="bottom"/>
            <w:tcBorders>
              <w:righ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left w:val="single" w:sz="8" w:color="CCEEFF"/>
            </w:tcBorders>
            <w:gridSpan w:val="2"/>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40" w:type="dxa"/>
            <w:vAlign w:val="bottom"/>
            <w:shd w:val="clear" w:color="auto" w:fill="CCEEFF"/>
          </w:tcPr>
          <w:p>
            <w:pPr>
              <w:ind w:left="100"/>
              <w:spacing w:after="0"/>
              <w:rPr>
                <w:sz w:val="20"/>
                <w:szCs w:val="20"/>
                <w:color w:val="auto"/>
              </w:rPr>
            </w:pPr>
            <w:r>
              <w:rPr>
                <w:rFonts w:ascii="Arial" w:cs="Arial" w:eastAsia="Arial" w:hAnsi="Arial"/>
                <w:sz w:val="8"/>
                <w:szCs w:val="8"/>
                <w:color w:val="auto"/>
              </w:rPr>
              <w:t>to their redemption value</w:t>
            </w:r>
          </w:p>
        </w:tc>
        <w:tc>
          <w:tcPr>
            <w:tcW w:w="40" w:type="dxa"/>
            <w:vAlign w:val="bottom"/>
            <w:shd w:val="clear" w:color="auto" w:fill="CCEEFF"/>
          </w:tcPr>
          <w:p>
            <w:pPr>
              <w:spacing w:after="0"/>
              <w:rPr>
                <w:sz w:val="9"/>
                <w:szCs w:val="9"/>
                <w:color w:val="auto"/>
              </w:rPr>
            </w:pPr>
          </w:p>
        </w:tc>
        <w:tc>
          <w:tcPr>
            <w:tcW w:w="100" w:type="dxa"/>
            <w:vAlign w:val="bottom"/>
            <w:gridSpan w:val="4"/>
            <w:shd w:val="clear" w:color="auto" w:fill="CCEEFF"/>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260" w:type="dxa"/>
            <w:vAlign w:val="bottom"/>
            <w:gridSpan w:val="6"/>
            <w:shd w:val="clear" w:color="auto" w:fill="CCEEFF"/>
          </w:tcPr>
          <w:p>
            <w:pPr>
              <w:jc w:val="right"/>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1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shd w:val="clear" w:color="auto" w:fill="CCEEFF"/>
          </w:tcPr>
          <w:p>
            <w:pPr>
              <w:jc w:val="right"/>
              <w:spacing w:after="0"/>
              <w:rPr>
                <w:sz w:val="20"/>
                <w:szCs w:val="20"/>
                <w:color w:val="auto"/>
              </w:rPr>
            </w:pPr>
            <w:r>
              <w:rPr>
                <w:rFonts w:ascii="Arial" w:cs="Arial" w:eastAsia="Arial" w:hAnsi="Arial"/>
                <w:sz w:val="8"/>
                <w:szCs w:val="8"/>
                <w:color w:val="auto"/>
              </w:rPr>
              <w:t>—​​​​ ​</w:t>
            </w:r>
          </w:p>
        </w:tc>
        <w:tc>
          <w:tcPr>
            <w:tcW w:w="160" w:type="dxa"/>
            <w:vAlign w:val="bottom"/>
            <w:shd w:val="clear" w:color="auto" w:fill="CCEEFF"/>
          </w:tcPr>
          <w:p>
            <w:pPr>
              <w:spacing w:after="0"/>
              <w:rPr>
                <w:sz w:val="9"/>
                <w:szCs w:val="9"/>
                <w:color w:val="auto"/>
              </w:rPr>
            </w:pPr>
          </w:p>
        </w:tc>
        <w:tc>
          <w:tcPr>
            <w:tcW w:w="280" w:type="dxa"/>
            <w:vAlign w:val="bottom"/>
            <w:tcBorders>
              <w:right w:val="single" w:sz="8" w:color="CCEEFF"/>
            </w:tcBorders>
            <w:gridSpan w:val="5"/>
            <w:shd w:val="clear" w:color="auto" w:fill="CCEEFF"/>
          </w:tcPr>
          <w:p>
            <w:pPr>
              <w:jc w:val="right"/>
              <w:ind w:right="77"/>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4"/>
              </w:rPr>
              <w:t>—</w:t>
            </w:r>
          </w:p>
        </w:tc>
        <w:tc>
          <w:tcPr>
            <w:tcW w:w="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8"/>
                <w:szCs w:val="8"/>
                <w:color w:val="auto"/>
              </w:rPr>
              <w:t>91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8"/>
                <w:szCs w:val="8"/>
                <w:color w:val="auto"/>
              </w:rPr>
              <w:t>​</w:t>
            </w:r>
          </w:p>
        </w:tc>
        <w:tc>
          <w:tcPr>
            <w:tcW w:w="100" w:type="dxa"/>
            <w:vAlign w:val="bottom"/>
            <w:gridSpan w:val="3"/>
            <w:shd w:val="clear" w:color="auto" w:fill="CCEEFF"/>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rPr>
              <w:t>—</w:t>
            </w: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18"/>
              <w:spacing w:after="0"/>
              <w:rPr>
                <w:sz w:val="20"/>
                <w:szCs w:val="20"/>
                <w:color w:val="auto"/>
              </w:rPr>
            </w:pPr>
            <w:r>
              <w:rPr>
                <w:rFonts w:ascii="Arial" w:cs="Arial" w:eastAsia="Arial" w:hAnsi="Arial"/>
                <w:sz w:val="8"/>
                <w:szCs w:val="8"/>
                <w:color w:val="auto"/>
                <w:w w:val="97"/>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8"/>
                <w:szCs w:val="8"/>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(91)</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0"/>
        </w:trPr>
        <w:tc>
          <w:tcPr>
            <w:tcW w:w="10120" w:type="dxa"/>
            <w:vAlign w:val="bottom"/>
            <w:gridSpan w:val="96"/>
          </w:tcPr>
          <w:p>
            <w:pPr>
              <w:spacing w:after="0"/>
              <w:rPr>
                <w:sz w:val="20"/>
                <w:szCs w:val="20"/>
                <w:color w:val="auto"/>
              </w:rPr>
            </w:pPr>
            <w:r>
              <w:rPr>
                <w:rFonts w:ascii="Arial" w:cs="Arial" w:eastAsia="Arial" w:hAnsi="Arial"/>
                <w:sz w:val="8"/>
                <w:szCs w:val="8"/>
                <w:color w:val="auto"/>
              </w:rPr>
              <w:t>Issuance of Series B redeemable convertible preferred shares, net</w:t>
            </w:r>
          </w:p>
        </w:tc>
        <w:tc>
          <w:tcPr>
            <w:tcW w:w="0" w:type="dxa"/>
            <w:vAlign w:val="bottom"/>
          </w:tcPr>
          <w:p>
            <w:pPr>
              <w:spacing w:after="0"/>
              <w:rPr>
                <w:sz w:val="1"/>
                <w:szCs w:val="1"/>
                <w:color w:val="auto"/>
              </w:rPr>
            </w:pPr>
          </w:p>
        </w:tc>
      </w:tr>
      <w:tr>
        <w:trPr>
          <w:trHeight w:val="111"/>
        </w:trPr>
        <w:tc>
          <w:tcPr>
            <w:tcW w:w="2440" w:type="dxa"/>
            <w:vAlign w:val="bottom"/>
          </w:tcPr>
          <w:p>
            <w:pPr>
              <w:ind w:left="100"/>
              <w:spacing w:after="0"/>
              <w:rPr>
                <w:sz w:val="20"/>
                <w:szCs w:val="20"/>
                <w:color w:val="auto"/>
              </w:rPr>
            </w:pPr>
            <w:r>
              <w:rPr>
                <w:rFonts w:ascii="Arial" w:cs="Arial" w:eastAsia="Arial" w:hAnsi="Arial"/>
                <w:sz w:val="8"/>
                <w:szCs w:val="8"/>
                <w:color w:val="auto"/>
              </w:rPr>
              <w:t>of issuance costs of  $3,551</w:t>
            </w:r>
          </w:p>
        </w:tc>
        <w:tc>
          <w:tcPr>
            <w:tcW w:w="40" w:type="dxa"/>
            <w:vAlign w:val="bottom"/>
          </w:tcPr>
          <w:p>
            <w:pPr>
              <w:spacing w:after="0"/>
              <w:rPr>
                <w:sz w:val="9"/>
                <w:szCs w:val="9"/>
                <w:color w:val="auto"/>
              </w:rPr>
            </w:pPr>
          </w:p>
        </w:tc>
        <w:tc>
          <w:tcPr>
            <w:tcW w:w="100" w:type="dxa"/>
            <w:vAlign w:val="bottom"/>
            <w:gridSpan w:val="4"/>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260" w:type="dxa"/>
            <w:vAlign w:val="bottom"/>
            <w:gridSpan w:val="6"/>
          </w:tcPr>
          <w:p>
            <w:pPr>
              <w:jc w:val="right"/>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ind w:left="20"/>
              <w:spacing w:after="0"/>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1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spacing w:after="0"/>
              <w:rPr>
                <w:sz w:val="20"/>
                <w:szCs w:val="20"/>
                <w:color w:val="auto"/>
              </w:rPr>
            </w:pPr>
            <w:r>
              <w:rPr>
                <w:rFonts w:ascii="Arial" w:cs="Arial" w:eastAsia="Arial" w:hAnsi="Arial"/>
                <w:sz w:val="8"/>
                <w:szCs w:val="8"/>
                <w:color w:val="auto"/>
              </w:rPr>
              <w:t>24,702​​​​ ​</w:t>
            </w:r>
          </w:p>
        </w:tc>
        <w:tc>
          <w:tcPr>
            <w:tcW w:w="440" w:type="dxa"/>
            <w:vAlign w:val="bottom"/>
            <w:gridSpan w:val="6"/>
          </w:tcPr>
          <w:p>
            <w:pPr>
              <w:jc w:val="right"/>
              <w:ind w:right="77"/>
              <w:spacing w:after="0"/>
              <w:rPr>
                <w:sz w:val="20"/>
                <w:szCs w:val="20"/>
                <w:color w:val="auto"/>
              </w:rPr>
            </w:pPr>
            <w:r>
              <w:rPr>
                <w:rFonts w:ascii="Arial" w:cs="Arial" w:eastAsia="Arial" w:hAnsi="Arial"/>
                <w:sz w:val="8"/>
                <w:szCs w:val="8"/>
                <w:color w:val="auto"/>
              </w:rPr>
              <w:t>96,449​​​</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gridSpan w:val="3"/>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jc w:val="right"/>
              <w:spacing w:after="0"/>
              <w:rPr>
                <w:sz w:val="20"/>
                <w:szCs w:val="20"/>
                <w:color w:val="auto"/>
              </w:rPr>
            </w:pPr>
            <w:r>
              <w:rPr>
                <w:rFonts w:ascii="Arial" w:cs="Arial" w:eastAsia="Arial" w:hAnsi="Arial"/>
                <w:sz w:val="8"/>
                <w:szCs w:val="8"/>
                <w:color w:val="auto"/>
                <w:w w:val="74"/>
              </w:rPr>
              <w:t>—</w:t>
            </w:r>
          </w:p>
        </w:tc>
        <w:tc>
          <w:tcPr>
            <w:tcW w:w="160" w:type="dxa"/>
            <w:vAlign w:val="bottom"/>
            <w:gridSpan w:val="2"/>
          </w:tcPr>
          <w:p>
            <w:pPr>
              <w:ind w:left="40"/>
              <w:spacing w:after="0"/>
              <w:rPr>
                <w:sz w:val="20"/>
                <w:szCs w:val="20"/>
                <w:color w:val="auto"/>
              </w:rPr>
            </w:pPr>
            <w:r>
              <w:rPr>
                <w:rFonts w:ascii="Arial" w:cs="Arial" w:eastAsia="Arial" w:hAnsi="Arial"/>
                <w:sz w:val="8"/>
                <w:szCs w:val="8"/>
                <w:color w:val="auto"/>
              </w:rPr>
              <w:t>​​​</w:t>
            </w:r>
          </w:p>
        </w:tc>
        <w:tc>
          <w:tcPr>
            <w:tcW w:w="220" w:type="dxa"/>
            <w:vAlign w:val="bottom"/>
          </w:tcPr>
          <w:p>
            <w:pPr>
              <w:ind w:left="14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8"/>
                <w:szCs w:val="8"/>
                <w:color w:val="auto"/>
                <w:w w:val="74"/>
              </w:rPr>
              <w:t>—</w:t>
            </w:r>
          </w:p>
        </w:tc>
        <w:tc>
          <w:tcPr>
            <w:tcW w:w="12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100" w:type="dxa"/>
            <w:vAlign w:val="bottom"/>
            <w:gridSpan w:val="3"/>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tcPr>
          <w:p>
            <w:pPr>
              <w:ind w:left="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9"/>
                <w:szCs w:val="9"/>
                <w:color w:val="auto"/>
              </w:rPr>
            </w:pPr>
          </w:p>
        </w:tc>
        <w:tc>
          <w:tcPr>
            <w:tcW w:w="120" w:type="dxa"/>
            <w:vAlign w:val="bottom"/>
            <w:gridSpan w:val="3"/>
          </w:tcPr>
          <w:p>
            <w:pPr>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120" w:type="dxa"/>
            <w:vAlign w:val="bottom"/>
            <w:gridSpan w:val="3"/>
          </w:tcPr>
          <w:p>
            <w:pPr>
              <w:ind w:left="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20" w:type="dxa"/>
            <w:vAlign w:val="bottom"/>
            <w:gridSpan w:val="2"/>
          </w:tcPr>
          <w:p>
            <w:pPr>
              <w:jc w:val="right"/>
              <w:ind w:right="18"/>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380" w:type="dxa"/>
            <w:vAlign w:val="bottom"/>
            <w:gridSpan w:val="2"/>
          </w:tcPr>
          <w:p>
            <w:pPr>
              <w:jc w:val="right"/>
              <w:ind w:right="218"/>
              <w:spacing w:after="0"/>
              <w:rPr>
                <w:sz w:val="20"/>
                <w:szCs w:val="20"/>
                <w:color w:val="auto"/>
              </w:rPr>
            </w:pPr>
            <w:r>
              <w:rPr>
                <w:rFonts w:ascii="Arial" w:cs="Arial" w:eastAsia="Arial" w:hAnsi="Arial"/>
                <w:sz w:val="8"/>
                <w:szCs w:val="8"/>
                <w:color w:val="auto"/>
                <w:w w:val="97"/>
              </w:rPr>
              <w:t>​ —</w:t>
            </w:r>
          </w:p>
        </w:tc>
        <w:tc>
          <w:tcPr>
            <w:tcW w:w="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tcPr>
          <w:p>
            <w:pPr>
              <w:ind w:left="40"/>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0" w:type="dxa"/>
            <w:vAlign w:val="bottom"/>
            <w:gridSpan w:val="2"/>
          </w:tcPr>
          <w:p>
            <w:pPr>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80" w:type="dxa"/>
            <w:vAlign w:val="bottom"/>
          </w:tcPr>
          <w:p>
            <w:pPr>
              <w:jc w:val="center"/>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1"/>
        </w:trPr>
        <w:tc>
          <w:tcPr>
            <w:tcW w:w="2880" w:type="dxa"/>
            <w:vAlign w:val="bottom"/>
            <w:gridSpan w:val="8"/>
            <w:shd w:val="clear" w:color="auto" w:fill="CCEEFF"/>
          </w:tcPr>
          <w:p>
            <w:pPr>
              <w:spacing w:after="0"/>
              <w:rPr>
                <w:sz w:val="20"/>
                <w:szCs w:val="20"/>
                <w:color w:val="auto"/>
              </w:rPr>
            </w:pPr>
            <w:r>
              <w:rPr>
                <w:rFonts w:ascii="Arial" w:cs="Arial" w:eastAsia="Arial" w:hAnsi="Arial"/>
                <w:sz w:val="8"/>
                <w:szCs w:val="8"/>
                <w:color w:val="auto"/>
              </w:rPr>
              <w:t>Accretion of Series B redeemable convertible preferred shares to</w:t>
            </w: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42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4"/>
            <w:shd w:val="clear" w:color="auto" w:fill="CCEEFF"/>
          </w:tcPr>
          <w:p>
            <w:pPr>
              <w:spacing w:after="0"/>
              <w:rPr>
                <w:sz w:val="8"/>
                <w:szCs w:val="8"/>
                <w:color w:val="auto"/>
              </w:rPr>
            </w:pPr>
          </w:p>
        </w:tc>
        <w:tc>
          <w:tcPr>
            <w:tcW w:w="400" w:type="dxa"/>
            <w:vAlign w:val="bottom"/>
            <w:tcBorders>
              <w:left w:val="single" w:sz="8" w:color="CCEEFF"/>
            </w:tcBorders>
            <w:gridSpan w:val="6"/>
            <w:shd w:val="clear" w:color="auto" w:fill="CCEEFF"/>
          </w:tcPr>
          <w:p>
            <w:pPr>
              <w:spacing w:after="0"/>
              <w:rPr>
                <w:sz w:val="8"/>
                <w:szCs w:val="8"/>
                <w:color w:val="auto"/>
              </w:rPr>
            </w:pPr>
          </w:p>
        </w:tc>
        <w:tc>
          <w:tcPr>
            <w:tcW w:w="40" w:type="dxa"/>
            <w:vAlign w:val="bottom"/>
            <w:tcBorders>
              <w:left w:val="single" w:sz="8" w:color="CCEEFF"/>
            </w:tcBorders>
            <w:shd w:val="clear" w:color="auto" w:fill="CCEEFF"/>
          </w:tcPr>
          <w:p>
            <w:pPr>
              <w:spacing w:after="0"/>
              <w:rPr>
                <w:sz w:val="8"/>
                <w:szCs w:val="8"/>
                <w:color w:val="auto"/>
              </w:rPr>
            </w:pPr>
          </w:p>
        </w:tc>
        <w:tc>
          <w:tcPr>
            <w:tcW w:w="400" w:type="dxa"/>
            <w:vAlign w:val="bottom"/>
            <w:tcBorders>
              <w:lef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20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tcBorders>
            <w:gridSpan w:val="2"/>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0" w:type="dxa"/>
            <w:vAlign w:val="bottom"/>
            <w:tcBorders>
              <w:right w:val="single" w:sz="8" w:color="CCEEFF"/>
            </w:tcBorders>
            <w:gridSpan w:val="6"/>
            <w:shd w:val="clear" w:color="auto" w:fill="CCEEFF"/>
          </w:tcPr>
          <w:p>
            <w:pPr>
              <w:spacing w:after="0"/>
              <w:rPr>
                <w:sz w:val="8"/>
                <w:szCs w:val="8"/>
                <w:color w:val="auto"/>
              </w:rPr>
            </w:pPr>
          </w:p>
        </w:tc>
        <w:tc>
          <w:tcPr>
            <w:tcW w:w="440" w:type="dxa"/>
            <w:vAlign w:val="bottom"/>
            <w:tcBorders>
              <w:right w:val="single" w:sz="8" w:color="CCEEFF"/>
            </w:tcBorders>
            <w:gridSpan w:val="6"/>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tcBorders>
              <w:left w:val="single" w:sz="8" w:color="CCEEFF"/>
            </w:tcBorders>
            <w:gridSpan w:val="7"/>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4"/>
            <w:shd w:val="clear" w:color="auto" w:fill="CCEEFF"/>
          </w:tcPr>
          <w:p>
            <w:pPr>
              <w:spacing w:after="0"/>
              <w:rPr>
                <w:sz w:val="8"/>
                <w:szCs w:val="8"/>
                <w:color w:val="auto"/>
              </w:rPr>
            </w:pPr>
          </w:p>
        </w:tc>
        <w:tc>
          <w:tcPr>
            <w:tcW w:w="60" w:type="dxa"/>
            <w:vAlign w:val="bottom"/>
            <w:gridSpan w:val="2"/>
            <w:shd w:val="clear" w:color="auto" w:fill="CCEEFF"/>
          </w:tcPr>
          <w:p>
            <w:pPr>
              <w:spacing w:after="0"/>
              <w:rPr>
                <w:sz w:val="8"/>
                <w:szCs w:val="8"/>
                <w:color w:val="auto"/>
              </w:rPr>
            </w:pPr>
          </w:p>
        </w:tc>
        <w:tc>
          <w:tcPr>
            <w:tcW w:w="24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00" w:type="dxa"/>
            <w:vAlign w:val="bottom"/>
            <w:tcBorders>
              <w:right w:val="single" w:sz="8" w:color="CCEEFF"/>
            </w:tcBorders>
            <w:gridSpan w:val="4"/>
            <w:shd w:val="clear" w:color="auto" w:fill="CCEEFF"/>
          </w:tcPr>
          <w:p>
            <w:pPr>
              <w:spacing w:after="0"/>
              <w:rPr>
                <w:sz w:val="8"/>
                <w:szCs w:val="8"/>
                <w:color w:val="auto"/>
              </w:rPr>
            </w:pPr>
          </w:p>
        </w:tc>
        <w:tc>
          <w:tcPr>
            <w:tcW w:w="260" w:type="dxa"/>
            <w:vAlign w:val="bottom"/>
            <w:gridSpan w:val="2"/>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00" w:type="dxa"/>
            <w:vAlign w:val="bottom"/>
            <w:tcBorders>
              <w:righ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left w:val="single" w:sz="8" w:color="CCEEFF"/>
            </w:tcBorders>
            <w:gridSpan w:val="2"/>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40" w:type="dxa"/>
            <w:vAlign w:val="bottom"/>
            <w:shd w:val="clear" w:color="auto" w:fill="CCEEFF"/>
          </w:tcPr>
          <w:p>
            <w:pPr>
              <w:ind w:left="100"/>
              <w:spacing w:after="0"/>
              <w:rPr>
                <w:sz w:val="20"/>
                <w:szCs w:val="20"/>
                <w:color w:val="auto"/>
              </w:rPr>
            </w:pPr>
            <w:r>
              <w:rPr>
                <w:rFonts w:ascii="Arial" w:cs="Arial" w:eastAsia="Arial" w:hAnsi="Arial"/>
                <w:sz w:val="8"/>
                <w:szCs w:val="8"/>
                <w:color w:val="auto"/>
              </w:rPr>
              <w:t>their redemption value</w:t>
            </w:r>
          </w:p>
        </w:tc>
        <w:tc>
          <w:tcPr>
            <w:tcW w:w="40" w:type="dxa"/>
            <w:vAlign w:val="bottom"/>
            <w:shd w:val="clear" w:color="auto" w:fill="CCEEFF"/>
          </w:tcPr>
          <w:p>
            <w:pPr>
              <w:spacing w:after="0"/>
              <w:rPr>
                <w:sz w:val="9"/>
                <w:szCs w:val="9"/>
                <w:color w:val="auto"/>
              </w:rPr>
            </w:pPr>
          </w:p>
        </w:tc>
        <w:tc>
          <w:tcPr>
            <w:tcW w:w="100" w:type="dxa"/>
            <w:vAlign w:val="bottom"/>
            <w:gridSpan w:val="4"/>
            <w:shd w:val="clear" w:color="auto" w:fill="CCEEFF"/>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260" w:type="dxa"/>
            <w:vAlign w:val="bottom"/>
            <w:gridSpan w:val="6"/>
            <w:shd w:val="clear" w:color="auto" w:fill="CCEEFF"/>
          </w:tcPr>
          <w:p>
            <w:pPr>
              <w:jc w:val="right"/>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1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shd w:val="clear" w:color="auto" w:fill="CCEEFF"/>
          </w:tcPr>
          <w:p>
            <w:pPr>
              <w:jc w:val="right"/>
              <w:spacing w:after="0"/>
              <w:rPr>
                <w:sz w:val="20"/>
                <w:szCs w:val="20"/>
                <w:color w:val="auto"/>
              </w:rPr>
            </w:pPr>
            <w:r>
              <w:rPr>
                <w:rFonts w:ascii="Arial" w:cs="Arial" w:eastAsia="Arial" w:hAnsi="Arial"/>
                <w:sz w:val="8"/>
                <w:szCs w:val="8"/>
                <w:color w:val="auto"/>
              </w:rPr>
              <w:t>—​​​​ ​</w:t>
            </w:r>
          </w:p>
        </w:tc>
        <w:tc>
          <w:tcPr>
            <w:tcW w:w="440" w:type="dxa"/>
            <w:vAlign w:val="bottom"/>
            <w:tcBorders>
              <w:right w:val="single" w:sz="8" w:color="CCEEFF"/>
            </w:tcBorders>
            <w:gridSpan w:val="6"/>
            <w:shd w:val="clear" w:color="auto" w:fill="CCEEFF"/>
          </w:tcPr>
          <w:p>
            <w:pPr>
              <w:jc w:val="right"/>
              <w:ind w:right="77"/>
              <w:spacing w:after="0"/>
              <w:rPr>
                <w:sz w:val="20"/>
                <w:szCs w:val="20"/>
                <w:color w:val="auto"/>
              </w:rPr>
            </w:pPr>
            <w:r>
              <w:rPr>
                <w:rFonts w:ascii="Arial" w:cs="Arial" w:eastAsia="Arial" w:hAnsi="Arial"/>
                <w:sz w:val="8"/>
                <w:szCs w:val="8"/>
                <w:color w:val="auto"/>
              </w:rPr>
              <w:t>3,551​​​</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4"/>
              </w:rPr>
              <w:t>—</w:t>
            </w:r>
          </w:p>
        </w:tc>
        <w:tc>
          <w:tcPr>
            <w:tcW w:w="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w w:val="74"/>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8"/>
                <w:szCs w:val="8"/>
                <w:color w:val="auto"/>
              </w:rPr>
              <w:t>​</w:t>
            </w:r>
          </w:p>
        </w:tc>
        <w:tc>
          <w:tcPr>
            <w:tcW w:w="100" w:type="dxa"/>
            <w:vAlign w:val="bottom"/>
            <w:gridSpan w:val="3"/>
            <w:shd w:val="clear" w:color="auto" w:fill="CCEEFF"/>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9"/>
                <w:szCs w:val="9"/>
                <w:color w:val="auto"/>
              </w:rPr>
            </w:pPr>
          </w:p>
        </w:tc>
        <w:tc>
          <w:tcPr>
            <w:tcW w:w="1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8"/>
                <w:szCs w:val="8"/>
                <w:color w:val="auto"/>
              </w:rPr>
              <w:t>(1,038)</w:t>
            </w: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18"/>
              <w:spacing w:after="0"/>
              <w:rPr>
                <w:sz w:val="20"/>
                <w:szCs w:val="20"/>
                <w:color w:val="auto"/>
              </w:rPr>
            </w:pPr>
            <w:r>
              <w:rPr>
                <w:rFonts w:ascii="Arial" w:cs="Arial" w:eastAsia="Arial" w:hAnsi="Arial"/>
                <w:sz w:val="8"/>
                <w:szCs w:val="8"/>
                <w:color w:val="auto"/>
                <w:w w:val="97"/>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8"/>
                <w:szCs w:val="8"/>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(2,513)</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0"/>
        </w:trPr>
        <w:tc>
          <w:tcPr>
            <w:tcW w:w="10120" w:type="dxa"/>
            <w:vAlign w:val="bottom"/>
            <w:gridSpan w:val="96"/>
          </w:tcPr>
          <w:p>
            <w:pPr>
              <w:spacing w:after="0"/>
              <w:rPr>
                <w:sz w:val="20"/>
                <w:szCs w:val="20"/>
                <w:color w:val="auto"/>
              </w:rPr>
            </w:pPr>
            <w:r>
              <w:rPr>
                <w:rFonts w:ascii="Arial" w:cs="Arial" w:eastAsia="Arial" w:hAnsi="Arial"/>
                <w:sz w:val="8"/>
                <w:szCs w:val="8"/>
                <w:color w:val="auto"/>
              </w:rPr>
              <w:t>Issuance of ordinary share upon exercise of vested share</w:t>
            </w:r>
          </w:p>
        </w:tc>
        <w:tc>
          <w:tcPr>
            <w:tcW w:w="0" w:type="dxa"/>
            <w:vAlign w:val="bottom"/>
          </w:tcPr>
          <w:p>
            <w:pPr>
              <w:spacing w:after="0"/>
              <w:rPr>
                <w:sz w:val="1"/>
                <w:szCs w:val="1"/>
                <w:color w:val="auto"/>
              </w:rPr>
            </w:pPr>
          </w:p>
        </w:tc>
      </w:tr>
      <w:tr>
        <w:trPr>
          <w:trHeight w:val="111"/>
        </w:trPr>
        <w:tc>
          <w:tcPr>
            <w:tcW w:w="2440" w:type="dxa"/>
            <w:vAlign w:val="bottom"/>
          </w:tcPr>
          <w:p>
            <w:pPr>
              <w:ind w:left="100"/>
              <w:spacing w:after="0"/>
              <w:rPr>
                <w:sz w:val="20"/>
                <w:szCs w:val="20"/>
                <w:color w:val="auto"/>
              </w:rPr>
            </w:pPr>
            <w:r>
              <w:rPr>
                <w:rFonts w:ascii="Arial" w:cs="Arial" w:eastAsia="Arial" w:hAnsi="Arial"/>
                <w:sz w:val="8"/>
                <w:szCs w:val="8"/>
                <w:color w:val="auto"/>
              </w:rPr>
              <w:t>options</w:t>
            </w:r>
          </w:p>
        </w:tc>
        <w:tc>
          <w:tcPr>
            <w:tcW w:w="40" w:type="dxa"/>
            <w:vAlign w:val="bottom"/>
          </w:tcPr>
          <w:p>
            <w:pPr>
              <w:spacing w:after="0"/>
              <w:rPr>
                <w:sz w:val="9"/>
                <w:szCs w:val="9"/>
                <w:color w:val="auto"/>
              </w:rPr>
            </w:pPr>
          </w:p>
        </w:tc>
        <w:tc>
          <w:tcPr>
            <w:tcW w:w="100" w:type="dxa"/>
            <w:vAlign w:val="bottom"/>
            <w:gridSpan w:val="4"/>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260" w:type="dxa"/>
            <w:vAlign w:val="bottom"/>
            <w:gridSpan w:val="6"/>
          </w:tcPr>
          <w:p>
            <w:pPr>
              <w:jc w:val="right"/>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ind w:left="20"/>
              <w:spacing w:after="0"/>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13"/>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spacing w:after="0"/>
              <w:rPr>
                <w:sz w:val="20"/>
                <w:szCs w:val="20"/>
                <w:color w:val="auto"/>
              </w:rPr>
            </w:pPr>
            <w:r>
              <w:rPr>
                <w:rFonts w:ascii="Arial" w:cs="Arial" w:eastAsia="Arial" w:hAnsi="Arial"/>
                <w:sz w:val="8"/>
                <w:szCs w:val="8"/>
                <w:color w:val="auto"/>
              </w:rPr>
              <w:t>—​​​​ ​</w:t>
            </w:r>
          </w:p>
        </w:tc>
        <w:tc>
          <w:tcPr>
            <w:tcW w:w="160" w:type="dxa"/>
            <w:vAlign w:val="bottom"/>
          </w:tcPr>
          <w:p>
            <w:pPr>
              <w:spacing w:after="0"/>
              <w:rPr>
                <w:sz w:val="9"/>
                <w:szCs w:val="9"/>
                <w:color w:val="auto"/>
              </w:rPr>
            </w:pPr>
          </w:p>
        </w:tc>
        <w:tc>
          <w:tcPr>
            <w:tcW w:w="280" w:type="dxa"/>
            <w:vAlign w:val="bottom"/>
            <w:gridSpan w:val="5"/>
          </w:tcPr>
          <w:p>
            <w:pPr>
              <w:jc w:val="right"/>
              <w:ind w:right="77"/>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gridSpan w:val="3"/>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jc w:val="right"/>
              <w:spacing w:after="0"/>
              <w:rPr>
                <w:sz w:val="20"/>
                <w:szCs w:val="20"/>
                <w:color w:val="auto"/>
              </w:rPr>
            </w:pPr>
            <w:r>
              <w:rPr>
                <w:rFonts w:ascii="Arial" w:cs="Arial" w:eastAsia="Arial" w:hAnsi="Arial"/>
                <w:sz w:val="8"/>
                <w:szCs w:val="8"/>
                <w:color w:val="auto"/>
                <w:w w:val="74"/>
              </w:rPr>
              <w:t>—</w:t>
            </w:r>
          </w:p>
        </w:tc>
        <w:tc>
          <w:tcPr>
            <w:tcW w:w="160" w:type="dxa"/>
            <w:vAlign w:val="bottom"/>
            <w:gridSpan w:val="2"/>
          </w:tcPr>
          <w:p>
            <w:pPr>
              <w:ind w:left="40"/>
              <w:spacing w:after="0"/>
              <w:rPr>
                <w:sz w:val="20"/>
                <w:szCs w:val="20"/>
                <w:color w:val="auto"/>
              </w:rPr>
            </w:pPr>
            <w:r>
              <w:rPr>
                <w:rFonts w:ascii="Arial" w:cs="Arial" w:eastAsia="Arial" w:hAnsi="Arial"/>
                <w:sz w:val="8"/>
                <w:szCs w:val="8"/>
                <w:color w:val="auto"/>
              </w:rPr>
              <w:t>​​​</w:t>
            </w:r>
          </w:p>
        </w:tc>
        <w:tc>
          <w:tcPr>
            <w:tcW w:w="220" w:type="dxa"/>
            <w:vAlign w:val="bottom"/>
          </w:tcPr>
          <w:p>
            <w:pPr>
              <w:ind w:left="14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8"/>
                <w:szCs w:val="8"/>
                <w:color w:val="auto"/>
                <w:w w:val="74"/>
              </w:rPr>
              <w:t>—</w:t>
            </w:r>
          </w:p>
        </w:tc>
        <w:tc>
          <w:tcPr>
            <w:tcW w:w="12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100" w:type="dxa"/>
            <w:vAlign w:val="bottom"/>
            <w:gridSpan w:val="3"/>
          </w:tcPr>
          <w:p>
            <w:pPr>
              <w:spacing w:after="0"/>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18"/>
              <w:spacing w:after="0"/>
              <w:rPr>
                <w:sz w:val="20"/>
                <w:szCs w:val="20"/>
                <w:color w:val="auto"/>
              </w:rPr>
            </w:pPr>
            <w:r>
              <w:rPr>
                <w:rFonts w:ascii="Arial" w:cs="Arial" w:eastAsia="Arial" w:hAnsi="Arial"/>
                <w:sz w:val="8"/>
                <w:szCs w:val="8"/>
                <w:color w:val="auto"/>
              </w:rPr>
              <w:t>29​​​</w:t>
            </w:r>
          </w:p>
        </w:tc>
        <w:tc>
          <w:tcPr>
            <w:tcW w:w="60" w:type="dxa"/>
            <w:vAlign w:val="bottom"/>
          </w:tcPr>
          <w:p>
            <w:pPr>
              <w:ind w:left="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9"/>
                <w:szCs w:val="9"/>
                <w:color w:val="auto"/>
              </w:rPr>
            </w:pPr>
          </w:p>
        </w:tc>
        <w:tc>
          <w:tcPr>
            <w:tcW w:w="120" w:type="dxa"/>
            <w:vAlign w:val="bottom"/>
            <w:gridSpan w:val="3"/>
          </w:tcPr>
          <w:p>
            <w:pPr>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8"/>
                <w:szCs w:val="8"/>
                <w:color w:val="auto"/>
              </w:rPr>
              <w:t>11</w:t>
            </w:r>
          </w:p>
        </w:tc>
        <w:tc>
          <w:tcPr>
            <w:tcW w:w="120" w:type="dxa"/>
            <w:vAlign w:val="bottom"/>
            <w:gridSpan w:val="3"/>
          </w:tcPr>
          <w:p>
            <w:pPr>
              <w:ind w:left="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20" w:type="dxa"/>
            <w:vAlign w:val="bottom"/>
            <w:gridSpan w:val="2"/>
          </w:tcPr>
          <w:p>
            <w:pPr>
              <w:jc w:val="right"/>
              <w:ind w:right="18"/>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380" w:type="dxa"/>
            <w:vAlign w:val="bottom"/>
            <w:gridSpan w:val="2"/>
          </w:tcPr>
          <w:p>
            <w:pPr>
              <w:jc w:val="right"/>
              <w:ind w:right="218"/>
              <w:spacing w:after="0"/>
              <w:rPr>
                <w:sz w:val="20"/>
                <w:szCs w:val="20"/>
                <w:color w:val="auto"/>
              </w:rPr>
            </w:pPr>
            <w:r>
              <w:rPr>
                <w:rFonts w:ascii="Arial" w:cs="Arial" w:eastAsia="Arial" w:hAnsi="Arial"/>
                <w:sz w:val="8"/>
                <w:szCs w:val="8"/>
                <w:color w:val="auto"/>
                <w:w w:val="97"/>
              </w:rPr>
              <w:t>​ —</w:t>
            </w:r>
          </w:p>
        </w:tc>
        <w:tc>
          <w:tcPr>
            <w:tcW w:w="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tcPr>
          <w:p>
            <w:pPr>
              <w:ind w:left="40"/>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0" w:type="dxa"/>
            <w:vAlign w:val="bottom"/>
            <w:gridSpan w:val="2"/>
          </w:tcPr>
          <w:p>
            <w:pPr>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80" w:type="dxa"/>
            <w:vAlign w:val="bottom"/>
          </w:tcPr>
          <w:p>
            <w:pPr>
              <w:jc w:val="center"/>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24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Share-based compensation expense</w:t>
            </w:r>
          </w:p>
        </w:tc>
        <w:tc>
          <w:tcPr>
            <w:tcW w:w="40" w:type="dxa"/>
            <w:vAlign w:val="bottom"/>
            <w:shd w:val="clear" w:color="auto" w:fill="CCEEFF"/>
          </w:tcPr>
          <w:p>
            <w:pPr>
              <w:spacing w:after="0"/>
              <w:rPr>
                <w:sz w:val="7"/>
                <w:szCs w:val="7"/>
                <w:color w:val="auto"/>
              </w:rPr>
            </w:pPr>
          </w:p>
        </w:tc>
        <w:tc>
          <w:tcPr>
            <w:tcW w:w="100" w:type="dxa"/>
            <w:vAlign w:val="bottom"/>
            <w:gridSpan w:val="4"/>
            <w:shd w:val="clear" w:color="auto" w:fill="CCEEFF"/>
          </w:tcPr>
          <w:p>
            <w:pPr>
              <w:spacing w:after="0" w:line="89"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260" w:type="dxa"/>
            <w:vAlign w:val="bottom"/>
            <w:gridSpan w:val="6"/>
            <w:shd w:val="clear" w:color="auto" w:fill="CCEEFF"/>
          </w:tcPr>
          <w:p>
            <w:pPr>
              <w:jc w:val="right"/>
              <w:spacing w:after="0" w:line="89"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13"/>
              <w:spacing w:after="0" w:line="89"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shd w:val="clear" w:color="auto" w:fill="CCEEFF"/>
          </w:tcPr>
          <w:p>
            <w:pPr>
              <w:jc w:val="right"/>
              <w:spacing w:after="0" w:line="89" w:lineRule="exact"/>
              <w:rPr>
                <w:sz w:val="20"/>
                <w:szCs w:val="20"/>
                <w:color w:val="auto"/>
              </w:rPr>
            </w:pPr>
            <w:r>
              <w:rPr>
                <w:rFonts w:ascii="Arial" w:cs="Arial" w:eastAsia="Arial" w:hAnsi="Arial"/>
                <w:sz w:val="8"/>
                <w:szCs w:val="8"/>
                <w:color w:val="auto"/>
              </w:rPr>
              <w:t>—​​​​ ​</w:t>
            </w:r>
          </w:p>
        </w:tc>
        <w:tc>
          <w:tcPr>
            <w:tcW w:w="160" w:type="dxa"/>
            <w:vAlign w:val="bottom"/>
            <w:shd w:val="clear" w:color="auto" w:fill="CCEEFF"/>
          </w:tcPr>
          <w:p>
            <w:pPr>
              <w:spacing w:after="0"/>
              <w:rPr>
                <w:sz w:val="7"/>
                <w:szCs w:val="7"/>
                <w:color w:val="auto"/>
              </w:rPr>
            </w:pPr>
          </w:p>
        </w:tc>
        <w:tc>
          <w:tcPr>
            <w:tcW w:w="280" w:type="dxa"/>
            <w:vAlign w:val="bottom"/>
            <w:tcBorders>
              <w:right w:val="single" w:sz="8" w:color="CCEEFF"/>
            </w:tcBorders>
            <w:gridSpan w:val="5"/>
            <w:shd w:val="clear" w:color="auto" w:fill="CCEEFF"/>
          </w:tcPr>
          <w:p>
            <w:pPr>
              <w:jc w:val="right"/>
              <w:ind w:right="77"/>
              <w:spacing w:after="0" w:line="89"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180" w:type="dxa"/>
            <w:vAlign w:val="bottom"/>
            <w:tcBorders>
              <w:right w:val="single" w:sz="8" w:color="CCEEFF"/>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60" w:type="dxa"/>
            <w:vAlign w:val="bottom"/>
            <w:tcBorders>
              <w:left w:val="single" w:sz="8" w:color="CCEEFF"/>
            </w:tcBorders>
            <w:gridSpan w:val="3"/>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00" w:type="dxa"/>
            <w:vAlign w:val="bottom"/>
            <w:tcBorders>
              <w:left w:val="single" w:sz="8" w:color="CCEEFF"/>
            </w:tcBorders>
            <w:shd w:val="clear" w:color="auto" w:fill="CCEEFF"/>
          </w:tcPr>
          <w:p>
            <w:pPr>
              <w:ind w:left="2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line="89" w:lineRule="exact"/>
              <w:rPr>
                <w:sz w:val="20"/>
                <w:szCs w:val="20"/>
                <w:color w:val="auto"/>
              </w:rPr>
            </w:pPr>
            <w:r>
              <w:rPr>
                <w:rFonts w:ascii="Arial" w:cs="Arial" w:eastAsia="Arial" w:hAnsi="Arial"/>
                <w:sz w:val="8"/>
                <w:szCs w:val="8"/>
                <w:color w:val="auto"/>
                <w:w w:val="74"/>
              </w:rPr>
              <w:t>—</w:t>
            </w:r>
          </w:p>
        </w:tc>
        <w:tc>
          <w:tcPr>
            <w:tcW w:w="160" w:type="dxa"/>
            <w:vAlign w:val="bottom"/>
            <w:tcBorders>
              <w:left w:val="single" w:sz="8" w:color="CCEEFF"/>
            </w:tcBorders>
            <w:gridSpan w:val="2"/>
            <w:shd w:val="clear" w:color="auto" w:fill="CCEEFF"/>
          </w:tcPr>
          <w:p>
            <w:pPr>
              <w:ind w:left="40"/>
              <w:spacing w:after="0" w:line="89" w:lineRule="exact"/>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ind w:left="14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74"/>
              </w:rPr>
              <w:t>—</w:t>
            </w:r>
          </w:p>
        </w:tc>
        <w:tc>
          <w:tcPr>
            <w:tcW w:w="120" w:type="dxa"/>
            <w:vAlign w:val="bottom"/>
            <w:gridSpan w:val="2"/>
            <w:shd w:val="clear" w:color="auto" w:fill="CCEEFF"/>
          </w:tcPr>
          <w:p>
            <w:pPr>
              <w:ind w:left="60"/>
              <w:spacing w:after="0" w:line="89" w:lineRule="exact"/>
              <w:rPr>
                <w:sz w:val="20"/>
                <w:szCs w:val="20"/>
                <w:color w:val="auto"/>
              </w:rPr>
            </w:pPr>
            <w:r>
              <w:rPr>
                <w:rFonts w:ascii="Arial" w:cs="Arial" w:eastAsia="Arial" w:hAnsi="Arial"/>
                <w:sz w:val="8"/>
                <w:szCs w:val="8"/>
                <w:color w:val="auto"/>
              </w:rPr>
              <w:t>​</w:t>
            </w:r>
          </w:p>
        </w:tc>
        <w:tc>
          <w:tcPr>
            <w:tcW w:w="100" w:type="dxa"/>
            <w:vAlign w:val="bottom"/>
            <w:gridSpan w:val="3"/>
            <w:shd w:val="clear" w:color="auto" w:fill="CCEEFF"/>
          </w:tcPr>
          <w:p>
            <w:pPr>
              <w:spacing w:after="0" w:line="89"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tcBorders>
              <w:right w:val="single" w:sz="8" w:color="CCEEFF"/>
            </w:tcBorders>
            <w:gridSpan w:val="3"/>
            <w:shd w:val="clear" w:color="auto" w:fill="CCEEFF"/>
          </w:tcPr>
          <w:p>
            <w:pPr>
              <w:jc w:val="right"/>
              <w:ind w:right="18"/>
              <w:spacing w:after="0" w:line="89" w:lineRule="exact"/>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CCEEFF"/>
          </w:tcPr>
          <w:p>
            <w:pPr>
              <w:ind w:left="2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0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gridSpan w:val="3"/>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line="89" w:lineRule="exact"/>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550</w:t>
            </w:r>
          </w:p>
        </w:tc>
        <w:tc>
          <w:tcPr>
            <w:tcW w:w="120" w:type="dxa"/>
            <w:vAlign w:val="bottom"/>
            <w:gridSpan w:val="3"/>
            <w:shd w:val="clear" w:color="auto" w:fill="CCEEFF"/>
          </w:tcPr>
          <w:p>
            <w:pPr>
              <w:ind w:left="20"/>
              <w:spacing w:after="0" w:line="89" w:lineRule="exact"/>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spacing w:after="0"/>
              <w:rPr>
                <w:sz w:val="7"/>
                <w:szCs w:val="7"/>
                <w:color w:val="auto"/>
              </w:rPr>
            </w:pPr>
          </w:p>
        </w:tc>
        <w:tc>
          <w:tcPr>
            <w:tcW w:w="120" w:type="dxa"/>
            <w:vAlign w:val="bottom"/>
            <w:gridSpan w:val="2"/>
            <w:shd w:val="clear" w:color="auto" w:fill="CCEEFF"/>
          </w:tcPr>
          <w:p>
            <w:pPr>
              <w:jc w:val="right"/>
              <w:ind w:right="18"/>
              <w:spacing w:after="0" w:line="89"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218"/>
              <w:spacing w:after="0" w:line="89" w:lineRule="exact"/>
              <w:rPr>
                <w:sz w:val="20"/>
                <w:szCs w:val="20"/>
                <w:color w:val="auto"/>
              </w:rPr>
            </w:pPr>
            <w:r>
              <w:rPr>
                <w:rFonts w:ascii="Arial" w:cs="Arial" w:eastAsia="Arial" w:hAnsi="Arial"/>
                <w:sz w:val="8"/>
                <w:szCs w:val="8"/>
                <w:color w:val="auto"/>
                <w:w w:val="97"/>
              </w:rPr>
              <w:t>​ —</w:t>
            </w:r>
          </w:p>
        </w:tc>
        <w:tc>
          <w:tcPr>
            <w:tcW w:w="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20" w:type="dxa"/>
            <w:vAlign w:val="bottom"/>
            <w:tcBorders>
              <w:left w:val="single" w:sz="8" w:color="CCEEFF"/>
              <w:right w:val="single" w:sz="8" w:color="CCEEFF"/>
            </w:tcBorders>
            <w:shd w:val="clear" w:color="auto" w:fill="CCEEFF"/>
          </w:tcPr>
          <w:p>
            <w:pPr>
              <w:ind w:left="40"/>
              <w:spacing w:after="0" w:line="89" w:lineRule="exact"/>
              <w:rPr>
                <w:sz w:val="20"/>
                <w:szCs w:val="20"/>
                <w:color w:val="auto"/>
              </w:rPr>
            </w:pPr>
            <w:r>
              <w:rPr>
                <w:rFonts w:ascii="Arial" w:cs="Arial" w:eastAsia="Arial" w:hAnsi="Arial"/>
                <w:sz w:val="8"/>
                <w:szCs w:val="8"/>
                <w:color w:val="auto"/>
              </w:rPr>
              <w:t>​​</w:t>
            </w:r>
          </w:p>
        </w:tc>
        <w:tc>
          <w:tcPr>
            <w:tcW w:w="6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CCEEFF"/>
          </w:tcPr>
          <w:p>
            <w:pPr>
              <w:ind w:left="40"/>
              <w:spacing w:after="0" w:line="89" w:lineRule="exact"/>
              <w:rPr>
                <w:sz w:val="20"/>
                <w:szCs w:val="20"/>
                <w:color w:val="auto"/>
              </w:rPr>
            </w:pPr>
            <w:r>
              <w:rPr>
                <w:rFonts w:ascii="Arial" w:cs="Arial" w:eastAsia="Arial" w:hAnsi="Arial"/>
                <w:sz w:val="8"/>
                <w:szCs w:val="8"/>
                <w:color w:val="auto"/>
              </w:rPr>
              <w:t>​</w:t>
            </w:r>
          </w:p>
        </w:tc>
        <w:tc>
          <w:tcPr>
            <w:tcW w:w="360" w:type="dxa"/>
            <w:vAlign w:val="bottom"/>
            <w:tcBorders>
              <w:right w:val="single" w:sz="8" w:color="CCEEFF"/>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jc w:val="center"/>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7"/>
        </w:trPr>
        <w:tc>
          <w:tcPr>
            <w:tcW w:w="2440" w:type="dxa"/>
            <w:vAlign w:val="bottom"/>
          </w:tcPr>
          <w:p>
            <w:pPr>
              <w:spacing w:after="0" w:line="88" w:lineRule="exact"/>
              <w:rPr>
                <w:sz w:val="20"/>
                <w:szCs w:val="20"/>
                <w:color w:val="auto"/>
              </w:rPr>
            </w:pPr>
            <w:r>
              <w:rPr>
                <w:rFonts w:ascii="Arial" w:cs="Arial" w:eastAsia="Arial" w:hAnsi="Arial"/>
                <w:sz w:val="8"/>
                <w:szCs w:val="8"/>
                <w:color w:val="auto"/>
              </w:rPr>
              <w:t>Unrealized gain on investments, net</w:t>
            </w:r>
          </w:p>
        </w:tc>
        <w:tc>
          <w:tcPr>
            <w:tcW w:w="40" w:type="dxa"/>
            <w:vAlign w:val="bottom"/>
          </w:tcPr>
          <w:p>
            <w:pPr>
              <w:spacing w:after="0"/>
              <w:rPr>
                <w:sz w:val="7"/>
                <w:szCs w:val="7"/>
                <w:color w:val="auto"/>
              </w:rPr>
            </w:pPr>
          </w:p>
        </w:tc>
        <w:tc>
          <w:tcPr>
            <w:tcW w:w="100" w:type="dxa"/>
            <w:vAlign w:val="bottom"/>
            <w:gridSpan w:val="4"/>
          </w:tcPr>
          <w:p>
            <w:pPr>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380" w:type="dxa"/>
            <w:vAlign w:val="bottom"/>
            <w:gridSpan w:val="4"/>
          </w:tcPr>
          <w:p>
            <w:pPr>
              <w:jc w:val="right"/>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260" w:type="dxa"/>
            <w:vAlign w:val="bottom"/>
            <w:gridSpan w:val="6"/>
          </w:tcPr>
          <w:p>
            <w:pPr>
              <w:jc w:val="right"/>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00" w:type="dxa"/>
            <w:vAlign w:val="bottom"/>
            <w:gridSpan w:val="4"/>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tcPr>
          <w:p>
            <w:pPr>
              <w:ind w:left="20"/>
              <w:spacing w:after="0" w:line="88" w:lineRule="exact"/>
              <w:rPr>
                <w:sz w:val="20"/>
                <w:szCs w:val="20"/>
                <w:color w:val="auto"/>
              </w:rPr>
            </w:pPr>
            <w:r>
              <w:rPr>
                <w:rFonts w:ascii="Arial" w:cs="Arial" w:eastAsia="Arial" w:hAnsi="Arial"/>
                <w:sz w:val="8"/>
                <w:szCs w:val="8"/>
                <w:color w:val="auto"/>
              </w:rPr>
              <w:t>​</w:t>
            </w:r>
          </w:p>
        </w:tc>
        <w:tc>
          <w:tcPr>
            <w:tcW w:w="240" w:type="dxa"/>
            <w:vAlign w:val="bottom"/>
            <w:gridSpan w:val="6"/>
          </w:tcPr>
          <w:p>
            <w:pPr>
              <w:jc w:val="right"/>
              <w:ind w:right="13"/>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40" w:type="dxa"/>
            <w:vAlign w:val="bottom"/>
            <w:gridSpan w:val="5"/>
          </w:tcPr>
          <w:p>
            <w:pPr>
              <w:jc w:val="right"/>
              <w:spacing w:after="0" w:line="88" w:lineRule="exact"/>
              <w:rPr>
                <w:sz w:val="20"/>
                <w:szCs w:val="20"/>
                <w:color w:val="auto"/>
              </w:rPr>
            </w:pPr>
            <w:r>
              <w:rPr>
                <w:rFonts w:ascii="Arial" w:cs="Arial" w:eastAsia="Arial" w:hAnsi="Arial"/>
                <w:sz w:val="8"/>
                <w:szCs w:val="8"/>
                <w:color w:val="auto"/>
              </w:rPr>
              <w:t>—​​​​ ​</w:t>
            </w:r>
          </w:p>
        </w:tc>
        <w:tc>
          <w:tcPr>
            <w:tcW w:w="160" w:type="dxa"/>
            <w:vAlign w:val="bottom"/>
          </w:tcPr>
          <w:p>
            <w:pPr>
              <w:spacing w:after="0"/>
              <w:rPr>
                <w:sz w:val="7"/>
                <w:szCs w:val="7"/>
                <w:color w:val="auto"/>
              </w:rPr>
            </w:pPr>
          </w:p>
        </w:tc>
        <w:tc>
          <w:tcPr>
            <w:tcW w:w="280" w:type="dxa"/>
            <w:vAlign w:val="bottom"/>
            <w:gridSpan w:val="5"/>
          </w:tcPr>
          <w:p>
            <w:pPr>
              <w:jc w:val="right"/>
              <w:ind w:right="77"/>
              <w:spacing w:after="0" w:line="88"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1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160" w:type="dxa"/>
            <w:vAlign w:val="bottom"/>
            <w:gridSpan w:val="3"/>
          </w:tcPr>
          <w:p>
            <w:pPr>
              <w:jc w:val="right"/>
              <w:spacing w:after="0" w:line="88" w:lineRule="exact"/>
              <w:rPr>
                <w:sz w:val="20"/>
                <w:szCs w:val="20"/>
                <w:color w:val="auto"/>
              </w:rPr>
            </w:pPr>
            <w:r>
              <w:rPr>
                <w:rFonts w:ascii="Arial" w:cs="Arial" w:eastAsia="Arial" w:hAnsi="Arial"/>
                <w:sz w:val="8"/>
                <w:szCs w:val="8"/>
                <w:color w:val="auto"/>
              </w:rPr>
              <w:t>​​​</w:t>
            </w:r>
          </w:p>
        </w:tc>
        <w:tc>
          <w:tcPr>
            <w:tcW w:w="100" w:type="dxa"/>
            <w:vAlign w:val="bottom"/>
          </w:tcPr>
          <w:p>
            <w:pPr>
              <w:ind w:left="2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jc w:val="right"/>
              <w:spacing w:after="0" w:line="88" w:lineRule="exact"/>
              <w:rPr>
                <w:sz w:val="20"/>
                <w:szCs w:val="20"/>
                <w:color w:val="auto"/>
              </w:rPr>
            </w:pPr>
            <w:r>
              <w:rPr>
                <w:rFonts w:ascii="Arial" w:cs="Arial" w:eastAsia="Arial" w:hAnsi="Arial"/>
                <w:sz w:val="8"/>
                <w:szCs w:val="8"/>
                <w:color w:val="auto"/>
                <w:w w:val="74"/>
              </w:rPr>
              <w:t>—</w:t>
            </w:r>
          </w:p>
        </w:tc>
        <w:tc>
          <w:tcPr>
            <w:tcW w:w="160" w:type="dxa"/>
            <w:vAlign w:val="bottom"/>
            <w:gridSpan w:val="2"/>
          </w:tcPr>
          <w:p>
            <w:pPr>
              <w:ind w:left="40"/>
              <w:spacing w:after="0" w:line="88" w:lineRule="exact"/>
              <w:rPr>
                <w:sz w:val="20"/>
                <w:szCs w:val="20"/>
                <w:color w:val="auto"/>
              </w:rPr>
            </w:pPr>
            <w:r>
              <w:rPr>
                <w:rFonts w:ascii="Arial" w:cs="Arial" w:eastAsia="Arial" w:hAnsi="Arial"/>
                <w:sz w:val="8"/>
                <w:szCs w:val="8"/>
                <w:color w:val="auto"/>
              </w:rPr>
              <w:t>​​​</w:t>
            </w:r>
          </w:p>
        </w:tc>
        <w:tc>
          <w:tcPr>
            <w:tcW w:w="220" w:type="dxa"/>
            <w:vAlign w:val="bottom"/>
          </w:tcPr>
          <w:p>
            <w:pPr>
              <w:ind w:left="1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w w:val="74"/>
              </w:rPr>
              <w:t>—</w:t>
            </w:r>
          </w:p>
        </w:tc>
        <w:tc>
          <w:tcPr>
            <w:tcW w:w="12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100" w:type="dxa"/>
            <w:vAlign w:val="bottom"/>
            <w:gridSpan w:val="3"/>
          </w:tcPr>
          <w:p>
            <w:pPr>
              <w:spacing w:after="0" w:line="88" w:lineRule="exact"/>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w:t>
            </w:r>
          </w:p>
        </w:tc>
        <w:tc>
          <w:tcPr>
            <w:tcW w:w="420" w:type="dxa"/>
            <w:vAlign w:val="bottom"/>
            <w:gridSpan w:val="3"/>
          </w:tcPr>
          <w:p>
            <w:pPr>
              <w:jc w:val="right"/>
              <w:ind w:right="18"/>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ind w:left="20"/>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100" w:type="dxa"/>
            <w:vAlign w:val="bottom"/>
            <w:gridSpan w:val="2"/>
          </w:tcPr>
          <w:p>
            <w:pPr>
              <w:jc w:val="right"/>
              <w:spacing w:after="0" w:line="88" w:lineRule="exact"/>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7"/>
                <w:szCs w:val="7"/>
                <w:color w:val="auto"/>
              </w:rPr>
            </w:pPr>
          </w:p>
        </w:tc>
        <w:tc>
          <w:tcPr>
            <w:tcW w:w="120" w:type="dxa"/>
            <w:vAlign w:val="bottom"/>
            <w:gridSpan w:val="3"/>
          </w:tcPr>
          <w:p>
            <w:pPr>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ind w:left="40"/>
              <w:spacing w:after="0" w:line="88" w:lineRule="exact"/>
              <w:rPr>
                <w:sz w:val="20"/>
                <w:szCs w:val="20"/>
                <w:color w:val="auto"/>
              </w:rPr>
            </w:pPr>
            <w:r>
              <w:rPr>
                <w:rFonts w:ascii="Arial" w:cs="Arial" w:eastAsia="Arial" w:hAnsi="Arial"/>
                <w:sz w:val="8"/>
                <w:szCs w:val="8"/>
                <w:color w:val="auto"/>
              </w:rPr>
              <w:t>​</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w:t>
            </w:r>
          </w:p>
        </w:tc>
        <w:tc>
          <w:tcPr>
            <w:tcW w:w="120" w:type="dxa"/>
            <w:vAlign w:val="bottom"/>
            <w:gridSpan w:val="3"/>
          </w:tcPr>
          <w:p>
            <w:pPr>
              <w:ind w:left="20"/>
              <w:spacing w:after="0" w:line="88"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120" w:type="dxa"/>
            <w:vAlign w:val="bottom"/>
            <w:gridSpan w:val="2"/>
          </w:tcPr>
          <w:p>
            <w:pPr>
              <w:jc w:val="right"/>
              <w:ind w:right="18"/>
              <w:spacing w:after="0" w:line="88"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c>
          <w:tcPr>
            <w:tcW w:w="380" w:type="dxa"/>
            <w:vAlign w:val="bottom"/>
            <w:gridSpan w:val="2"/>
          </w:tcPr>
          <w:p>
            <w:pPr>
              <w:jc w:val="right"/>
              <w:ind w:right="218"/>
              <w:spacing w:after="0" w:line="88" w:lineRule="exact"/>
              <w:rPr>
                <w:sz w:val="20"/>
                <w:szCs w:val="20"/>
                <w:color w:val="auto"/>
              </w:rPr>
            </w:pPr>
            <w:r>
              <w:rPr>
                <w:rFonts w:ascii="Arial" w:cs="Arial" w:eastAsia="Arial" w:hAnsi="Arial"/>
                <w:sz w:val="8"/>
                <w:szCs w:val="8"/>
                <w:color w:val="auto"/>
              </w:rPr>
              <w:t>​ 1</w:t>
            </w:r>
          </w:p>
        </w:tc>
        <w:tc>
          <w:tcPr>
            <w:tcW w:w="4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ind w:left="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4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tcPr>
          <w:p>
            <w:pPr>
              <w:ind w:left="40"/>
              <w:spacing w:after="0" w:line="88" w:lineRule="exact"/>
              <w:rPr>
                <w:sz w:val="20"/>
                <w:szCs w:val="20"/>
                <w:color w:val="auto"/>
              </w:rPr>
            </w:pPr>
            <w:r>
              <w:rPr>
                <w:rFonts w:ascii="Arial" w:cs="Arial" w:eastAsia="Arial" w:hAnsi="Arial"/>
                <w:sz w:val="8"/>
                <w:szCs w:val="8"/>
                <w:color w:val="auto"/>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0" w:type="dxa"/>
            <w:vAlign w:val="bottom"/>
            <w:gridSpan w:val="2"/>
          </w:tcPr>
          <w:p>
            <w:pPr>
              <w:spacing w:after="0" w:line="88"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7"/>
                <w:szCs w:val="7"/>
                <w:color w:val="auto"/>
              </w:rPr>
            </w:pPr>
          </w:p>
        </w:tc>
        <w:tc>
          <w:tcPr>
            <w:tcW w:w="80" w:type="dxa"/>
            <w:vAlign w:val="bottom"/>
          </w:tcPr>
          <w:p>
            <w:pPr>
              <w:jc w:val="center"/>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7"/>
        </w:trPr>
        <w:tc>
          <w:tcPr>
            <w:tcW w:w="2440" w:type="dxa"/>
            <w:vAlign w:val="bottom"/>
            <w:shd w:val="clear" w:color="auto" w:fill="CCEEFF"/>
          </w:tcPr>
          <w:p>
            <w:pPr>
              <w:spacing w:after="0"/>
              <w:rPr>
                <w:sz w:val="20"/>
                <w:szCs w:val="20"/>
                <w:color w:val="auto"/>
              </w:rPr>
            </w:pPr>
            <w:r>
              <w:rPr>
                <w:rFonts w:ascii="Arial" w:cs="Arial" w:eastAsia="Arial" w:hAnsi="Arial"/>
                <w:sz w:val="8"/>
                <w:szCs w:val="8"/>
                <w:color w:val="auto"/>
              </w:rPr>
              <w:t>Net loss</w:t>
            </w:r>
          </w:p>
        </w:tc>
        <w:tc>
          <w:tcPr>
            <w:tcW w:w="40" w:type="dxa"/>
            <w:vAlign w:val="bottom"/>
            <w:shd w:val="clear" w:color="auto" w:fill="CCEEFF"/>
          </w:tcPr>
          <w:p>
            <w:pPr>
              <w:spacing w:after="0"/>
              <w:rPr>
                <w:sz w:val="8"/>
                <w:szCs w:val="8"/>
                <w:color w:val="auto"/>
              </w:rPr>
            </w:pPr>
          </w:p>
        </w:tc>
        <w:tc>
          <w:tcPr>
            <w:tcW w:w="100" w:type="dxa"/>
            <w:vAlign w:val="bottom"/>
            <w:gridSpan w:val="4"/>
            <w:shd w:val="clear" w:color="auto" w:fill="CCEEFF"/>
          </w:tcPr>
          <w:p>
            <w:pPr>
              <w:spacing w:after="0"/>
              <w:rPr>
                <w:sz w:val="20"/>
                <w:szCs w:val="20"/>
                <w:color w:val="auto"/>
              </w:rPr>
            </w:pPr>
            <w:r>
              <w:rPr>
                <w:rFonts w:ascii="Arial" w:cs="Arial" w:eastAsia="Arial" w:hAnsi="Arial"/>
                <w:sz w:val="8"/>
                <w:szCs w:val="8"/>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260" w:type="dxa"/>
            <w:vAlign w:val="bottom"/>
            <w:gridSpan w:val="6"/>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240" w:type="dxa"/>
            <w:vAlign w:val="bottom"/>
            <w:gridSpan w:val="6"/>
            <w:shd w:val="clear" w:color="auto" w:fill="CCEEFF"/>
          </w:tcPr>
          <w:p>
            <w:pPr>
              <w:jc w:val="right"/>
              <w:ind w:right="13"/>
              <w:spacing w:after="0"/>
              <w:rPr>
                <w:sz w:val="20"/>
                <w:szCs w:val="20"/>
                <w:color w:val="auto"/>
              </w:rPr>
            </w:pPr>
            <w:r>
              <w:rPr>
                <w:rFonts w:ascii="Arial" w:cs="Arial" w:eastAsia="Arial" w:hAnsi="Arial"/>
                <w:sz w:val="8"/>
                <w:szCs w:val="8"/>
                <w:color w:val="auto"/>
              </w:rPr>
              <w:t>—​​​​</w:t>
            </w:r>
          </w:p>
        </w:tc>
        <w:tc>
          <w:tcPr>
            <w:tcW w:w="440" w:type="dxa"/>
            <w:vAlign w:val="bottom"/>
            <w:gridSpan w:val="5"/>
            <w:shd w:val="clear" w:color="auto" w:fill="CCEEFF"/>
          </w:tcPr>
          <w:p>
            <w:pPr>
              <w:jc w:val="right"/>
              <w:spacing w:after="0"/>
              <w:rPr>
                <w:sz w:val="20"/>
                <w:szCs w:val="20"/>
                <w:color w:val="auto"/>
              </w:rPr>
            </w:pPr>
            <w:r>
              <w:rPr>
                <w:rFonts w:ascii="Arial" w:cs="Arial" w:eastAsia="Arial" w:hAnsi="Arial"/>
                <w:sz w:val="8"/>
                <w:szCs w:val="8"/>
                <w:color w:val="auto"/>
              </w:rPr>
              <w:t>—​​​​ ​</w:t>
            </w:r>
          </w:p>
        </w:tc>
        <w:tc>
          <w:tcPr>
            <w:tcW w:w="160" w:type="dxa"/>
            <w:vAlign w:val="bottom"/>
            <w:shd w:val="clear" w:color="auto" w:fill="CCEEFF"/>
          </w:tcPr>
          <w:p>
            <w:pPr>
              <w:spacing w:after="0"/>
              <w:rPr>
                <w:sz w:val="8"/>
                <w:szCs w:val="8"/>
                <w:color w:val="auto"/>
              </w:rPr>
            </w:pPr>
          </w:p>
        </w:tc>
        <w:tc>
          <w:tcPr>
            <w:tcW w:w="280" w:type="dxa"/>
            <w:vAlign w:val="bottom"/>
            <w:tcBorders>
              <w:right w:val="single" w:sz="8" w:color="CCEEFF"/>
            </w:tcBorders>
            <w:gridSpan w:val="5"/>
            <w:shd w:val="clear" w:color="auto" w:fill="CCEEFF"/>
          </w:tcPr>
          <w:p>
            <w:pPr>
              <w:jc w:val="right"/>
              <w:ind w:right="77"/>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4"/>
              </w:rPr>
              <w:t>—</w:t>
            </w:r>
          </w:p>
        </w:tc>
        <w:tc>
          <w:tcPr>
            <w:tcW w:w="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8"/>
                <w:szCs w:val="8"/>
                <w:color w:val="auto"/>
              </w:rPr>
              <w:t>​​​</w:t>
            </w:r>
          </w:p>
        </w:tc>
        <w:tc>
          <w:tcPr>
            <w:tcW w:w="2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w w:val="74"/>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8"/>
                <w:szCs w:val="8"/>
                <w:color w:val="auto"/>
              </w:rPr>
              <w:t>​</w:t>
            </w:r>
          </w:p>
        </w:tc>
        <w:tc>
          <w:tcPr>
            <w:tcW w:w="100" w:type="dxa"/>
            <w:vAlign w:val="bottom"/>
            <w:gridSpan w:val="3"/>
            <w:shd w:val="clear" w:color="auto" w:fill="CCEEFF"/>
          </w:tcPr>
          <w:p>
            <w:pPr>
              <w:spacing w:after="0"/>
              <w:rPr>
                <w:sz w:val="20"/>
                <w:szCs w:val="20"/>
                <w:color w:val="auto"/>
              </w:rPr>
            </w:pPr>
            <w:r>
              <w:rPr>
                <w:rFonts w:ascii="Arial" w:cs="Arial" w:eastAsia="Arial" w:hAnsi="Arial"/>
                <w:sz w:val="8"/>
                <w:szCs w:val="8"/>
                <w:color w:val="auto"/>
              </w:rPr>
              <w:t>​​​</w:t>
            </w:r>
          </w:p>
        </w:tc>
        <w:tc>
          <w:tcPr>
            <w:tcW w:w="42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CEEFF"/>
          </w:tcPr>
          <w:p>
            <w:pPr>
              <w:spacing w:after="0"/>
              <w:rPr>
                <w:sz w:val="8"/>
                <w:szCs w:val="8"/>
                <w:color w:val="auto"/>
              </w:rPr>
            </w:pPr>
          </w:p>
        </w:tc>
        <w:tc>
          <w:tcPr>
            <w:tcW w:w="1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rPr>
              <w:t>—</w:t>
            </w: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8"/>
                <w:szCs w:val="8"/>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18"/>
              <w:spacing w:after="0"/>
              <w:rPr>
                <w:sz w:val="20"/>
                <w:szCs w:val="20"/>
                <w:color w:val="auto"/>
              </w:rPr>
            </w:pPr>
            <w:r>
              <w:rPr>
                <w:rFonts w:ascii="Arial" w:cs="Arial" w:eastAsia="Arial" w:hAnsi="Arial"/>
                <w:sz w:val="8"/>
                <w:szCs w:val="8"/>
                <w:color w:val="auto"/>
                <w:w w:val="97"/>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8"/>
                <w:szCs w:val="8"/>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(24,693)</w:t>
            </w: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CCEEFF"/>
          </w:tcPr>
          <w:p>
            <w:pPr>
              <w:spacing w:after="0" w:line="20" w:lineRule="exact"/>
              <w:rPr>
                <w:sz w:val="1"/>
                <w:szCs w:val="1"/>
                <w:color w:val="auto"/>
              </w:rPr>
            </w:pPr>
          </w:p>
        </w:tc>
        <w:tc>
          <w:tcPr>
            <w:tcW w:w="60" w:type="dxa"/>
            <w:vAlign w:val="bottom"/>
            <w:gridSpan w:val="3"/>
            <w:vMerge w:val="restart"/>
          </w:tcPr>
          <w:p>
            <w:pPr>
              <w:spacing w:after="0" w:line="87" w:lineRule="exact"/>
              <w:rPr>
                <w:sz w:val="20"/>
                <w:szCs w:val="20"/>
                <w:color w:val="auto"/>
              </w:rPr>
            </w:pPr>
            <w:r>
              <w:rPr>
                <w:rFonts w:ascii="Arial" w:cs="Arial" w:eastAsia="Arial" w:hAnsi="Arial"/>
                <w:sz w:val="8"/>
                <w:szCs w:val="8"/>
                <w:color w:val="auto"/>
              </w:rPr>
              <w:t>​​</w:t>
            </w:r>
          </w:p>
        </w:tc>
        <w:tc>
          <w:tcPr>
            <w:tcW w:w="340" w:type="dxa"/>
            <w:vAlign w:val="bottom"/>
            <w:gridSpan w:val="3"/>
            <w:shd w:val="clear" w:color="auto" w:fill="000000"/>
          </w:tcPr>
          <w:p>
            <w:pPr>
              <w:spacing w:after="0" w:line="20" w:lineRule="exact"/>
              <w:rPr>
                <w:sz w:val="1"/>
                <w:szCs w:val="1"/>
                <w:color w:val="auto"/>
              </w:rPr>
            </w:pPr>
          </w:p>
        </w:tc>
        <w:tc>
          <w:tcPr>
            <w:tcW w:w="80" w:type="dxa"/>
            <w:vAlign w:val="bottom"/>
            <w:gridSpan w:val="2"/>
            <w:vMerge w:val="restart"/>
          </w:tcPr>
          <w:p>
            <w:pPr>
              <w:jc w:val="center"/>
              <w:spacing w:after="0" w:line="87" w:lineRule="exact"/>
              <w:rPr>
                <w:sz w:val="20"/>
                <w:szCs w:val="20"/>
                <w:color w:val="auto"/>
              </w:rPr>
            </w:pPr>
            <w:r>
              <w:rPr>
                <w:rFonts w:ascii="Arial" w:cs="Arial" w:eastAsia="Arial" w:hAnsi="Arial"/>
                <w:sz w:val="8"/>
                <w:szCs w:val="8"/>
                <w:color w:val="auto"/>
              </w:rPr>
              <w:t>​​​</w:t>
            </w:r>
          </w:p>
        </w:tc>
        <w:tc>
          <w:tcPr>
            <w:tcW w:w="360" w:type="dxa"/>
            <w:vAlign w:val="bottom"/>
            <w:gridSpan w:val="4"/>
            <w:shd w:val="clear" w:color="auto" w:fill="000000"/>
          </w:tcPr>
          <w:p>
            <w:pPr>
              <w:spacing w:after="0" w:line="20" w:lineRule="exact"/>
              <w:rPr>
                <w:sz w:val="1"/>
                <w:szCs w:val="1"/>
                <w:color w:val="auto"/>
              </w:rPr>
            </w:pPr>
          </w:p>
        </w:tc>
        <w:tc>
          <w:tcPr>
            <w:tcW w:w="80" w:type="dxa"/>
            <w:vAlign w:val="bottom"/>
            <w:gridSpan w:val="3"/>
            <w:vMerge w:val="restart"/>
          </w:tcPr>
          <w:p>
            <w:pPr>
              <w:jc w:val="right"/>
              <w:ind w:right="16"/>
              <w:spacing w:after="0" w:line="87" w:lineRule="exact"/>
              <w:rPr>
                <w:sz w:val="20"/>
                <w:szCs w:val="20"/>
                <w:color w:val="auto"/>
              </w:rPr>
            </w:pPr>
            <w:r>
              <w:rPr>
                <w:rFonts w:ascii="Arial" w:cs="Arial" w:eastAsia="Arial" w:hAnsi="Arial"/>
                <w:sz w:val="8"/>
                <w:szCs w:val="8"/>
                <w:color w:val="auto"/>
              </w:rPr>
              <w:t>​​​</w:t>
            </w:r>
          </w:p>
        </w:tc>
        <w:tc>
          <w:tcPr>
            <w:tcW w:w="340" w:type="dxa"/>
            <w:vAlign w:val="bottom"/>
            <w:gridSpan w:val="3"/>
            <w:shd w:val="clear" w:color="auto" w:fill="000000"/>
          </w:tcPr>
          <w:p>
            <w:pPr>
              <w:spacing w:after="0" w:line="20" w:lineRule="exact"/>
              <w:rPr>
                <w:sz w:val="1"/>
                <w:szCs w:val="1"/>
                <w:color w:val="auto"/>
              </w:rPr>
            </w:pPr>
          </w:p>
        </w:tc>
        <w:tc>
          <w:tcPr>
            <w:tcW w:w="80" w:type="dxa"/>
            <w:vAlign w:val="bottom"/>
            <w:gridSpan w:val="2"/>
            <w:vMerge w:val="restart"/>
          </w:tcPr>
          <w:p>
            <w:pPr>
              <w:jc w:val="right"/>
              <w:ind w:right="5"/>
              <w:spacing w:after="0" w:line="87" w:lineRule="exact"/>
              <w:rPr>
                <w:sz w:val="20"/>
                <w:szCs w:val="20"/>
                <w:color w:val="auto"/>
              </w:rPr>
            </w:pPr>
            <w:r>
              <w:rPr>
                <w:rFonts w:ascii="Arial" w:cs="Arial" w:eastAsia="Arial" w:hAnsi="Arial"/>
                <w:sz w:val="8"/>
                <w:szCs w:val="8"/>
                <w:color w:val="auto"/>
              </w:rPr>
              <w:t>​​​</w:t>
            </w:r>
          </w:p>
        </w:tc>
        <w:tc>
          <w:tcPr>
            <w:tcW w:w="360" w:type="dxa"/>
            <w:vAlign w:val="bottom"/>
            <w:gridSpan w:val="3"/>
            <w:shd w:val="clear" w:color="auto" w:fill="000000"/>
          </w:tcPr>
          <w:p>
            <w:pPr>
              <w:spacing w:after="0" w:line="20" w:lineRule="exact"/>
              <w:rPr>
                <w:sz w:val="1"/>
                <w:szCs w:val="1"/>
                <w:color w:val="auto"/>
              </w:rPr>
            </w:pPr>
          </w:p>
        </w:tc>
        <w:tc>
          <w:tcPr>
            <w:tcW w:w="80" w:type="dxa"/>
            <w:vAlign w:val="bottom"/>
            <w:gridSpan w:val="3"/>
            <w:vMerge w:val="restart"/>
          </w:tcPr>
          <w:p>
            <w:pPr>
              <w:jc w:val="right"/>
              <w:spacing w:after="0" w:line="87" w:lineRule="exact"/>
              <w:rPr>
                <w:sz w:val="20"/>
                <w:szCs w:val="20"/>
                <w:color w:val="auto"/>
              </w:rPr>
            </w:pPr>
            <w:r>
              <w:rPr>
                <w:rFonts w:ascii="Arial" w:cs="Arial" w:eastAsia="Arial" w:hAnsi="Arial"/>
                <w:sz w:val="8"/>
                <w:szCs w:val="8"/>
                <w:color w:val="auto"/>
              </w:rPr>
              <w:t>​​​</w:t>
            </w:r>
          </w:p>
        </w:tc>
        <w:tc>
          <w:tcPr>
            <w:tcW w:w="320" w:type="dxa"/>
            <w:vAlign w:val="bottom"/>
            <w:gridSpan w:val="3"/>
            <w:shd w:val="clear" w:color="auto" w:fill="000000"/>
          </w:tcPr>
          <w:p>
            <w:pPr>
              <w:spacing w:after="0" w:line="20" w:lineRule="exact"/>
              <w:rPr>
                <w:sz w:val="1"/>
                <w:szCs w:val="1"/>
                <w:color w:val="auto"/>
              </w:rPr>
            </w:pPr>
          </w:p>
        </w:tc>
        <w:tc>
          <w:tcPr>
            <w:tcW w:w="80" w:type="dxa"/>
            <w:vAlign w:val="bottom"/>
            <w:gridSpan w:val="2"/>
            <w:vMerge w:val="restart"/>
          </w:tcPr>
          <w:p>
            <w:pPr>
              <w:jc w:val="center"/>
              <w:spacing w:after="0" w:line="87" w:lineRule="exact"/>
              <w:rPr>
                <w:sz w:val="20"/>
                <w:szCs w:val="20"/>
                <w:color w:val="auto"/>
              </w:rPr>
            </w:pPr>
            <w:r>
              <w:rPr>
                <w:rFonts w:ascii="Arial" w:cs="Arial" w:eastAsia="Arial" w:hAnsi="Arial"/>
                <w:sz w:val="8"/>
                <w:szCs w:val="8"/>
                <w:color w:val="auto"/>
              </w:rPr>
              <w:t>​​​</w:t>
            </w:r>
          </w:p>
        </w:tc>
        <w:tc>
          <w:tcPr>
            <w:tcW w:w="36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gridSpan w:val="3"/>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auto"/>
            </w:tcBorders>
            <w:gridSpan w:val="2"/>
            <w:shd w:val="clear" w:color="auto" w:fill="CCEEFF"/>
          </w:tcPr>
          <w:p>
            <w:pPr>
              <w:spacing w:after="0" w:line="20" w:lineRule="exact"/>
              <w:rPr>
                <w:sz w:val="1"/>
                <w:szCs w:val="1"/>
                <w:color w:val="auto"/>
              </w:rPr>
            </w:pPr>
          </w:p>
        </w:tc>
        <w:tc>
          <w:tcPr>
            <w:tcW w:w="620" w:type="dxa"/>
            <w:vAlign w:val="bottom"/>
            <w:gridSpan w:val="7"/>
            <w:shd w:val="clear" w:color="auto" w:fill="000000"/>
          </w:tcPr>
          <w:p>
            <w:pPr>
              <w:spacing w:after="0" w:line="20" w:lineRule="exact"/>
              <w:rPr>
                <w:sz w:val="1"/>
                <w:szCs w:val="1"/>
                <w:color w:val="auto"/>
              </w:rPr>
            </w:pPr>
          </w:p>
        </w:tc>
        <w:tc>
          <w:tcPr>
            <w:tcW w:w="40" w:type="dxa"/>
            <w:vAlign w:val="bottom"/>
            <w:gridSpan w:val="2"/>
            <w:vMerge w:val="restart"/>
          </w:tcPr>
          <w:p>
            <w:pPr>
              <w:spacing w:after="0" w:line="87" w:lineRule="exact"/>
              <w:rPr>
                <w:sz w:val="20"/>
                <w:szCs w:val="20"/>
                <w:color w:val="auto"/>
              </w:rPr>
            </w:pPr>
            <w:r>
              <w:rPr>
                <w:rFonts w:ascii="Arial" w:cs="Arial" w:eastAsia="Arial" w:hAnsi="Arial"/>
                <w:sz w:val="8"/>
                <w:szCs w:val="8"/>
                <w:color w:val="auto"/>
              </w:rPr>
              <w:t>​​</w:t>
            </w:r>
          </w:p>
        </w:tc>
        <w:tc>
          <w:tcPr>
            <w:tcW w:w="380" w:type="dxa"/>
            <w:vAlign w:val="bottom"/>
            <w:tcBorders>
              <w:right w:val="single" w:sz="8" w:color="CCEEFF"/>
            </w:tcBorders>
            <w:gridSpan w:val="3"/>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gridSpan w:val="7"/>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left w:val="single" w:sz="8" w:color="CCEEFF"/>
              <w:right w:val="single" w:sz="8" w:color="CCEEFF"/>
            </w:tcBorders>
            <w:gridSpan w:val="4"/>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300" w:type="dxa"/>
            <w:vAlign w:val="bottom"/>
            <w:tcBorders>
              <w:right w:val="single" w:sz="8" w:color="CCEEFF"/>
            </w:tcBorders>
            <w:gridSpan w:val="4"/>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80" w:type="dxa"/>
            <w:vAlign w:val="bottom"/>
            <w:gridSpan w:val="2"/>
          </w:tcPr>
          <w:p>
            <w:pPr>
              <w:spacing w:after="0" w:line="77" w:lineRule="exact"/>
              <w:rPr>
                <w:sz w:val="20"/>
                <w:szCs w:val="20"/>
                <w:color w:val="auto"/>
              </w:rPr>
            </w:pPr>
            <w:r>
              <w:rPr>
                <w:rFonts w:ascii="Arial" w:cs="Arial" w:eastAsia="Arial" w:hAnsi="Arial"/>
                <w:sz w:val="8"/>
                <w:szCs w:val="8"/>
                <w:b w:val="1"/>
                <w:bCs w:val="1"/>
                <w:color w:val="auto"/>
              </w:rPr>
              <w:t>Balance at September 30, 2021</w:t>
            </w:r>
          </w:p>
        </w:tc>
        <w:tc>
          <w:tcPr>
            <w:tcW w:w="60" w:type="dxa"/>
            <w:vAlign w:val="bottom"/>
            <w:gridSpan w:val="3"/>
            <w:vMerge w:val="continue"/>
          </w:tcPr>
          <w:p>
            <w:pPr>
              <w:spacing w:after="0"/>
              <w:rPr>
                <w:sz w:val="7"/>
                <w:szCs w:val="7"/>
                <w:color w:val="auto"/>
              </w:rPr>
            </w:pPr>
          </w:p>
        </w:tc>
        <w:tc>
          <w:tcPr>
            <w:tcW w:w="40" w:type="dxa"/>
            <w:vAlign w:val="bottom"/>
          </w:tcPr>
          <w:p>
            <w:pPr>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w:t>
            </w:r>
          </w:p>
        </w:tc>
        <w:tc>
          <w:tcPr>
            <w:tcW w:w="300" w:type="dxa"/>
            <w:vAlign w:val="bottom"/>
            <w:gridSpan w:val="2"/>
          </w:tcPr>
          <w:p>
            <w:pPr>
              <w:ind w:left="60"/>
              <w:spacing w:after="0" w:line="77" w:lineRule="exact"/>
              <w:rPr>
                <w:sz w:val="20"/>
                <w:szCs w:val="20"/>
                <w:color w:val="auto"/>
              </w:rPr>
            </w:pPr>
            <w:r>
              <w:rPr>
                <w:rFonts w:ascii="Arial" w:cs="Arial" w:eastAsia="Arial" w:hAnsi="Arial"/>
                <w:sz w:val="8"/>
                <w:szCs w:val="8"/>
                <w:color w:val="auto"/>
                <w:w w:val="81"/>
              </w:rPr>
              <w:t>19,200</w:t>
            </w:r>
          </w:p>
        </w:tc>
        <w:tc>
          <w:tcPr>
            <w:tcW w:w="80" w:type="dxa"/>
            <w:vAlign w:val="bottom"/>
            <w:gridSpan w:val="2"/>
            <w:vMerge w:val="continue"/>
          </w:tcPr>
          <w:p>
            <w:pPr>
              <w:spacing w:after="0"/>
              <w:rPr>
                <w:sz w:val="7"/>
                <w:szCs w:val="7"/>
                <w:color w:val="auto"/>
              </w:rPr>
            </w:pPr>
          </w:p>
        </w:tc>
        <w:tc>
          <w:tcPr>
            <w:tcW w:w="360" w:type="dxa"/>
            <w:vAlign w:val="bottom"/>
            <w:gridSpan w:val="4"/>
          </w:tcPr>
          <w:p>
            <w:pPr>
              <w:jc w:val="right"/>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32,001</w:t>
            </w:r>
          </w:p>
        </w:tc>
        <w:tc>
          <w:tcPr>
            <w:tcW w:w="80" w:type="dxa"/>
            <w:vAlign w:val="bottom"/>
            <w:gridSpan w:val="3"/>
            <w:vMerge w:val="continue"/>
          </w:tcPr>
          <w:p>
            <w:pPr>
              <w:spacing w:after="0"/>
              <w:rPr>
                <w:sz w:val="7"/>
                <w:szCs w:val="7"/>
                <w:color w:val="auto"/>
              </w:rPr>
            </w:pPr>
          </w:p>
        </w:tc>
        <w:tc>
          <w:tcPr>
            <w:tcW w:w="20" w:type="dxa"/>
            <w:vAlign w:val="bottom"/>
          </w:tcPr>
          <w:p>
            <w:pPr>
              <w:jc w:val="right"/>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w:t>
            </w:r>
          </w:p>
        </w:tc>
        <w:tc>
          <w:tcPr>
            <w:tcW w:w="320" w:type="dxa"/>
            <w:vAlign w:val="bottom"/>
            <w:gridSpan w:val="2"/>
          </w:tcPr>
          <w:p>
            <w:pPr>
              <w:ind w:left="60"/>
              <w:spacing w:after="0" w:line="77" w:lineRule="exact"/>
              <w:rPr>
                <w:sz w:val="20"/>
                <w:szCs w:val="20"/>
                <w:color w:val="auto"/>
              </w:rPr>
            </w:pPr>
            <w:r>
              <w:rPr>
                <w:rFonts w:ascii="Arial" w:cs="Arial" w:eastAsia="Arial" w:hAnsi="Arial"/>
                <w:sz w:val="8"/>
                <w:szCs w:val="8"/>
                <w:color w:val="auto"/>
                <w:w w:val="89"/>
              </w:rPr>
              <w:t>12,800</w:t>
            </w:r>
          </w:p>
        </w:tc>
        <w:tc>
          <w:tcPr>
            <w:tcW w:w="80" w:type="dxa"/>
            <w:vAlign w:val="bottom"/>
            <w:gridSpan w:val="2"/>
            <w:vMerge w:val="continue"/>
          </w:tcPr>
          <w:p>
            <w:pPr>
              <w:spacing w:after="0"/>
              <w:rPr>
                <w:sz w:val="7"/>
                <w:szCs w:val="7"/>
                <w:color w:val="auto"/>
              </w:rPr>
            </w:pPr>
          </w:p>
        </w:tc>
        <w:tc>
          <w:tcPr>
            <w:tcW w:w="360" w:type="dxa"/>
            <w:vAlign w:val="bottom"/>
            <w:gridSpan w:val="3"/>
          </w:tcPr>
          <w:p>
            <w:pPr>
              <w:jc w:val="right"/>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26,000</w:t>
            </w:r>
          </w:p>
        </w:tc>
        <w:tc>
          <w:tcPr>
            <w:tcW w:w="80" w:type="dxa"/>
            <w:vAlign w:val="bottom"/>
            <w:gridSpan w:val="3"/>
            <w:vMerge w:val="continue"/>
          </w:tcPr>
          <w:p>
            <w:pPr>
              <w:spacing w:after="0"/>
              <w:rPr>
                <w:sz w:val="7"/>
                <w:szCs w:val="7"/>
                <w:color w:val="auto"/>
              </w:rPr>
            </w:pPr>
          </w:p>
        </w:tc>
        <w:tc>
          <w:tcPr>
            <w:tcW w:w="20" w:type="dxa"/>
            <w:vAlign w:val="bottom"/>
          </w:tcPr>
          <w:p>
            <w:pPr>
              <w:jc w:val="right"/>
              <w:ind w:right="13"/>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w:t>
            </w:r>
          </w:p>
        </w:tc>
        <w:tc>
          <w:tcPr>
            <w:tcW w:w="300" w:type="dxa"/>
            <w:vAlign w:val="bottom"/>
            <w:gridSpan w:val="2"/>
          </w:tcPr>
          <w:p>
            <w:pPr>
              <w:jc w:val="right"/>
              <w:spacing w:after="0" w:line="77" w:lineRule="exact"/>
              <w:rPr>
                <w:sz w:val="20"/>
                <w:szCs w:val="20"/>
                <w:color w:val="auto"/>
              </w:rPr>
            </w:pPr>
            <w:r>
              <w:rPr>
                <w:rFonts w:ascii="Arial" w:cs="Arial" w:eastAsia="Arial" w:hAnsi="Arial"/>
                <w:sz w:val="8"/>
                <w:szCs w:val="8"/>
                <w:color w:val="auto"/>
              </w:rPr>
              <w:t>24,702</w:t>
            </w:r>
          </w:p>
        </w:tc>
        <w:tc>
          <w:tcPr>
            <w:tcW w:w="80" w:type="dxa"/>
            <w:vAlign w:val="bottom"/>
            <w:gridSpan w:val="2"/>
            <w:vMerge w:val="continue"/>
          </w:tcPr>
          <w:p>
            <w:pPr>
              <w:spacing w:after="0"/>
              <w:rPr>
                <w:sz w:val="7"/>
                <w:szCs w:val="7"/>
                <w:color w:val="auto"/>
              </w:rPr>
            </w:pPr>
          </w:p>
        </w:tc>
        <w:tc>
          <w:tcPr>
            <w:tcW w:w="360" w:type="dxa"/>
            <w:vAlign w:val="bottom"/>
            <w:gridSpan w:val="4"/>
          </w:tcPr>
          <w:p>
            <w:pPr>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$ 100,000</w:t>
            </w:r>
          </w:p>
        </w:tc>
        <w:tc>
          <w:tcPr>
            <w:tcW w:w="140" w:type="dxa"/>
            <w:vAlign w:val="bottom"/>
            <w:gridSpan w:val="3"/>
          </w:tcPr>
          <w:p>
            <w:pPr>
              <w:jc w:val="right"/>
              <w:ind w:right="77"/>
              <w:spacing w:after="0" w:line="77"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64519"/>
                <w:vertAlign w:val="subscript"/>
              </w:rPr>
              <w:t>​</w:t>
            </w:r>
            <w:r>
              <w:rPr>
                <w:rFonts w:ascii="Arial" w:cs="Arial" w:eastAsia="Arial" w:hAnsi="Arial"/>
                <w:sz w:val="1"/>
                <w:szCs w:val="1"/>
                <w:color w:val="auto"/>
                <w:w w:val="4294964519"/>
              </w:rPr>
              <w:t>​</w:t>
            </w:r>
          </w:p>
        </w:tc>
        <w:tc>
          <w:tcPr>
            <w:tcW w:w="18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160" w:type="dxa"/>
            <w:vAlign w:val="bottom"/>
            <w:gridSpan w:val="3"/>
          </w:tcPr>
          <w:p>
            <w:pPr>
              <w:jc w:val="right"/>
              <w:spacing w:after="0" w:line="77" w:lineRule="exact"/>
              <w:rPr>
                <w:sz w:val="20"/>
                <w:szCs w:val="20"/>
                <w:color w:val="auto"/>
              </w:rPr>
            </w:pPr>
            <w:r>
              <w:rPr>
                <w:rFonts w:ascii="Arial" w:cs="Arial" w:eastAsia="Arial" w:hAnsi="Arial"/>
                <w:sz w:val="8"/>
                <w:szCs w:val="8"/>
                <w:color w:val="auto"/>
              </w:rPr>
              <w:t>​​​</w:t>
            </w:r>
          </w:p>
        </w:tc>
        <w:tc>
          <w:tcPr>
            <w:tcW w:w="180" w:type="dxa"/>
            <w:vAlign w:val="bottom"/>
            <w:gridSpan w:val="2"/>
          </w:tcPr>
          <w:p>
            <w:pPr>
              <w:ind w:left="20"/>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w:t>
            </w:r>
          </w:p>
        </w:tc>
        <w:tc>
          <w:tcPr>
            <w:tcW w:w="120" w:type="dxa"/>
            <w:vAlign w:val="bottom"/>
          </w:tcPr>
          <w:p>
            <w:pPr>
              <w:jc w:val="right"/>
              <w:spacing w:after="0" w:line="77" w:lineRule="exact"/>
              <w:rPr>
                <w:sz w:val="20"/>
                <w:szCs w:val="20"/>
                <w:color w:val="auto"/>
              </w:rPr>
            </w:pPr>
            <w:r>
              <w:rPr>
                <w:rFonts w:ascii="Arial" w:cs="Arial" w:eastAsia="Arial" w:hAnsi="Arial"/>
                <w:sz w:val="8"/>
                <w:szCs w:val="8"/>
                <w:color w:val="auto"/>
                <w:w w:val="74"/>
              </w:rPr>
              <w:t>—</w:t>
            </w:r>
          </w:p>
        </w:tc>
        <w:tc>
          <w:tcPr>
            <w:tcW w:w="16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220" w:type="dxa"/>
            <w:vAlign w:val="bottom"/>
          </w:tcPr>
          <w:p>
            <w:pPr>
              <w:ind w:left="140"/>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jc w:val="right"/>
              <w:ind w:right="18"/>
              <w:spacing w:after="0"/>
              <w:rPr>
                <w:sz w:val="20"/>
                <w:szCs w:val="20"/>
                <w:color w:val="auto"/>
              </w:rPr>
            </w:pPr>
            <w:r>
              <w:rPr>
                <w:rFonts w:ascii="Arial" w:cs="Arial" w:eastAsia="Arial" w:hAnsi="Arial"/>
                <w:sz w:val="5"/>
                <w:szCs w:val="5"/>
                <w:color w:val="auto"/>
                <w:w w:val="70"/>
              </w:rPr>
              <w:t>$</w:t>
            </w:r>
          </w:p>
        </w:tc>
        <w:tc>
          <w:tcPr>
            <w:tcW w:w="400" w:type="dxa"/>
            <w:vAlign w:val="bottom"/>
            <w:gridSpan w:val="3"/>
          </w:tcPr>
          <w:p>
            <w:pPr>
              <w:jc w:val="right"/>
              <w:ind w:right="160"/>
              <w:spacing w:after="0" w:line="77" w:lineRule="exact"/>
              <w:rPr>
                <w:sz w:val="20"/>
                <w:szCs w:val="20"/>
                <w:color w:val="auto"/>
              </w:rPr>
            </w:pPr>
            <w:r>
              <w:rPr>
                <w:rFonts w:ascii="Arial" w:cs="Arial" w:eastAsia="Arial" w:hAnsi="Arial"/>
                <w:sz w:val="8"/>
                <w:szCs w:val="8"/>
                <w:color w:val="auto"/>
              </w:rPr>
              <w:t>7,000</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0" w:type="dxa"/>
            <w:vAlign w:val="bottom"/>
            <w:gridSpan w:val="2"/>
            <w:vMerge w:val="continue"/>
          </w:tcPr>
          <w:p>
            <w:pPr>
              <w:spacing w:after="0"/>
              <w:rPr>
                <w:sz w:val="7"/>
                <w:szCs w:val="7"/>
                <w:color w:val="auto"/>
              </w:rPr>
            </w:pPr>
          </w:p>
        </w:tc>
        <w:tc>
          <w:tcPr>
            <w:tcW w:w="60" w:type="dxa"/>
            <w:vAlign w:val="bottom"/>
          </w:tcPr>
          <w:p>
            <w:pPr>
              <w:jc w:val="right"/>
              <w:ind w:right="37"/>
              <w:spacing w:after="0"/>
              <w:rPr>
                <w:sz w:val="20"/>
                <w:szCs w:val="20"/>
                <w:color w:val="auto"/>
              </w:rPr>
            </w:pPr>
            <w:r>
              <w:rPr>
                <w:rFonts w:ascii="Arial" w:cs="Arial" w:eastAsia="Arial" w:hAnsi="Arial"/>
                <w:sz w:val="1"/>
                <w:szCs w:val="1"/>
                <w:color w:val="auto"/>
                <w:w w:val="4294964519"/>
                <w:vertAlign w:val="subscript"/>
              </w:rPr>
              <w:t>​</w:t>
            </w:r>
            <w:r>
              <w:rPr>
                <w:rFonts w:ascii="Arial" w:cs="Arial" w:eastAsia="Arial" w:hAnsi="Arial"/>
                <w:sz w:val="1"/>
                <w:szCs w:val="1"/>
                <w:color w:val="auto"/>
                <w:w w:val="4294964519"/>
              </w:rPr>
              <w:t>​</w:t>
            </w:r>
          </w:p>
        </w:tc>
        <w:tc>
          <w:tcPr>
            <w:tcW w:w="320" w:type="dxa"/>
            <w:vAlign w:val="bottom"/>
            <w:gridSpan w:val="2"/>
          </w:tcPr>
          <w:p>
            <w:pPr>
              <w:ind w:left="60"/>
              <w:spacing w:after="0" w:line="77" w:lineRule="exact"/>
              <w:rPr>
                <w:sz w:val="20"/>
                <w:szCs w:val="20"/>
                <w:color w:val="auto"/>
              </w:rPr>
            </w:pPr>
            <w:r>
              <w:rPr>
                <w:rFonts w:ascii="Arial" w:cs="Arial" w:eastAsia="Arial" w:hAnsi="Arial"/>
                <w:sz w:val="8"/>
                <w:szCs w:val="8"/>
                <w:color w:val="auto"/>
                <w:w w:val="89"/>
              </w:rPr>
              <w:t>10,894</w:t>
            </w:r>
          </w:p>
        </w:tc>
        <w:tc>
          <w:tcPr>
            <w:tcW w:w="100" w:type="dxa"/>
            <w:vAlign w:val="bottom"/>
          </w:tcPr>
          <w:p>
            <w:pPr>
              <w:jc w:val="right"/>
              <w:ind w:right="18"/>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ind w:left="20"/>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w:t>
            </w:r>
          </w:p>
        </w:tc>
        <w:tc>
          <w:tcPr>
            <w:tcW w:w="200" w:type="dxa"/>
            <w:vAlign w:val="bottom"/>
            <w:gridSpan w:val="3"/>
          </w:tcPr>
          <w:p>
            <w:pPr>
              <w:jc w:val="right"/>
              <w:ind w:right="58"/>
              <w:spacing w:after="0" w:line="77" w:lineRule="exact"/>
              <w:rPr>
                <w:sz w:val="20"/>
                <w:szCs w:val="20"/>
                <w:color w:val="auto"/>
              </w:rPr>
            </w:pPr>
            <w:r>
              <w:rPr>
                <w:rFonts w:ascii="Arial" w:cs="Arial" w:eastAsia="Arial" w:hAnsi="Arial"/>
                <w:sz w:val="8"/>
                <w:szCs w:val="8"/>
                <w:color w:val="auto"/>
              </w:rPr>
              <w:t>1</w:t>
            </w:r>
          </w:p>
        </w:tc>
        <w:tc>
          <w:tcPr>
            <w:tcW w:w="120" w:type="dxa"/>
            <w:vAlign w:val="bottom"/>
            <w:gridSpan w:val="3"/>
          </w:tcPr>
          <w:p>
            <w:pPr>
              <w:spacing w:after="0" w:line="77" w:lineRule="exact"/>
              <w:rPr>
                <w:sz w:val="20"/>
                <w:szCs w:val="20"/>
                <w:color w:val="auto"/>
              </w:rPr>
            </w:pPr>
            <w:r>
              <w:rPr>
                <w:rFonts w:ascii="Arial" w:cs="Arial" w:eastAsia="Arial" w:hAnsi="Arial"/>
                <w:sz w:val="8"/>
                <w:szCs w:val="8"/>
                <w:color w:val="auto"/>
              </w:rPr>
              <w:t>​​​</w:t>
            </w:r>
          </w:p>
        </w:tc>
        <w:tc>
          <w:tcPr>
            <w:tcW w:w="160" w:type="dxa"/>
            <w:vAlign w:val="bottom"/>
            <w:gridSpan w:val="2"/>
          </w:tcPr>
          <w:p>
            <w:pPr>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xml:space="preserve"> $</w:t>
            </w:r>
          </w:p>
        </w:tc>
        <w:tc>
          <w:tcPr>
            <w:tcW w:w="340" w:type="dxa"/>
            <w:vAlign w:val="bottom"/>
            <w:gridSpan w:val="2"/>
          </w:tcPr>
          <w:p>
            <w:pPr>
              <w:jc w:val="right"/>
              <w:ind w:right="60"/>
              <w:spacing w:after="0" w:line="77" w:lineRule="exact"/>
              <w:rPr>
                <w:sz w:val="20"/>
                <w:szCs w:val="20"/>
                <w:color w:val="auto"/>
              </w:rPr>
            </w:pPr>
            <w:r>
              <w:rPr>
                <w:rFonts w:ascii="Arial" w:cs="Arial" w:eastAsia="Arial" w:hAnsi="Arial"/>
                <w:sz w:val="8"/>
                <w:szCs w:val="8"/>
                <w:color w:val="auto"/>
              </w:rPr>
              <w:t>—</w:t>
            </w:r>
          </w:p>
        </w:tc>
        <w:tc>
          <w:tcPr>
            <w:tcW w:w="300" w:type="dxa"/>
            <w:vAlign w:val="bottom"/>
            <w:gridSpan w:val="4"/>
          </w:tcPr>
          <w:p>
            <w:pPr>
              <w:ind w:left="20"/>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60" w:type="dxa"/>
            <w:vAlign w:val="bottom"/>
            <w:gridSpan w:val="2"/>
          </w:tcPr>
          <w:p>
            <w:pPr>
              <w:jc w:val="right"/>
              <w:spacing w:after="0" w:line="77"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218"/>
              <w:spacing w:after="0" w:line="77" w:lineRule="exact"/>
              <w:rPr>
                <w:sz w:val="20"/>
                <w:szCs w:val="20"/>
                <w:color w:val="auto"/>
              </w:rPr>
            </w:pPr>
            <w:r>
              <w:rPr>
                <w:rFonts w:ascii="Arial" w:cs="Arial" w:eastAsia="Arial" w:hAnsi="Arial"/>
                <w:sz w:val="8"/>
                <w:szCs w:val="8"/>
                <w:color w:val="auto"/>
              </w:rPr>
              <w:t>—</w:t>
            </w:r>
          </w:p>
        </w:tc>
        <w:tc>
          <w:tcPr>
            <w:tcW w:w="4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18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140" w:type="dxa"/>
            <w:vAlign w:val="bottom"/>
            <w:gridSpan w:val="2"/>
          </w:tcPr>
          <w:p>
            <w:pPr>
              <w:jc w:val="center"/>
              <w:ind w:right="18"/>
              <w:spacing w:after="0" w:line="77"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5"/>
                <w:szCs w:val="5"/>
                <w:color w:val="auto"/>
              </w:rPr>
              <w:t xml:space="preserve"> $</w:t>
            </w:r>
          </w:p>
        </w:tc>
        <w:tc>
          <w:tcPr>
            <w:tcW w:w="460" w:type="dxa"/>
            <w:vAlign w:val="bottom"/>
            <w:gridSpan w:val="2"/>
          </w:tcPr>
          <w:p>
            <w:pPr>
              <w:jc w:val="right"/>
              <w:ind w:right="78"/>
              <w:spacing w:after="0" w:line="77" w:lineRule="exact"/>
              <w:rPr>
                <w:sz w:val="20"/>
                <w:szCs w:val="20"/>
                <w:color w:val="auto"/>
              </w:rPr>
            </w:pPr>
            <w:r>
              <w:rPr>
                <w:rFonts w:ascii="Arial" w:cs="Arial" w:eastAsia="Arial" w:hAnsi="Arial"/>
                <w:sz w:val="8"/>
                <w:szCs w:val="8"/>
                <w:color w:val="auto"/>
              </w:rPr>
              <w:t>(50,243)</w:t>
            </w:r>
          </w:p>
        </w:tc>
        <w:tc>
          <w:tcPr>
            <w:tcW w:w="140" w:type="dxa"/>
            <w:vAlign w:val="bottom"/>
            <w:gridSpan w:val="3"/>
          </w:tcPr>
          <w:p>
            <w:pPr>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jc w:val="cente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20"/>
              <w:spacing w:after="0"/>
              <w:rPr>
                <w:sz w:val="20"/>
                <w:szCs w:val="20"/>
                <w:color w:val="auto"/>
              </w:rPr>
            </w:pPr>
            <w:r>
              <w:rPr>
                <w:rFonts w:ascii="Arial" w:cs="Arial" w:eastAsia="Arial" w:hAnsi="Arial"/>
                <w:sz w:val="8"/>
                <w:szCs w:val="8"/>
                <w:b w:val="1"/>
                <w:bCs w:val="1"/>
                <w:color w:val="auto"/>
              </w:rPr>
              <w:t>​</w:t>
            </w:r>
          </w:p>
        </w:tc>
        <w:tc>
          <w:tcPr>
            <w:tcW w:w="10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3"/>
            <w:vMerge w:val="restart"/>
          </w:tcPr>
          <w:p>
            <w:pPr>
              <w:jc w:val="right"/>
              <w:ind w:right="57"/>
              <w:spacing w:after="0"/>
              <w:rPr>
                <w:sz w:val="20"/>
                <w:szCs w:val="20"/>
                <w:color w:val="auto"/>
              </w:rPr>
            </w:pPr>
            <w:r>
              <w:rPr>
                <w:rFonts w:ascii="Arial" w:cs="Arial" w:eastAsia="Arial" w:hAnsi="Arial"/>
                <w:sz w:val="8"/>
                <w:szCs w:val="8"/>
                <w:b w:val="1"/>
                <w:bCs w:val="1"/>
                <w:color w:val="auto"/>
              </w:rPr>
              <w:t>​​​</w:t>
            </w: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2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2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Arial" w:cs="Arial" w:eastAsia="Arial" w:hAnsi="Arial"/>
                <w:sz w:val="8"/>
                <w:szCs w:val="8"/>
                <w:b w:val="1"/>
                <w:bCs w:val="1"/>
                <w:color w:val="auto"/>
              </w:rPr>
              <w:t>​​​</w:t>
            </w: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40" w:type="dxa"/>
            <w:vAlign w:val="bottom"/>
            <w:vMerge w:val="continue"/>
          </w:tcPr>
          <w:p>
            <w:pPr>
              <w:spacing w:after="0"/>
              <w:rPr>
                <w:sz w:val="8"/>
                <w:szCs w:val="8"/>
                <w:color w:val="auto"/>
              </w:rPr>
            </w:pPr>
          </w:p>
        </w:tc>
        <w:tc>
          <w:tcPr>
            <w:tcW w:w="440" w:type="dxa"/>
            <w:vAlign w:val="bottom"/>
            <w:gridSpan w:val="7"/>
          </w:tcPr>
          <w:p>
            <w:pPr>
              <w:spacing w:after="0"/>
              <w:rPr>
                <w:sz w:val="20"/>
                <w:szCs w:val="20"/>
                <w:color w:val="auto"/>
              </w:rPr>
            </w:pPr>
            <w:r>
              <w:rPr>
                <w:rFonts w:ascii="Arial" w:cs="Arial" w:eastAsia="Arial" w:hAnsi="Arial"/>
                <w:sz w:val="8"/>
                <w:szCs w:val="8"/>
                <w:b w:val="1"/>
                <w:bCs w:val="1"/>
                <w:color w:val="auto"/>
              </w:rPr>
              <w:t>​​​</w:t>
            </w:r>
          </w:p>
        </w:tc>
        <w:tc>
          <w:tcPr>
            <w:tcW w:w="440" w:type="dxa"/>
            <w:vAlign w:val="bottom"/>
            <w:gridSpan w:val="6"/>
          </w:tcPr>
          <w:p>
            <w:pPr>
              <w:jc w:val="right"/>
              <w:ind w:right="318"/>
              <w:spacing w:after="0"/>
              <w:rPr>
                <w:sz w:val="20"/>
                <w:szCs w:val="20"/>
                <w:color w:val="auto"/>
              </w:rPr>
            </w:pPr>
            <w:r>
              <w:rPr>
                <w:rFonts w:ascii="Arial" w:cs="Arial" w:eastAsia="Arial" w:hAnsi="Arial"/>
                <w:sz w:val="8"/>
                <w:szCs w:val="8"/>
                <w:b w:val="1"/>
                <w:bCs w:val="1"/>
                <w:color w:val="auto"/>
              </w:rPr>
              <w:t>​​​</w:t>
            </w:r>
          </w:p>
        </w:tc>
        <w:tc>
          <w:tcPr>
            <w:tcW w:w="420" w:type="dxa"/>
            <w:vAlign w:val="bottom"/>
            <w:gridSpan w:val="6"/>
          </w:tcPr>
          <w:p>
            <w:pPr>
              <w:jc w:val="right"/>
              <w:ind w:right="298"/>
              <w:spacing w:after="0"/>
              <w:rPr>
                <w:sz w:val="20"/>
                <w:szCs w:val="20"/>
                <w:color w:val="auto"/>
              </w:rPr>
            </w:pPr>
            <w:r>
              <w:rPr>
                <w:rFonts w:ascii="Arial" w:cs="Arial" w:eastAsia="Arial" w:hAnsi="Arial"/>
                <w:sz w:val="8"/>
                <w:szCs w:val="8"/>
                <w:b w:val="1"/>
                <w:bCs w:val="1"/>
                <w:color w:val="auto"/>
              </w:rPr>
              <w:t>​​​</w:t>
            </w:r>
          </w:p>
        </w:tc>
        <w:tc>
          <w:tcPr>
            <w:tcW w:w="440" w:type="dxa"/>
            <w:vAlign w:val="bottom"/>
            <w:gridSpan w:val="5"/>
          </w:tcPr>
          <w:p>
            <w:pPr>
              <w:jc w:val="right"/>
              <w:ind w:right="318"/>
              <w:spacing w:after="0"/>
              <w:rPr>
                <w:sz w:val="20"/>
                <w:szCs w:val="20"/>
                <w:color w:val="auto"/>
              </w:rPr>
            </w:pPr>
            <w:r>
              <w:rPr>
                <w:rFonts w:ascii="Arial" w:cs="Arial" w:eastAsia="Arial" w:hAnsi="Arial"/>
                <w:sz w:val="8"/>
                <w:szCs w:val="8"/>
                <w:b w:val="1"/>
                <w:bCs w:val="1"/>
                <w:color w:val="auto"/>
              </w:rPr>
              <w:t>​​​</w:t>
            </w:r>
          </w:p>
        </w:tc>
        <w:tc>
          <w:tcPr>
            <w:tcW w:w="400" w:type="dxa"/>
            <w:vAlign w:val="bottom"/>
            <w:gridSpan w:val="6"/>
          </w:tcPr>
          <w:p>
            <w:pPr>
              <w:jc w:val="right"/>
              <w:ind w:right="298"/>
              <w:spacing w:after="0"/>
              <w:rPr>
                <w:sz w:val="20"/>
                <w:szCs w:val="20"/>
                <w:color w:val="auto"/>
              </w:rPr>
            </w:pPr>
            <w:r>
              <w:rPr>
                <w:rFonts w:ascii="Arial" w:cs="Arial" w:eastAsia="Arial" w:hAnsi="Arial"/>
                <w:sz w:val="8"/>
                <w:szCs w:val="8"/>
                <w:b w:val="1"/>
                <w:bCs w:val="1"/>
                <w:color w:val="auto"/>
              </w:rPr>
              <w:t>​​​</w:t>
            </w:r>
          </w:p>
        </w:tc>
        <w:tc>
          <w:tcPr>
            <w:tcW w:w="440" w:type="dxa"/>
            <w:vAlign w:val="bottom"/>
            <w:gridSpan w:val="6"/>
          </w:tcPr>
          <w:p>
            <w:pPr>
              <w:jc w:val="center"/>
              <w:ind w:right="298"/>
              <w:spacing w:after="0"/>
              <w:rPr>
                <w:sz w:val="20"/>
                <w:szCs w:val="20"/>
                <w:color w:val="auto"/>
              </w:rPr>
            </w:pPr>
            <w:r>
              <w:rPr>
                <w:rFonts w:ascii="Arial" w:cs="Arial" w:eastAsia="Arial" w:hAnsi="Arial"/>
                <w:sz w:val="8"/>
                <w:szCs w:val="8"/>
                <w:b w:val="1"/>
                <w:bCs w:val="1"/>
                <w:color w:val="auto"/>
              </w:rPr>
              <w:t>​​​</w:t>
            </w:r>
          </w:p>
        </w:tc>
        <w:tc>
          <w:tcPr>
            <w:tcW w:w="140" w:type="dxa"/>
            <w:vAlign w:val="bottom"/>
            <w:gridSpan w:val="3"/>
            <w:vMerge w:val="continue"/>
          </w:tcPr>
          <w:p>
            <w:pPr>
              <w:spacing w:after="0"/>
              <w:rPr>
                <w:sz w:val="8"/>
                <w:szCs w:val="8"/>
                <w:color w:val="auto"/>
              </w:rPr>
            </w:pPr>
          </w:p>
        </w:tc>
        <w:tc>
          <w:tcPr>
            <w:tcW w:w="280" w:type="dxa"/>
            <w:vAlign w:val="bottom"/>
            <w:gridSpan w:val="3"/>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360" w:type="dxa"/>
            <w:vAlign w:val="bottom"/>
            <w:gridSpan w:val="4"/>
          </w:tcPr>
          <w:p>
            <w:pPr>
              <w:spacing w:after="0"/>
              <w:rPr>
                <w:sz w:val="8"/>
                <w:szCs w:val="8"/>
                <w:color w:val="auto"/>
              </w:rPr>
            </w:pPr>
          </w:p>
        </w:tc>
        <w:tc>
          <w:tcPr>
            <w:tcW w:w="100" w:type="dxa"/>
            <w:vAlign w:val="bottom"/>
            <w:vMerge w:val="continue"/>
          </w:tcPr>
          <w:p>
            <w:pPr>
              <w:spacing w:after="0"/>
              <w:rPr>
                <w:sz w:val="8"/>
                <w:szCs w:val="8"/>
                <w:color w:val="auto"/>
              </w:rPr>
            </w:pPr>
          </w:p>
        </w:tc>
        <w:tc>
          <w:tcPr>
            <w:tcW w:w="1260" w:type="dxa"/>
            <w:vAlign w:val="bottom"/>
            <w:gridSpan w:val="13"/>
          </w:tcPr>
          <w:p>
            <w:pPr>
              <w:spacing w:after="0"/>
              <w:rPr>
                <w:sz w:val="20"/>
                <w:szCs w:val="20"/>
                <w:color w:val="auto"/>
              </w:rPr>
            </w:pPr>
            <w:r>
              <w:rPr>
                <w:rFonts w:ascii="Arial" w:cs="Arial" w:eastAsia="Arial" w:hAnsi="Arial"/>
                <w:sz w:val="8"/>
                <w:szCs w:val="8"/>
                <w:b w:val="1"/>
                <w:bCs w:val="1"/>
                <w:color w:val="auto"/>
              </w:rPr>
              <w:t>​​​</w:t>
            </w:r>
          </w:p>
        </w:tc>
        <w:tc>
          <w:tcPr>
            <w:tcW w:w="100" w:type="dxa"/>
            <w:vAlign w:val="bottom"/>
            <w:vMerge w:val="continue"/>
          </w:tcPr>
          <w:p>
            <w:pPr>
              <w:spacing w:after="0"/>
              <w:rPr>
                <w:sz w:val="8"/>
                <w:szCs w:val="8"/>
                <w:color w:val="auto"/>
              </w:rPr>
            </w:pPr>
          </w:p>
        </w:tc>
        <w:tc>
          <w:tcPr>
            <w:tcW w:w="340" w:type="dxa"/>
            <w:vAlign w:val="bottom"/>
            <w:gridSpan w:val="7"/>
          </w:tcPr>
          <w:p>
            <w:pPr>
              <w:spacing w:after="0"/>
              <w:rPr>
                <w:sz w:val="8"/>
                <w:szCs w:val="8"/>
                <w:color w:val="auto"/>
              </w:rPr>
            </w:pPr>
          </w:p>
        </w:tc>
        <w:tc>
          <w:tcPr>
            <w:tcW w:w="80" w:type="dxa"/>
            <w:vAlign w:val="bottom"/>
            <w:vMerge w:val="continue"/>
          </w:tcPr>
          <w:p>
            <w:pPr>
              <w:spacing w:after="0"/>
              <w:rPr>
                <w:sz w:val="8"/>
                <w:szCs w:val="8"/>
                <w:color w:val="auto"/>
              </w:rPr>
            </w:pPr>
          </w:p>
        </w:tc>
        <w:tc>
          <w:tcPr>
            <w:tcW w:w="560" w:type="dxa"/>
            <w:vAlign w:val="bottom"/>
            <w:gridSpan w:val="6"/>
          </w:tcPr>
          <w:p>
            <w:pPr>
              <w:spacing w:after="0"/>
              <w:rPr>
                <w:sz w:val="8"/>
                <w:szCs w:val="8"/>
                <w:color w:val="auto"/>
              </w:rPr>
            </w:pPr>
          </w:p>
        </w:tc>
        <w:tc>
          <w:tcPr>
            <w:tcW w:w="60" w:type="dxa"/>
            <w:vAlign w:val="bottom"/>
            <w:vMerge w:val="continue"/>
          </w:tcPr>
          <w:p>
            <w:pPr>
              <w:spacing w:after="0"/>
              <w:rPr>
                <w:sz w:val="8"/>
                <w:szCs w:val="8"/>
                <w:color w:val="auto"/>
              </w:rPr>
            </w:pPr>
          </w:p>
        </w:tc>
        <w:tc>
          <w:tcPr>
            <w:tcW w:w="740" w:type="dxa"/>
            <w:vAlign w:val="bottom"/>
            <w:gridSpan w:val="7"/>
          </w:tcPr>
          <w:p>
            <w:pPr>
              <w:spacing w:after="0"/>
              <w:rPr>
                <w:sz w:val="8"/>
                <w:szCs w:val="8"/>
                <w:color w:val="auto"/>
              </w:rPr>
            </w:pPr>
          </w:p>
        </w:tc>
        <w:tc>
          <w:tcPr>
            <w:tcW w:w="120" w:type="dxa"/>
            <w:vAlign w:val="bottom"/>
            <w:vMerge w:val="continue"/>
          </w:tcPr>
          <w:p>
            <w:pPr>
              <w:spacing w:after="0"/>
              <w:rPr>
                <w:sz w:val="8"/>
                <w:szCs w:val="8"/>
                <w:color w:val="auto"/>
              </w:rPr>
            </w:pPr>
          </w:p>
        </w:tc>
        <w:tc>
          <w:tcPr>
            <w:tcW w:w="680" w:type="dxa"/>
            <w:vAlign w:val="bottom"/>
            <w:gridSpan w:val="6"/>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-1522730</wp:posOffset>
            </wp:positionV>
            <wp:extent cx="6423025" cy="15474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423025" cy="1547495"/>
                    </a:xfrm>
                    <a:prstGeom prst="rect">
                      <a:avLst/>
                    </a:prstGeom>
                    <a:noFill/>
                  </pic:spPr>
                </pic:pic>
              </a:graphicData>
            </a:graphic>
          </wp:anchor>
        </w:drawing>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21590</wp:posOffset>
            </wp:positionV>
            <wp:extent cx="6374130"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374130" cy="37465"/>
                    </a:xfrm>
                    <a:prstGeom prst="rect">
                      <a:avLst/>
                    </a:prstGeom>
                    <a:noFill/>
                  </pic:spPr>
                </pic:pic>
              </a:graphicData>
            </a:graphic>
          </wp:anchor>
        </w:drawing>
      </w:r>
    </w:p>
    <w:p>
      <w:pPr>
        <w:sectPr>
          <w:pgSz w:w="11900" w:h="16838" w:orient="portrait"/>
          <w:cols w:equalWidth="0" w:num="1">
            <w:col w:w="10720"/>
          </w:cols>
          <w:pgMar w:left="940" w:top="109" w:right="239" w:bottom="1440" w:gutter="0" w:footer="0" w:header="0"/>
        </w:sectPr>
      </w:pPr>
    </w:p>
    <w:bookmarkStart w:id="283" w:name="page284"/>
    <w:bookmarkEnd w:id="283"/>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STRUCTURE THERAPEUTICS INC.</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3"/>
          <w:szCs w:val="13"/>
          <w:b w:val="1"/>
          <w:bCs w:val="1"/>
          <w:i w:val="1"/>
          <w:iCs w:val="1"/>
          <w:color w:val="auto"/>
        </w:rPr>
        <w:t>(IN THOUSANDS)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3"/>
          <w:szCs w:val="13"/>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175895</wp:posOffset>
            </wp:positionV>
            <wp:extent cx="3733165"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39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8"/>
          </w:tcPr>
          <w:p>
            <w:pPr>
              <w:jc w:val="center"/>
              <w:ind w:right="23"/>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32"/>
        </w:trPr>
        <w:tc>
          <w:tcPr>
            <w:tcW w:w="4600" w:type="dxa"/>
            <w:vAlign w:val="bottom"/>
          </w:tcPr>
          <w:p>
            <w:pPr>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rPr>
              <w:t>SEPTEMBER 30,</w:t>
            </w:r>
          </w:p>
        </w:tc>
        <w:tc>
          <w:tcPr>
            <w:tcW w:w="140" w:type="dxa"/>
            <w:vAlign w:val="bottom"/>
            <w:tcBorders>
              <w:bottom w:val="single" w:sz="8" w:color="auto"/>
            </w:tcBorders>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20"/>
                <w:szCs w:val="20"/>
                <w:color w:val="auto"/>
              </w:rPr>
            </w:pPr>
            <w:r>
              <w:rPr>
                <w:rFonts w:ascii="Arial" w:cs="Arial" w:eastAsia="Arial" w:hAnsi="Arial"/>
                <w:sz w:val="10"/>
                <w:szCs w:val="10"/>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gridSpan w:val="2"/>
          </w:tcPr>
          <w:p>
            <w:pPr>
              <w:jc w:val="right"/>
              <w:spacing w:after="0" w:line="135" w:lineRule="exact"/>
              <w:rPr>
                <w:sz w:val="20"/>
                <w:szCs w:val="20"/>
                <w:color w:val="auto"/>
              </w:rPr>
            </w:pPr>
            <w:r>
              <w:rPr>
                <w:rFonts w:ascii="Arial" w:cs="Arial" w:eastAsia="Arial" w:hAnsi="Arial"/>
                <w:sz w:val="9"/>
                <w:szCs w:val="9"/>
                <w:b w:val="1"/>
                <w:bCs w:val="1"/>
                <w:color w:val="auto"/>
              </w:rPr>
              <w:t xml:space="preserve">2021   </w:t>
            </w:r>
            <w:r>
              <w:rPr>
                <w:rFonts w:ascii="Arial" w:cs="Arial" w:eastAsia="Arial" w:hAnsi="Arial"/>
                <w:sz w:val="15"/>
                <w:szCs w:val="15"/>
                <w:b w:val="1"/>
                <w:bCs w:val="1"/>
                <w:color w:val="auto"/>
                <w:vertAlign w:val="subscript"/>
              </w:rPr>
              <w:t>​</w:t>
            </w:r>
          </w:p>
        </w:tc>
        <w:tc>
          <w:tcPr>
            <w:tcW w:w="200" w:type="dxa"/>
            <w:vAlign w:val="bottom"/>
            <w:gridSpan w:val="2"/>
          </w:tcPr>
          <w:p>
            <w:pPr>
              <w:jc w:val="right"/>
              <w:ind w:right="103"/>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shd w:val="clear" w:color="auto" w:fill="CCEEFF"/>
          </w:tcPr>
          <w:p>
            <w:pPr>
              <w:spacing w:after="0"/>
              <w:rPr>
                <w:sz w:val="12"/>
                <w:szCs w:val="12"/>
                <w:color w:val="auto"/>
              </w:rPr>
            </w:pP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 ​</w:t>
            </w:r>
          </w:p>
        </w:tc>
        <w:tc>
          <w:tcPr>
            <w:tcW w:w="4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20"/>
                <w:szCs w:val="20"/>
                <w:color w:val="auto"/>
              </w:rPr>
            </w:pPr>
            <w:r>
              <w:rPr>
                <w:rFonts w:ascii="Arial" w:cs="Arial" w:eastAsia="Arial" w:hAnsi="Arial"/>
                <w:sz w:val="12"/>
                <w:szCs w:val="12"/>
                <w:color w:val="auto"/>
              </w:rPr>
              <w:t>Net loss</w:t>
            </w:r>
          </w:p>
        </w:tc>
        <w:tc>
          <w:tcPr>
            <w:tcW w:w="660" w:type="dxa"/>
            <w:vAlign w:val="bottom"/>
            <w:gridSpan w:val="4"/>
          </w:tcPr>
          <w:p>
            <w:pPr>
              <w:spacing w:after="0"/>
              <w:rPr>
                <w:sz w:val="20"/>
                <w:szCs w:val="20"/>
                <w:color w:val="auto"/>
              </w:rPr>
            </w:pPr>
            <w:r>
              <w:rPr>
                <w:rFonts w:ascii="Arial" w:cs="Arial" w:eastAsia="Arial" w:hAnsi="Arial"/>
                <w:sz w:val="12"/>
                <w:szCs w:val="12"/>
                <w:color w:val="auto"/>
              </w:rPr>
              <w:t>​​​$ (24,693)​​</w:t>
            </w:r>
          </w:p>
        </w:tc>
        <w:tc>
          <w:tcPr>
            <w:tcW w:w="200" w:type="dxa"/>
            <w:vAlign w:val="bottom"/>
            <w:gridSpan w:val="2"/>
          </w:tcPr>
          <w:p>
            <w:pPr>
              <w:jc w:val="right"/>
              <w:ind w:right="3"/>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spacing w:after="0"/>
              <w:rPr>
                <w:sz w:val="20"/>
                <w:szCs w:val="20"/>
                <w:color w:val="auto"/>
              </w:rPr>
            </w:pPr>
            <w:r>
              <w:rPr>
                <w:rFonts w:ascii="Arial" w:cs="Arial" w:eastAsia="Arial" w:hAnsi="Arial"/>
                <w:sz w:val="12"/>
                <w:szCs w:val="12"/>
                <w:color w:val="auto"/>
                <w:w w:val="98"/>
              </w:rPr>
              <w:t>(39,446)​</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600" w:type="dxa"/>
            <w:vAlign w:val="bottom"/>
          </w:tcPr>
          <w:p>
            <w:pPr>
              <w:ind w:left="120"/>
              <w:spacing w:after="0"/>
              <w:rPr>
                <w:sz w:val="20"/>
                <w:szCs w:val="20"/>
                <w:color w:val="auto"/>
              </w:rPr>
            </w:pPr>
            <w:r>
              <w:rPr>
                <w:rFonts w:ascii="Arial" w:cs="Arial" w:eastAsia="Arial" w:hAnsi="Arial"/>
                <w:sz w:val="12"/>
                <w:szCs w:val="12"/>
                <w:color w:val="auto"/>
              </w:rPr>
              <w:t>Share-based compensation expense</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550​​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1,891​</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0" w:type="dxa"/>
            <w:vAlign w:val="bottom"/>
          </w:tcPr>
          <w:p>
            <w:pPr>
              <w:ind w:left="120"/>
              <w:spacing w:after="0"/>
              <w:rPr>
                <w:sz w:val="20"/>
                <w:szCs w:val="20"/>
                <w:color w:val="auto"/>
              </w:rPr>
            </w:pPr>
            <w:r>
              <w:rPr>
                <w:rFonts w:ascii="Arial" w:cs="Arial" w:eastAsia="Arial" w:hAnsi="Arial"/>
                <w:sz w:val="12"/>
                <w:szCs w:val="12"/>
                <w:color w:val="auto"/>
              </w:rPr>
              <w:t>Non-cash lease expense</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129​​</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271​</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(accretion) of net investment premium (discount)</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600" w:type="dxa"/>
            <w:vAlign w:val="bottom"/>
          </w:tcPr>
          <w:p>
            <w:pPr>
              <w:ind w:left="120"/>
              <w:spacing w:after="0"/>
              <w:rPr>
                <w:sz w:val="20"/>
                <w:szCs w:val="20"/>
                <w:color w:val="auto"/>
              </w:rPr>
            </w:pPr>
            <w:r>
              <w:rPr>
                <w:rFonts w:ascii="Arial" w:cs="Arial" w:eastAsia="Arial" w:hAnsi="Arial"/>
                <w:sz w:val="12"/>
                <w:szCs w:val="12"/>
                <w:color w:val="auto"/>
              </w:rPr>
              <w:t>Amortization of debt discount and issuance costs</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47​​</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60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(917)​​</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811​​</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0" w:type="dxa"/>
            <w:vAlign w:val="bottom"/>
          </w:tcPr>
          <w:p>
            <w:pPr>
              <w:ind w:left="240"/>
              <w:spacing w:after="0"/>
              <w:rPr>
                <w:sz w:val="20"/>
                <w:szCs w:val="20"/>
                <w:color w:val="auto"/>
              </w:rPr>
            </w:pPr>
            <w:r>
              <w:rPr>
                <w:rFonts w:ascii="Arial" w:cs="Arial" w:eastAsia="Arial" w:hAnsi="Arial"/>
                <w:sz w:val="12"/>
                <w:szCs w:val="12"/>
                <w:color w:val="auto"/>
              </w:rPr>
              <w:t>Accrued expenses and other liabilities</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2,784​​</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1,485​</w:t>
            </w:r>
          </w:p>
        </w:tc>
        <w:tc>
          <w:tcPr>
            <w:tcW w:w="0" w:type="dxa"/>
            <w:vAlign w:val="bottom"/>
          </w:tcPr>
          <w:p>
            <w:pPr>
              <w:spacing w:after="0"/>
              <w:rPr>
                <w:sz w:val="1"/>
                <w:szCs w:val="1"/>
                <w:color w:val="auto"/>
              </w:rPr>
            </w:pPr>
          </w:p>
        </w:tc>
      </w:tr>
      <w:tr>
        <w:trPr>
          <w:trHeight w:val="174"/>
        </w:trPr>
        <w:tc>
          <w:tcPr>
            <w:tcW w:w="4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Operating lease liabilities</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54"/>
        </w:trPr>
        <w:tc>
          <w:tcPr>
            <w:tcW w:w="4600" w:type="dxa"/>
            <w:vAlign w:val="bottom"/>
          </w:tcPr>
          <w:p>
            <w:pPr>
              <w:ind w:left="380"/>
              <w:spacing w:after="0"/>
              <w:rPr>
                <w:sz w:val="20"/>
                <w:szCs w:val="20"/>
                <w:color w:val="auto"/>
              </w:rPr>
            </w:pPr>
            <w:r>
              <w:rPr>
                <w:rFonts w:ascii="Arial" w:cs="Arial" w:eastAsia="Arial" w:hAnsi="Arial"/>
                <w:sz w:val="12"/>
                <w:szCs w:val="12"/>
                <w:color w:val="auto"/>
              </w:rPr>
              <w:t>Net cash used in operating activities</w:t>
            </w:r>
          </w:p>
        </w:tc>
        <w:tc>
          <w:tcPr>
            <w:tcW w:w="560" w:type="dxa"/>
            <w:vAlign w:val="bottom"/>
            <w:gridSpan w:val="3"/>
          </w:tcPr>
          <w:p>
            <w:pPr>
              <w:spacing w:after="0"/>
              <w:rPr>
                <w:sz w:val="20"/>
                <w:szCs w:val="20"/>
                <w:color w:val="auto"/>
              </w:rPr>
            </w:pPr>
            <w:r>
              <w:rPr>
                <w:rFonts w:ascii="Arial" w:cs="Arial" w:eastAsia="Arial" w:hAnsi="Arial"/>
                <w:sz w:val="12"/>
                <w:szCs w:val="12"/>
                <w:color w:val="auto"/>
              </w:rPr>
              <w:t>​​​ ​(21,401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98"/>
              </w:rPr>
              <w:t>(34,094</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shd w:val="clear" w:color="auto" w:fill="CCEEFF"/>
          </w:tcPr>
          <w:p>
            <w:pPr>
              <w:spacing w:after="0"/>
              <w:rPr>
                <w:sz w:val="12"/>
                <w:szCs w:val="12"/>
                <w:color w:val="auto"/>
              </w:rPr>
            </w:pP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 ​</w:t>
            </w:r>
          </w:p>
        </w:tc>
        <w:tc>
          <w:tcPr>
            <w:tcW w:w="4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20"/>
                <w:szCs w:val="20"/>
                <w:color w:val="auto"/>
              </w:rPr>
            </w:pPr>
            <w:r>
              <w:rPr>
                <w:rFonts w:ascii="Arial" w:cs="Arial" w:eastAsia="Arial" w:hAnsi="Arial"/>
                <w:sz w:val="12"/>
                <w:szCs w:val="12"/>
                <w:color w:val="auto"/>
              </w:rPr>
              <w:t>Purchases of short-term investments</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(4,212)​​</w:t>
            </w:r>
          </w:p>
        </w:tc>
        <w:tc>
          <w:tcPr>
            <w:tcW w:w="660" w:type="dxa"/>
            <w:vAlign w:val="bottom"/>
            <w:gridSpan w:val="5"/>
          </w:tcPr>
          <w:p>
            <w:pPr>
              <w:jc w:val="right"/>
              <w:spacing w:after="0"/>
              <w:rPr>
                <w:sz w:val="20"/>
                <w:szCs w:val="20"/>
                <w:color w:val="auto"/>
              </w:rPr>
            </w:pPr>
            <w:r>
              <w:rPr>
                <w:rFonts w:ascii="Arial" w:cs="Arial" w:eastAsia="Arial" w:hAnsi="Arial"/>
                <w:sz w:val="12"/>
                <w:szCs w:val="12"/>
                <w:color w:val="auto"/>
              </w:rPr>
              <w:t>​​ ​(114,265)​</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Maturities of short-term investments</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22,077​​</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20"/>
                <w:szCs w:val="20"/>
                <w:color w:val="auto"/>
              </w:rPr>
            </w:pPr>
            <w:r>
              <w:rPr>
                <w:rFonts w:ascii="Arial" w:cs="Arial" w:eastAsia="Arial" w:hAnsi="Arial"/>
                <w:sz w:val="12"/>
                <w:szCs w:val="12"/>
                <w:color w:val="auto"/>
              </w:rPr>
              <w:t>Purchases of property and equipment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(1,086​​)</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Net cash provided by (used in) investing activities</w:t>
            </w: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54"/>
        </w:trPr>
        <w:tc>
          <w:tcPr>
            <w:tcW w:w="4600" w:type="dxa"/>
            <w:vAlign w:val="bottom"/>
            <w:vMerge w:val="continue"/>
            <w:shd w:val="clear" w:color="auto" w:fill="CCEEFF"/>
          </w:tcPr>
          <w:p>
            <w:pPr>
              <w:spacing w:after="0"/>
              <w:rPr>
                <w:sz w:val="13"/>
                <w:szCs w:val="13"/>
                <w:color w:val="auto"/>
              </w:rPr>
            </w:pP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16,779</w:t>
            </w:r>
          </w:p>
        </w:tc>
        <w:tc>
          <w:tcPr>
            <w:tcW w:w="100" w:type="dxa"/>
            <w:vAlign w:val="bottom"/>
            <w:vMerge w:val="continue"/>
            <w:shd w:val="clear" w:color="auto" w:fill="CCEEFF"/>
          </w:tcPr>
          <w:p>
            <w:pPr>
              <w:spacing w:after="0"/>
              <w:rPr>
                <w:sz w:val="13"/>
                <w:szCs w:val="13"/>
                <w:color w:val="auto"/>
              </w:rPr>
            </w:pPr>
          </w:p>
        </w:tc>
        <w:tc>
          <w:tcPr>
            <w:tcW w:w="80" w:type="dxa"/>
            <w:vAlign w:val="bottom"/>
            <w:tcBorders>
              <w:left w:val="single" w:sz="8" w:color="CCEEFF"/>
            </w:tcBorders>
            <w:vMerge w:val="continue"/>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8"/>
              </w:rPr>
              <w:t>(72,449</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400" w:type="dxa"/>
            <w:vAlign w:val="bottom"/>
          </w:tcPr>
          <w:p>
            <w:pPr>
              <w:spacing w:after="0"/>
              <w:rPr>
                <w:sz w:val="12"/>
                <w:szCs w:val="12"/>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b w:val="1"/>
                <w:bCs w:val="1"/>
                <w:color w:val="auto"/>
              </w:rPr>
              <w:t>​​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Series B redeemable convertible preferred shares, net of</w:t>
            </w:r>
          </w:p>
        </w:tc>
        <w:tc>
          <w:tcPr>
            <w:tcW w:w="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costs</w:t>
            </w:r>
          </w:p>
        </w:tc>
        <w:tc>
          <w:tcPr>
            <w:tcW w:w="86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 ​ 96,449​​ ​​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2"/>
                <w:szCs w:val="12"/>
                <w:color w:val="auto"/>
              </w:rPr>
              <w:t>Proceeds from issuance of Series Seed redeemable convertible preferred shares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tcPr>
          <w:p>
            <w:pPr>
              <w:ind w:left="120"/>
              <w:spacing w:after="0"/>
              <w:rPr>
                <w:sz w:val="20"/>
                <w:szCs w:val="20"/>
                <w:color w:val="auto"/>
              </w:rPr>
            </w:pPr>
            <w:r>
              <w:rPr>
                <w:rFonts w:ascii="Arial" w:cs="Arial" w:eastAsia="Arial" w:hAnsi="Arial"/>
                <w:sz w:val="12"/>
                <w:szCs w:val="12"/>
                <w:color w:val="auto"/>
              </w:rPr>
              <w:t>Basecamp to noncontrolling interest holders</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700" w:type="dxa"/>
            <w:vAlign w:val="bottom"/>
            <w:gridSpan w:val="4"/>
          </w:tcPr>
          <w:p>
            <w:pPr>
              <w:jc w:val="right"/>
              <w:spacing w:after="0"/>
              <w:rPr>
                <w:sz w:val="20"/>
                <w:szCs w:val="20"/>
                <w:color w:val="auto"/>
              </w:rPr>
            </w:pPr>
            <w:r>
              <w:rPr>
                <w:rFonts w:ascii="Arial" w:cs="Arial" w:eastAsia="Arial" w:hAnsi="Arial"/>
                <w:sz w:val="12"/>
                <w:szCs w:val="12"/>
                <w:color w:val="auto"/>
              </w:rPr>
              <w:t>6,909​​ ​​ ​</w:t>
            </w:r>
          </w:p>
        </w:tc>
        <w:tc>
          <w:tcPr>
            <w:tcW w:w="2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Payments of deferred offering costs</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 ​​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(2,197)</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600" w:type="dxa"/>
            <w:vAlign w:val="bottom"/>
          </w:tcPr>
          <w:p>
            <w:pPr>
              <w:spacing w:after="0"/>
              <w:rPr>
                <w:sz w:val="20"/>
                <w:szCs w:val="20"/>
                <w:color w:val="auto"/>
              </w:rPr>
            </w:pPr>
            <w:r>
              <w:rPr>
                <w:rFonts w:ascii="Arial" w:cs="Arial" w:eastAsia="Arial" w:hAnsi="Arial"/>
                <w:sz w:val="12"/>
                <w:szCs w:val="12"/>
                <w:color w:val="auto"/>
              </w:rPr>
              <w:t>Repurchases of unvested restricted share awards</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700" w:type="dxa"/>
            <w:vAlign w:val="bottom"/>
            <w:gridSpan w:val="4"/>
          </w:tcPr>
          <w:p>
            <w:pPr>
              <w:jc w:val="right"/>
              <w:spacing w:after="0"/>
              <w:rPr>
                <w:sz w:val="20"/>
                <w:szCs w:val="20"/>
                <w:color w:val="auto"/>
              </w:rPr>
            </w:pPr>
            <w:r>
              <w:rPr>
                <w:rFonts w:ascii="Arial" w:cs="Arial" w:eastAsia="Arial" w:hAnsi="Arial"/>
                <w:sz w:val="12"/>
                <w:szCs w:val="12"/>
                <w:color w:val="auto"/>
              </w:rPr>
              <w:t>—​​ ​​ ​</w:t>
            </w:r>
          </w:p>
        </w:tc>
        <w:tc>
          <w:tcPr>
            <w:tcW w:w="2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4"/>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exercise of share options</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11​​ ​​ ​</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33</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54"/>
        </w:trPr>
        <w:tc>
          <w:tcPr>
            <w:tcW w:w="4600" w:type="dxa"/>
            <w:vAlign w:val="bottom"/>
          </w:tcPr>
          <w:p>
            <w:pPr>
              <w:ind w:left="380"/>
              <w:spacing w:after="0"/>
              <w:rPr>
                <w:sz w:val="20"/>
                <w:szCs w:val="20"/>
                <w:color w:val="auto"/>
              </w:rPr>
            </w:pPr>
            <w:r>
              <w:rPr>
                <w:rFonts w:ascii="Arial" w:cs="Arial" w:eastAsia="Arial" w:hAnsi="Arial"/>
                <w:sz w:val="12"/>
                <w:szCs w:val="12"/>
                <w:color w:val="auto"/>
              </w:rPr>
              <w:t>Net cash provided by financing activities</w:t>
            </w:r>
          </w:p>
        </w:tc>
        <w:tc>
          <w:tcPr>
            <w:tcW w:w="560" w:type="dxa"/>
            <w:vAlign w:val="bottom"/>
            <w:gridSpan w:val="3"/>
          </w:tcPr>
          <w:p>
            <w:pPr>
              <w:spacing w:after="0"/>
              <w:rPr>
                <w:sz w:val="20"/>
                <w:szCs w:val="20"/>
                <w:color w:val="auto"/>
              </w:rPr>
            </w:pPr>
            <w:r>
              <w:rPr>
                <w:rFonts w:ascii="Arial" w:cs="Arial" w:eastAsia="Arial" w:hAnsi="Arial"/>
                <w:sz w:val="12"/>
                <w:szCs w:val="12"/>
                <w:color w:val="auto"/>
              </w:rPr>
              <w:t>​​​ ​103,369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20" w:type="dxa"/>
            <w:vAlign w:val="bottom"/>
          </w:tcPr>
          <w:p>
            <w:pPr>
              <w:jc w:val="right"/>
              <w:spacing w:after="0"/>
              <w:rPr>
                <w:sz w:val="20"/>
                <w:szCs w:val="20"/>
                <w:color w:val="auto"/>
              </w:rPr>
            </w:pPr>
            <w:r>
              <w:rPr>
                <w:rFonts w:ascii="Arial" w:cs="Arial" w:eastAsia="Arial" w:hAnsi="Arial"/>
                <w:sz w:val="12"/>
                <w:szCs w:val="12"/>
                <w:color w:val="auto"/>
              </w:rPr>
              <w:t>​ ​</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29,330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Net change in cash and cash equivalents</w:t>
            </w: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shd w:val="clear" w:color="auto" w:fill="CCEEFF"/>
          </w:tcPr>
          <w:p>
            <w:pPr>
              <w:spacing w:after="0"/>
              <w:rPr>
                <w:sz w:val="12"/>
                <w:szCs w:val="12"/>
                <w:color w:val="auto"/>
              </w:rPr>
            </w:pPr>
          </w:p>
        </w:tc>
        <w:tc>
          <w:tcPr>
            <w:tcW w:w="86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 ​ 98,747​​ ​​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(77,213)</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20"/>
                <w:szCs w:val="20"/>
                <w:color w:val="auto"/>
              </w:rPr>
            </w:pPr>
            <w:r>
              <w:rPr>
                <w:rFonts w:ascii="Arial" w:cs="Arial" w:eastAsia="Arial" w:hAnsi="Arial"/>
                <w:sz w:val="12"/>
                <w:szCs w:val="12"/>
                <w:b w:val="1"/>
                <w:bCs w:val="1"/>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40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b w:val="1"/>
                <w:bCs w:val="1"/>
                <w:color w:val="auto"/>
              </w:rPr>
              <w:t>​​ ​​ ​</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Beginning of the period</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16,352​​ ​​ ​105,305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63"/>
        </w:trPr>
        <w:tc>
          <w:tcPr>
            <w:tcW w:w="4600" w:type="dxa"/>
            <w:vAlign w:val="bottom"/>
          </w:tcPr>
          <w:p>
            <w:pPr>
              <w:ind w:left="120"/>
              <w:spacing w:after="0"/>
              <w:rPr>
                <w:sz w:val="20"/>
                <w:szCs w:val="20"/>
                <w:color w:val="auto"/>
              </w:rPr>
            </w:pPr>
            <w:r>
              <w:rPr>
                <w:rFonts w:ascii="Arial" w:cs="Arial" w:eastAsia="Arial" w:hAnsi="Arial"/>
                <w:sz w:val="12"/>
                <w:szCs w:val="12"/>
                <w:color w:val="auto"/>
              </w:rPr>
              <w:t>End of the period</w:t>
            </w:r>
          </w:p>
        </w:tc>
        <w:tc>
          <w:tcPr>
            <w:tcW w:w="560" w:type="dxa"/>
            <w:vAlign w:val="bottom"/>
            <w:gridSpan w:val="3"/>
          </w:tcPr>
          <w:p>
            <w:pPr>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7"/>
                <w:szCs w:val="17"/>
                <w:u w:val="single" w:color="auto"/>
                <w:color w:val="auto"/>
                <w:vertAlign w:val="subscript"/>
              </w:rPr>
              <w:t>​​</w:t>
            </w:r>
            <w:r>
              <w:rPr>
                <w:rFonts w:ascii="Arial" w:cs="Arial" w:eastAsia="Arial" w:hAnsi="Arial"/>
                <w:sz w:val="10"/>
                <w:szCs w:val="10"/>
                <w:u w:val="single" w:color="auto"/>
                <w:color w:val="auto"/>
              </w:rPr>
              <w:t>$</w:t>
            </w:r>
            <w:r>
              <w:rPr>
                <w:rFonts w:ascii="Arial" w:cs="Arial" w:eastAsia="Arial" w:hAnsi="Arial"/>
                <w:sz w:val="10"/>
                <w:szCs w:val="10"/>
                <w:color w:val="auto"/>
              </w:rPr>
              <w:t>115,099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20" w:type="dxa"/>
            <w:vAlign w:val="bottom"/>
          </w:tcPr>
          <w:p>
            <w:pPr>
              <w:jc w:val="right"/>
              <w:ind w:right="3"/>
              <w:spacing w:after="0" w:line="154"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perscript"/>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28,092</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125"/>
        </w:trPr>
        <w:tc>
          <w:tcPr>
            <w:tcW w:w="4760" w:type="dxa"/>
            <w:vAlign w:val="bottom"/>
            <w:gridSpan w:val="3"/>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Supplemental disclosures of noncash investing and financing activities​​​ ​</w:t>
            </w:r>
          </w:p>
        </w:tc>
        <w:tc>
          <w:tcPr>
            <w:tcW w:w="40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 ​​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-220345</wp:posOffset>
            </wp:positionV>
            <wp:extent cx="24765" cy="6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-539750</wp:posOffset>
            </wp:positionV>
            <wp:extent cx="337693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376930" cy="635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-650240</wp:posOffset>
            </wp:positionV>
            <wp:extent cx="24765"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-1466850</wp:posOffset>
            </wp:positionV>
            <wp:extent cx="24765"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-1577340</wp:posOffset>
            </wp:positionV>
            <wp:extent cx="3376930"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7693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-2000885</wp:posOffset>
            </wp:positionV>
            <wp:extent cx="337693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376930" cy="635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-2111375</wp:posOffset>
            </wp:positionV>
            <wp:extent cx="24765"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-3474720</wp:posOffset>
            </wp:positionV>
            <wp:extent cx="337058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70580" cy="635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p>
      <w:pPr>
        <w:spacing w:after="0" w:line="1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Accretion of redeemable convertible preferred shares to their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2146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733165" cy="214630"/>
                    </a:xfrm>
                    <a:prstGeom prst="rect">
                      <a:avLst/>
                    </a:prstGeom>
                    <a:noFill/>
                  </pic:spPr>
                </pic:pic>
              </a:graphicData>
            </a:graphic>
          </wp:anchor>
        </w:drawing>
      </w:r>
    </w:p>
    <w:p>
      <w:pPr>
        <w:spacing w:after="0" w:line="26" w:lineRule="exact"/>
        <w:rPr>
          <w:sz w:val="20"/>
          <w:szCs w:val="20"/>
          <w:color w:val="auto"/>
        </w:rPr>
      </w:pPr>
    </w:p>
    <w:p>
      <w:pPr>
        <w:ind w:left="1680" w:hanging="121"/>
        <w:spacing w:after="0" w:line="302" w:lineRule="auto"/>
        <w:rPr>
          <w:sz w:val="20"/>
          <w:szCs w:val="20"/>
          <w:color w:val="auto"/>
        </w:rPr>
      </w:pPr>
      <w:r>
        <w:rPr>
          <w:rFonts w:ascii="Arial" w:cs="Arial" w:eastAsia="Arial" w:hAnsi="Arial"/>
          <w:sz w:val="12"/>
          <w:szCs w:val="12"/>
          <w:color w:val="auto"/>
        </w:rPr>
        <w:t>Purchases of property and equipment in accounts payable and accrued expenses and other current liabilities</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Operating lease right-of-use assets obtained in exchange for new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20955</wp:posOffset>
            </wp:positionV>
            <wp:extent cx="3733165" cy="2209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733165" cy="220980"/>
                    </a:xfrm>
                    <a:prstGeom prst="rect">
                      <a:avLst/>
                    </a:prstGeom>
                    <a:noFill/>
                  </pic:spPr>
                </pic:pic>
              </a:graphicData>
            </a:graphic>
          </wp:anchor>
        </w:drawing>
      </w:r>
    </w:p>
    <w:p>
      <w:pPr>
        <w:spacing w:after="0" w:line="35" w:lineRule="exact"/>
        <w:rPr>
          <w:sz w:val="20"/>
          <w:szCs w:val="20"/>
          <w:color w:val="auto"/>
        </w:rPr>
      </w:pPr>
    </w:p>
    <w:p>
      <w:pPr>
        <w:ind w:left="1680" w:right="80" w:hanging="121"/>
        <w:spacing w:after="0" w:line="308" w:lineRule="auto"/>
        <w:rPr>
          <w:sz w:val="20"/>
          <w:szCs w:val="20"/>
          <w:color w:val="auto"/>
        </w:rPr>
      </w:pPr>
      <w:r>
        <w:rPr>
          <w:rFonts w:ascii="Arial" w:cs="Arial" w:eastAsia="Arial" w:hAnsi="Arial"/>
          <w:sz w:val="12"/>
          <w:szCs w:val="12"/>
          <w:color w:val="auto"/>
        </w:rPr>
        <w:t>Deferred offering costs included in accounts payable and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55880</wp:posOffset>
            </wp:positionV>
            <wp:extent cx="3733165"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80" w:type="dxa"/>
            <w:vAlign w:val="bottom"/>
            <w:gridSpan w:val="2"/>
          </w:tcPr>
          <w:p>
            <w:pPr>
              <w:spacing w:after="0" w:line="164" w:lineRule="exact"/>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w:t>
            </w:r>
            <w:r>
              <w:rPr>
                <w:rFonts w:ascii="Arial" w:cs="Arial" w:eastAsia="Arial" w:hAnsi="Arial"/>
                <w:sz w:val="19"/>
                <w:szCs w:val="19"/>
                <w:color w:val="auto"/>
                <w:vertAlign w:val="superscript"/>
              </w:rPr>
              <w:t>$</w:t>
            </w:r>
          </w:p>
        </w:tc>
        <w:tc>
          <w:tcPr>
            <w:tcW w:w="700" w:type="dxa"/>
            <w:vAlign w:val="bottom"/>
            <w:gridSpan w:val="4"/>
          </w:tcPr>
          <w:p>
            <w:pPr>
              <w:jc w:val="right"/>
              <w:ind w:right="80"/>
              <w:spacing w:after="0" w:line="164" w:lineRule="exact"/>
              <w:rPr>
                <w:sz w:val="20"/>
                <w:szCs w:val="20"/>
                <w:color w:val="auto"/>
              </w:rPr>
            </w:pPr>
            <w:r>
              <w:rPr>
                <w:rFonts w:ascii="Arial" w:cs="Arial" w:eastAsia="Arial" w:hAnsi="Arial"/>
                <w:sz w:val="11"/>
                <w:szCs w:val="11"/>
                <w:color w:val="auto"/>
              </w:rPr>
              <w:t>3,642</w:t>
            </w:r>
            <w:r>
              <w:rPr>
                <w:rFonts w:ascii="Arial" w:cs="Arial" w:eastAsia="Arial" w:hAnsi="Arial"/>
                <w:sz w:val="19"/>
                <w:szCs w:val="19"/>
                <w:color w:val="auto"/>
                <w:vertAlign w:val="subscript"/>
              </w:rPr>
              <w:t>​​ ​​</w:t>
            </w:r>
            <w:r>
              <w:rPr>
                <w:rFonts w:ascii="Arial" w:cs="Arial" w:eastAsia="Arial" w:hAnsi="Arial"/>
                <w:sz w:val="11"/>
                <w:szCs w:val="11"/>
                <w:color w:val="auto"/>
              </w:rPr>
              <w:t>$</w:t>
            </w:r>
          </w:p>
        </w:tc>
        <w:tc>
          <w:tcPr>
            <w:tcW w:w="440" w:type="dxa"/>
            <w:vAlign w:val="bottom"/>
            <w:gridSpan w:val="3"/>
          </w:tcPr>
          <w:p>
            <w:pPr>
              <w:jc w:val="right"/>
              <w:spacing w:after="0" w:line="164" w:lineRule="exact"/>
              <w:rPr>
                <w:sz w:val="20"/>
                <w:szCs w:val="20"/>
                <w:color w:val="auto"/>
              </w:rPr>
            </w:pPr>
            <w:r>
              <w:rPr>
                <w:rFonts w:ascii="Arial" w:cs="Arial" w:eastAsia="Arial" w:hAnsi="Arial"/>
                <w:sz w:val="11"/>
                <w:szCs w:val="11"/>
                <w:color w:val="auto"/>
              </w:rPr>
              <w:t>1,515</w:t>
            </w:r>
            <w:r>
              <w:rPr>
                <w:rFonts w:ascii="Arial" w:cs="Arial" w:eastAsia="Arial" w:hAnsi="Arial"/>
                <w:sz w:val="19"/>
                <w:szCs w:val="19"/>
                <w:color w:val="auto"/>
                <w:vertAlign w:val="subscript"/>
              </w:rPr>
              <w:t>​</w:t>
            </w: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180" w:type="dxa"/>
            <w:vAlign w:val="bottom"/>
            <w:gridSpan w:val="2"/>
          </w:tcPr>
          <w:p>
            <w:pPr>
              <w:spacing w:after="0"/>
              <w:rPr>
                <w:sz w:val="20"/>
                <w:szCs w:val="20"/>
                <w:color w:val="auto"/>
              </w:rPr>
            </w:pPr>
            <w:r>
              <w:rPr>
                <w:rFonts w:ascii="Arial" w:cs="Arial" w:eastAsia="Arial" w:hAnsi="Arial"/>
                <w:sz w:val="12"/>
                <w:szCs w:val="12"/>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88​​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180" w:type="dxa"/>
            <w:vAlign w:val="bottom"/>
            <w:gridSpan w:val="2"/>
          </w:tcPr>
          <w:p>
            <w:pPr>
              <w:spacing w:after="0" w:line="133"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700" w:type="dxa"/>
            <w:vAlign w:val="bottom"/>
            <w:gridSpan w:val="4"/>
          </w:tcPr>
          <w:p>
            <w:pPr>
              <w:jc w:val="right"/>
              <w:ind w:right="80"/>
              <w:spacing w:after="0" w:line="133" w:lineRule="exact"/>
              <w:rPr>
                <w:sz w:val="20"/>
                <w:szCs w:val="20"/>
                <w:color w:val="auto"/>
              </w:rPr>
            </w:pPr>
            <w:r>
              <w:rPr>
                <w:rFonts w:ascii="Arial" w:cs="Arial" w:eastAsia="Arial" w:hAnsi="Arial"/>
                <w:sz w:val="9"/>
                <w:szCs w:val="9"/>
                <w:color w:val="auto"/>
              </w:rPr>
              <w:t>423</w:t>
            </w:r>
            <w:r>
              <w:rPr>
                <w:rFonts w:ascii="Arial" w:cs="Arial" w:eastAsia="Arial" w:hAnsi="Arial"/>
                <w:sz w:val="15"/>
                <w:szCs w:val="15"/>
                <w:color w:val="auto"/>
                <w:vertAlign w:val="subscript"/>
              </w:rPr>
              <w:t>​​ ​​</w:t>
            </w:r>
            <w:r>
              <w:rPr>
                <w:rFonts w:ascii="Arial" w:cs="Arial" w:eastAsia="Arial" w:hAnsi="Arial"/>
                <w:sz w:val="9"/>
                <w:szCs w:val="9"/>
                <w:color w:val="auto"/>
              </w:rPr>
              <w:t>$</w:t>
            </w:r>
          </w:p>
        </w:tc>
        <w:tc>
          <w:tcPr>
            <w:tcW w:w="400" w:type="dxa"/>
            <w:vAlign w:val="bottom"/>
          </w:tcPr>
          <w:p>
            <w:pPr>
              <w:ind w:left="280"/>
              <w:spacing w:after="0" w:line="133" w:lineRule="exact"/>
              <w:rPr>
                <w:sz w:val="20"/>
                <w:szCs w:val="20"/>
                <w:color w:val="auto"/>
              </w:rPr>
            </w:pPr>
            <w:r>
              <w:rPr>
                <w:rFonts w:ascii="Arial" w:cs="Arial" w:eastAsia="Arial" w:hAnsi="Arial"/>
                <w:sz w:val="12"/>
                <w:szCs w:val="12"/>
                <w:color w:val="auto"/>
                <w:w w:val="82"/>
              </w:rPr>
              <w:t>—</w:t>
            </w:r>
          </w:p>
        </w:tc>
        <w:tc>
          <w:tcPr>
            <w:tcW w:w="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80" w:type="dxa"/>
            <w:vAlign w:val="bottom"/>
            <w:gridSpan w:val="2"/>
          </w:tcPr>
          <w:p>
            <w:pPr>
              <w:spacing w:after="0"/>
              <w:rPr>
                <w:sz w:val="20"/>
                <w:szCs w:val="20"/>
                <w:color w:val="auto"/>
              </w:rPr>
            </w:pPr>
            <w:r>
              <w:rPr>
                <w:rFonts w:ascii="Arial" w:cs="Arial" w:eastAsia="Arial" w:hAnsi="Arial"/>
                <w:sz w:val="12"/>
                <w:szCs w:val="12"/>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36​</w:t>
            </w: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5980" w:space="180"/>
            <w:col w:w="2859"/>
          </w:cols>
          <w:pgMar w:left="1440" w:top="109" w:right="1440" w:bottom="1440" w:gutter="0" w:footer="0" w:header="0"/>
          <w:type w:val="continuous"/>
        </w:sect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type w:val="continuous"/>
        </w:sectPr>
      </w:pPr>
    </w:p>
    <w:bookmarkStart w:id="284" w:name="page285"/>
    <w:bookmarkEnd w:id="284"/>
    <w:p>
      <w:pPr>
        <w:ind w:left="6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w:t>
      </w:r>
    </w:p>
    <w:p>
      <w:pPr>
        <w:spacing w:after="0" w:line="241"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 Organization and Nature of the Business</w:t>
      </w:r>
    </w:p>
    <w:p>
      <w:pPr>
        <w:spacing w:after="0" w:line="104" w:lineRule="exact"/>
        <w:rPr>
          <w:sz w:val="20"/>
          <w:szCs w:val="20"/>
          <w:color w:val="auto"/>
        </w:rPr>
      </w:pPr>
    </w:p>
    <w:p>
      <w:pPr>
        <w:ind w:left="1560" w:right="1599"/>
        <w:spacing w:after="0" w:line="266" w:lineRule="auto"/>
        <w:rPr>
          <w:sz w:val="20"/>
          <w:szCs w:val="20"/>
          <w:color w:val="auto"/>
        </w:rPr>
      </w:pPr>
      <w:r>
        <w:rPr>
          <w:rFonts w:ascii="Arial" w:cs="Arial" w:eastAsia="Arial" w:hAnsi="Arial"/>
          <w:sz w:val="12"/>
          <w:szCs w:val="12"/>
          <w:color w:val="auto"/>
        </w:rPr>
        <w:t>Structure Therapeutics Inc. (the “Company”) is a clinical stage global biopharmaceutical company aiming to develop and deliver novel oral therapeutics to treat a wide range of chronic diseases with unmet medical needs. The Company was incorporated in February 2019 in the Cayman Islands, with operating subsidiaries in the United States and China. Prior to the formation of the Company, the operating activities were carried out by the subsidiaries of the Company. In June 2022, the Company changed its name from ShouTi Inc. to Structure Therapeutics Inc.</w:t>
      </w:r>
    </w:p>
    <w:p>
      <w:pPr>
        <w:spacing w:after="0" w:line="78" w:lineRule="exact"/>
        <w:rPr>
          <w:sz w:val="20"/>
          <w:szCs w:val="20"/>
          <w:color w:val="auto"/>
        </w:rPr>
      </w:pPr>
    </w:p>
    <w:p>
      <w:pPr>
        <w:ind w:left="1560" w:right="1659"/>
        <w:spacing w:after="0" w:line="291" w:lineRule="auto"/>
        <w:rPr>
          <w:sz w:val="20"/>
          <w:szCs w:val="20"/>
          <w:color w:val="auto"/>
        </w:rPr>
      </w:pPr>
      <w:r>
        <w:rPr>
          <w:rFonts w:ascii="Arial" w:cs="Arial" w:eastAsia="Arial" w:hAnsi="Arial"/>
          <w:sz w:val="12"/>
          <w:szCs w:val="12"/>
          <w:color w:val="auto"/>
        </w:rPr>
        <w:t>The accompanying condensed consolidated financial statements include the accounts of the Company and its wholly- owned subsidiaries.</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34" w:lineRule="exact"/>
        <w:rPr>
          <w:sz w:val="20"/>
          <w:szCs w:val="20"/>
          <w:color w:val="auto"/>
        </w:rPr>
      </w:pPr>
    </w:p>
    <w:p>
      <w:pPr>
        <w:ind w:left="1560" w:right="1619"/>
        <w:spacing w:after="0" w:line="260" w:lineRule="auto"/>
        <w:rPr>
          <w:sz w:val="20"/>
          <w:szCs w:val="20"/>
          <w:color w:val="auto"/>
        </w:rPr>
      </w:pPr>
      <w:r>
        <w:rPr>
          <w:rFonts w:ascii="Arial" w:cs="Arial" w:eastAsia="Arial" w:hAnsi="Arial"/>
          <w:sz w:val="12"/>
          <w:szCs w:val="12"/>
          <w:color w:val="auto"/>
        </w:rPr>
        <w:t>The Company has incurred significant operating losses and negative cash flows from operations since inception and had an accumulated deficit of  $105.1 million as of September 30, 2022. The Company has historically financed its operations through the private placement of equity securities. To date, the Company has no product candidates approved for sale and therefore the Company has not generated any revenue from its product candidates. The Company also has not generated any revenue from collaboration or other agreements. Management expects operating losses and negative cash flows to continue for the foreseeable future, until such time, if ever, that it can generate significant revenues from its product candidates currently in development or through collaboration or other agreements. The Company’s prospects are subject to risks and uncertainties frequently encountered by companies in the biotechnology industry as discussed in Note 2.</w:t>
      </w:r>
    </w:p>
    <w:p>
      <w:pPr>
        <w:spacing w:after="0" w:line="231" w:lineRule="exact"/>
        <w:rPr>
          <w:sz w:val="20"/>
          <w:szCs w:val="20"/>
          <w:color w:val="auto"/>
        </w:rPr>
      </w:pPr>
    </w:p>
    <w:p>
      <w:pPr>
        <w:ind w:left="1560" w:right="1779"/>
        <w:spacing w:after="0" w:line="271" w:lineRule="auto"/>
        <w:rPr>
          <w:sz w:val="20"/>
          <w:szCs w:val="20"/>
          <w:color w:val="auto"/>
        </w:rPr>
      </w:pPr>
      <w:r>
        <w:rPr>
          <w:rFonts w:ascii="Arial" w:cs="Arial" w:eastAsia="Arial" w:hAnsi="Arial"/>
          <w:sz w:val="12"/>
          <w:szCs w:val="12"/>
          <w:color w:val="auto"/>
        </w:rPr>
        <w:t>While the Company has been able to raise multiple rounds of financing, there can be no assurance that additional financing will be available on terms which are favorable or at all. Failure to generate cash flows from operations, raise additional capital or reduce certain discretionary spending would have a material adverse effect on the Company’s ability to achieve its intended business objectives.</w:t>
      </w:r>
    </w:p>
    <w:p>
      <w:pPr>
        <w:spacing w:after="0" w:line="73" w:lineRule="exact"/>
        <w:rPr>
          <w:sz w:val="20"/>
          <w:szCs w:val="20"/>
          <w:color w:val="auto"/>
        </w:rPr>
      </w:pPr>
    </w:p>
    <w:p>
      <w:pPr>
        <w:ind w:left="1560" w:right="2059"/>
        <w:spacing w:after="0" w:line="270" w:lineRule="auto"/>
        <w:rPr>
          <w:sz w:val="20"/>
          <w:szCs w:val="20"/>
          <w:color w:val="auto"/>
        </w:rPr>
      </w:pPr>
      <w:r>
        <w:rPr>
          <w:rFonts w:ascii="Arial" w:cs="Arial" w:eastAsia="Arial" w:hAnsi="Arial"/>
          <w:sz w:val="12"/>
          <w:szCs w:val="12"/>
          <w:color w:val="auto"/>
        </w:rPr>
        <w:t>As of September 30, 2022, the Company had cash, cash equivalents and short-term investments of $102.8 million. Based on its current business plan, the Company believes that its current cash, cash equivalents and short-term investments will be sufficient to fund its projected operations for at least 12 months from the date of issuance of these unaudited interim condensed consolidated financial statements.</w:t>
      </w:r>
    </w:p>
    <w:p>
      <w:pPr>
        <w:spacing w:after="0" w:line="125"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Impact of the COVID-19 Pandemic</w:t>
      </w:r>
    </w:p>
    <w:p>
      <w:pPr>
        <w:spacing w:after="0" w:line="34" w:lineRule="exact"/>
        <w:rPr>
          <w:sz w:val="20"/>
          <w:szCs w:val="20"/>
          <w:color w:val="auto"/>
        </w:rPr>
      </w:pPr>
    </w:p>
    <w:p>
      <w:pPr>
        <w:ind w:left="1560" w:right="1639"/>
        <w:spacing w:after="0" w:line="265" w:lineRule="auto"/>
        <w:rPr>
          <w:sz w:val="20"/>
          <w:szCs w:val="20"/>
          <w:color w:val="auto"/>
        </w:rPr>
      </w:pPr>
      <w:r>
        <w:rPr>
          <w:rFonts w:ascii="Arial" w:cs="Arial" w:eastAsia="Arial" w:hAnsi="Arial"/>
          <w:sz w:val="12"/>
          <w:szCs w:val="12"/>
          <w:color w:val="auto"/>
        </w:rPr>
        <w:t>The current COVID-19 (coronavirus) pandemic, which is impacting worldwide economic activity, poses risks that the Company or its employees, contractors, suppliers and other partners may be prevented from conducting business activities for an indefinite period of time, including due to shutdowns that may be requested or mandated by governmental authorities. Although the impact of COVID-19 has not been material to the Company and its operations, the extent to which the COVID-19 pandemic will impact the Company’s business will depend on future developments that are highly uncertain and cannot be predicted at this time.</w:t>
      </w:r>
    </w:p>
    <w:p>
      <w:pPr>
        <w:spacing w:after="0" w:line="236"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34" w:lineRule="exact"/>
        <w:rPr>
          <w:sz w:val="20"/>
          <w:szCs w:val="20"/>
          <w:color w:val="auto"/>
        </w:rPr>
      </w:pPr>
    </w:p>
    <w:p>
      <w:pPr>
        <w:ind w:left="1560" w:right="1619"/>
        <w:spacing w:after="0" w:line="266" w:lineRule="auto"/>
        <w:rPr>
          <w:sz w:val="20"/>
          <w:szCs w:val="20"/>
          <w:color w:val="auto"/>
        </w:rPr>
      </w:pPr>
      <w:r>
        <w:rPr>
          <w:rFonts w:ascii="Arial" w:cs="Arial" w:eastAsia="Arial" w:hAnsi="Arial"/>
          <w:sz w:val="12"/>
          <w:szCs w:val="12"/>
          <w:color w:val="auto"/>
        </w:rPr>
        <w:t>The condensed consolidated financial statements and related disclosures have been prepared in conformity with accounting principles generally accepted in the United States of America (“GAAP”). The condensed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loss included in determining net loss was not material for the periods presented.</w:t>
      </w:r>
    </w:p>
    <w:p>
      <w:pPr>
        <w:spacing w:after="0" w:line="1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Unaudited Interim Financial Information</w:t>
      </w:r>
    </w:p>
    <w:p>
      <w:pPr>
        <w:spacing w:after="0" w:line="34" w:lineRule="exact"/>
        <w:rPr>
          <w:sz w:val="20"/>
          <w:szCs w:val="20"/>
          <w:color w:val="auto"/>
        </w:rPr>
      </w:pPr>
    </w:p>
    <w:p>
      <w:pPr>
        <w:ind w:left="1560" w:right="1879"/>
        <w:spacing w:after="0" w:line="291" w:lineRule="auto"/>
        <w:rPr>
          <w:sz w:val="20"/>
          <w:szCs w:val="20"/>
          <w:color w:val="auto"/>
        </w:rPr>
      </w:pPr>
      <w:r>
        <w:rPr>
          <w:rFonts w:ascii="Arial" w:cs="Arial" w:eastAsia="Arial" w:hAnsi="Arial"/>
          <w:sz w:val="12"/>
          <w:szCs w:val="12"/>
          <w:color w:val="auto"/>
        </w:rPr>
        <w:t>The condensed consolidated balance sheet as of December 31, 2021 was derived from the Company’s audited consolidated financial statements, but does not include all disclosures required by GAAP.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5" w:name="page286"/>
    <w:bookmarkEnd w:id="28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1579"/>
        <w:spacing w:after="0" w:line="271" w:lineRule="auto"/>
        <w:rPr>
          <w:sz w:val="20"/>
          <w:szCs w:val="20"/>
          <w:color w:val="auto"/>
        </w:rPr>
      </w:pPr>
      <w:r>
        <w:rPr>
          <w:rFonts w:ascii="Arial" w:cs="Arial" w:eastAsia="Arial" w:hAnsi="Arial"/>
          <w:sz w:val="12"/>
          <w:szCs w:val="12"/>
          <w:color w:val="auto"/>
        </w:rPr>
        <w:t>accompanying unaudited interim condensed consolidated financial statements as of September 30, 2022 and for the nine months ended September 30, 2021 and 2022, have been prepared by the Company, pursuant to the rules and regulations of the Securities and Exchange Commission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Accordingly, these unaudited interim condensed consolidated financial statements should be read in conjunction with the audited financial statements as of and for the year ended December 31, 2021 and notes thereto included elsewhere in this prospectus. In the opinion of management, all adjustments, consisting only of normal recurring adjustments necessary for a fair statement of the Company’s condensed consolidated financial position as of September 30, 2022 and condensed consolidated results of operations, condensed consolidated statements of redeemable convertible preferred shares, redeemable noncontrolling interest and shareholders’ deficit and condensed consolidated cash flows for the nine months ended September 30, 2021 and 2022 have been made. The results of operations for the nine months ended September 30, 2022 are not necessarily indicative of the results of operations that may be expected for the year ending December 31, 2022.​</w:t>
      </w:r>
    </w:p>
    <w:p>
      <w:pPr>
        <w:spacing w:after="0" w:line="3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44" w:lineRule="exact"/>
        <w:rPr>
          <w:sz w:val="20"/>
          <w:szCs w:val="20"/>
          <w:color w:val="auto"/>
        </w:rPr>
      </w:pPr>
    </w:p>
    <w:p>
      <w:pPr>
        <w:ind w:left="1560" w:right="1659"/>
        <w:spacing w:after="0" w:line="275" w:lineRule="auto"/>
        <w:rPr>
          <w:sz w:val="20"/>
          <w:szCs w:val="20"/>
          <w:color w:val="auto"/>
        </w:rPr>
      </w:pPr>
      <w:r>
        <w:rPr>
          <w:rFonts w:ascii="Arial" w:cs="Arial" w:eastAsia="Arial" w:hAnsi="Arial"/>
          <w:sz w:val="12"/>
          <w:szCs w:val="12"/>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Series B-1 redeemable convertible preferred shares valuation, ordinary share valuation and related share-based compensation and certain other accrued liabilities. Actual results could differ from those estimates.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44" w:lineRule="exact"/>
        <w:rPr>
          <w:sz w:val="20"/>
          <w:szCs w:val="20"/>
          <w:color w:val="auto"/>
        </w:rPr>
      </w:pPr>
    </w:p>
    <w:p>
      <w:pPr>
        <w:ind w:left="1560" w:right="1579"/>
        <w:spacing w:after="0" w:line="274" w:lineRule="auto"/>
        <w:rPr>
          <w:sz w:val="20"/>
          <w:szCs w:val="20"/>
          <w:color w:val="auto"/>
        </w:rPr>
      </w:pPr>
      <w:r>
        <w:rPr>
          <w:rFonts w:ascii="Arial" w:cs="Arial" w:eastAsia="Arial" w:hAnsi="Arial"/>
          <w:sz w:val="12"/>
          <w:szCs w:val="12"/>
          <w:color w:val="auto"/>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short-term investments by placing them with banks and institutions it believes are highly creditworthy and in highly rated investments.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44" w:lineRule="exact"/>
        <w:rPr>
          <w:sz w:val="20"/>
          <w:szCs w:val="20"/>
          <w:color w:val="auto"/>
        </w:rPr>
      </w:pPr>
    </w:p>
    <w:p>
      <w:pPr>
        <w:ind w:left="1560" w:right="1579"/>
        <w:spacing w:after="0" w:line="275" w:lineRule="auto"/>
        <w:rPr>
          <w:sz w:val="20"/>
          <w:szCs w:val="20"/>
          <w:color w:val="auto"/>
        </w:rPr>
      </w:pPr>
      <w:r>
        <w:rPr>
          <w:rFonts w:ascii="Arial" w:cs="Arial" w:eastAsia="Arial" w:hAnsi="Arial"/>
          <w:sz w:val="12"/>
          <w:szCs w:val="12"/>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spacing w:after="0" w:line="228" w:lineRule="exact"/>
        <w:rPr>
          <w:sz w:val="20"/>
          <w:szCs w:val="20"/>
          <w:color w:val="auto"/>
        </w:rPr>
      </w:pPr>
    </w:p>
    <w:p>
      <w:pPr>
        <w:ind w:left="1560" w:right="1659"/>
        <w:spacing w:after="0" w:line="275" w:lineRule="auto"/>
        <w:rPr>
          <w:sz w:val="20"/>
          <w:szCs w:val="20"/>
          <w:color w:val="auto"/>
        </w:rPr>
      </w:pPr>
      <w:r>
        <w:rPr>
          <w:rFonts w:ascii="Arial" w:cs="Arial" w:eastAsia="Arial" w:hAnsi="Arial"/>
          <w:sz w:val="12"/>
          <w:szCs w:val="12"/>
          <w:color w:val="auto"/>
        </w:rPr>
        <w:t>The Company’s product candidates are still in development and, to date, none of the Company’s product candidates have been approved for sale and, therefore, the Company has not generated any revenue from any of its products.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6" w:name="page287"/>
    <w:bookmarkEnd w:id="286"/>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1599"/>
        <w:spacing w:after="0" w:line="324" w:lineRule="auto"/>
        <w:rPr>
          <w:sz w:val="20"/>
          <w:szCs w:val="20"/>
          <w:color w:val="auto"/>
        </w:rPr>
      </w:pPr>
      <w:r>
        <w:rPr>
          <w:rFonts w:ascii="Arial" w:cs="Arial" w:eastAsia="Arial" w:hAnsi="Arial"/>
          <w:sz w:val="12"/>
          <w:szCs w:val="12"/>
          <w:color w:val="auto"/>
        </w:rPr>
        <w:t>when, if ever, the Company will generate any revenue from any of its products. The Company operates in an environment of rapid change in technology and substantial competition from other pharmaceutical and biotechnology companies.​</w:t>
      </w:r>
    </w:p>
    <w:p>
      <w:pPr>
        <w:spacing w:after="0" w:line="31" w:lineRule="exact"/>
        <w:rPr>
          <w:sz w:val="20"/>
          <w:szCs w:val="20"/>
          <w:color w:val="auto"/>
        </w:rPr>
      </w:pPr>
    </w:p>
    <w:p>
      <w:pPr>
        <w:ind w:left="1560" w:right="1679"/>
        <w:spacing w:after="0" w:line="305" w:lineRule="auto"/>
        <w:rPr>
          <w:sz w:val="20"/>
          <w:szCs w:val="20"/>
          <w:color w:val="auto"/>
        </w:rPr>
      </w:pPr>
      <w:r>
        <w:rPr>
          <w:rFonts w:ascii="Arial" w:cs="Arial" w:eastAsia="Arial" w:hAnsi="Arial"/>
          <w:sz w:val="12"/>
          <w:szCs w:val="12"/>
          <w:color w:val="auto"/>
        </w:rPr>
        <w:t>The Company relies and expects to continue to rely on a small number of vendors to manufacture supplies and materials for its use in the clinical trial programs. These programs could be adversely affected by a significant interruption in these manufacturing services.</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Recently Adopted Accounting Pronouncements</w:t>
      </w:r>
    </w:p>
    <w:p>
      <w:pPr>
        <w:spacing w:after="0" w:line="82" w:lineRule="exact"/>
        <w:rPr>
          <w:sz w:val="20"/>
          <w:szCs w:val="20"/>
          <w:color w:val="auto"/>
        </w:rPr>
      </w:pPr>
    </w:p>
    <w:p>
      <w:pPr>
        <w:ind w:left="1560" w:right="1659"/>
        <w:spacing w:after="0" w:line="284" w:lineRule="auto"/>
        <w:rPr>
          <w:sz w:val="20"/>
          <w:szCs w:val="20"/>
          <w:color w:val="auto"/>
        </w:rPr>
      </w:pPr>
      <w:r>
        <w:rPr>
          <w:rFonts w:ascii="Arial" w:cs="Arial" w:eastAsia="Arial" w:hAnsi="Arial"/>
          <w:sz w:val="12"/>
          <w:szCs w:val="12"/>
          <w:color w:val="auto"/>
        </w:rPr>
        <w:t xml:space="preserve">In December 2019, the Financial Accounting Standards Board (“FASB”) issued Account Standards Update (“ASU”) No. 2019-12, </w:t>
      </w:r>
      <w:r>
        <w:rPr>
          <w:rFonts w:ascii="Arial" w:cs="Arial" w:eastAsia="Arial" w:hAnsi="Arial"/>
          <w:sz w:val="12"/>
          <w:szCs w:val="12"/>
          <w:i w:val="1"/>
          <w:iCs w:val="1"/>
          <w:color w:val="auto"/>
        </w:rPr>
        <w:t>Income Taxes (Topic 740)—Simplifying the Accounting for Income Taxes</w:t>
      </w:r>
      <w:r>
        <w:rPr>
          <w:rFonts w:ascii="Arial" w:cs="Arial" w:eastAsia="Arial" w:hAnsi="Arial"/>
          <w:sz w:val="12"/>
          <w:szCs w:val="12"/>
          <w:color w:val="auto"/>
        </w:rPr>
        <w:t>, which simplify various aspects related to the accounting for income taxes. This ASU removes exceptions to the general principles in Topic 740 related to the approach for intraperiod tax allocation, the methodology for calculating income taxes in an interim period and the recognition of deferred tax liabilities for outside basis differences. For the Company, the amendments are effective for fiscal year beginning January 1, 2022, and interim periods within fiscal years beginning January 1, 2023. The Company will present the impact of the new guidance in its annual statement as of December 31, 2022 and interim statements thereafter. The Company does not believe the adoption of this ASU will have a material impact on the Company’s consolidated statements of operations. The Company will continue to evaluate its assessment through the year ending December 31, 2022.</w:t>
      </w:r>
    </w:p>
    <w:p>
      <w:pPr>
        <w:spacing w:after="0" w:line="24"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Accounting Pronouncements Not Yet Adopted</w:t>
      </w:r>
    </w:p>
    <w:p>
      <w:pPr>
        <w:spacing w:after="0" w:line="92" w:lineRule="exact"/>
        <w:rPr>
          <w:sz w:val="20"/>
          <w:szCs w:val="20"/>
          <w:color w:val="auto"/>
        </w:rPr>
      </w:pPr>
    </w:p>
    <w:p>
      <w:pPr>
        <w:ind w:left="1560" w:right="1599"/>
        <w:spacing w:after="0" w:line="270" w:lineRule="auto"/>
        <w:rPr>
          <w:sz w:val="20"/>
          <w:szCs w:val="20"/>
          <w:color w:val="auto"/>
        </w:rPr>
      </w:pPr>
      <w:r>
        <w:rPr>
          <w:rFonts w:ascii="Arial" w:cs="Arial" w:eastAsia="Arial" w:hAnsi="Arial"/>
          <w:sz w:val="12"/>
          <w:szCs w:val="12"/>
          <w:color w:val="auto"/>
        </w:rPr>
        <w:t xml:space="preserve">In June 2016, the FASB issued ASU No. 2016-13, </w:t>
      </w:r>
      <w:r>
        <w:rPr>
          <w:rFonts w:ascii="Arial" w:cs="Arial" w:eastAsia="Arial" w:hAnsi="Arial"/>
          <w:sz w:val="12"/>
          <w:szCs w:val="12"/>
          <w:i w:val="1"/>
          <w:iCs w:val="1"/>
          <w:color w:val="auto"/>
        </w:rPr>
        <w:t>Financial Instruments—Credit Losses (Topic 326):</w:t>
      </w:r>
      <w:r>
        <w:rPr>
          <w:rFonts w:ascii="Arial" w:cs="Arial" w:eastAsia="Arial" w:hAnsi="Arial"/>
          <w:sz w:val="12"/>
          <w:szCs w:val="12"/>
          <w:color w:val="auto"/>
        </w:rPr>
        <w:t xml:space="preserve"> </w:t>
      </w:r>
      <w:r>
        <w:rPr>
          <w:rFonts w:ascii="Arial" w:cs="Arial" w:eastAsia="Arial" w:hAnsi="Arial"/>
          <w:sz w:val="12"/>
          <w:szCs w:val="12"/>
          <w:i w:val="1"/>
          <w:iCs w:val="1"/>
          <w:color w:val="auto"/>
        </w:rPr>
        <w:t>Measurement of Credit Losses on Financial Instruments</w:t>
      </w:r>
      <w:r>
        <w:rPr>
          <w:rFonts w:ascii="Arial" w:cs="Arial" w:eastAsia="Arial" w:hAnsi="Arial"/>
          <w:sz w:val="12"/>
          <w:szCs w:val="12"/>
          <w:color w:val="auto"/>
        </w:rPr>
        <w:t>, which requires the measurement and recognition</w:t>
      </w:r>
      <w:r>
        <w:rPr>
          <w:rFonts w:ascii="Arial" w:cs="Arial" w:eastAsia="Arial" w:hAnsi="Arial"/>
          <w:sz w:val="12"/>
          <w:szCs w:val="12"/>
          <w:i w:val="1"/>
          <w:iCs w:val="1"/>
          <w:color w:val="auto"/>
        </w:rPr>
        <w:t xml:space="preserve"> </w:t>
      </w:r>
      <w:r>
        <w:rPr>
          <w:rFonts w:ascii="Arial" w:cs="Arial" w:eastAsia="Arial" w:hAnsi="Arial"/>
          <w:sz w:val="12"/>
          <w:szCs w:val="12"/>
          <w:color w:val="auto"/>
        </w:rPr>
        <w:t>of expected credit losses for financial assets held at amortized cost. This ASU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The amendments in this update are effective for the Company for fiscal years beginning after December 15, 2022, including interim periods within those</w:t>
      </w:r>
    </w:p>
    <w:p>
      <w:pPr>
        <w:spacing w:after="0" w:line="2" w:lineRule="exact"/>
        <w:rPr>
          <w:sz w:val="20"/>
          <w:szCs w:val="20"/>
          <w:color w:val="auto"/>
        </w:rPr>
      </w:pPr>
    </w:p>
    <w:p>
      <w:pPr>
        <w:ind w:left="1560" w:right="1999"/>
        <w:spacing w:after="0" w:line="298" w:lineRule="auto"/>
        <w:rPr>
          <w:sz w:val="20"/>
          <w:szCs w:val="20"/>
          <w:color w:val="auto"/>
        </w:rPr>
      </w:pPr>
      <w:r>
        <w:rPr>
          <w:rFonts w:ascii="Arial" w:cs="Arial" w:eastAsia="Arial" w:hAnsi="Arial"/>
          <w:sz w:val="12"/>
          <w:szCs w:val="12"/>
          <w:color w:val="auto"/>
        </w:rPr>
        <w:t>fiscal years. The Company is currently evaluating the impact the adoption of this ASU will have on its consolidated financial statements and related disclosures.</w:t>
      </w:r>
    </w:p>
    <w:p>
      <w:pPr>
        <w:spacing w:after="0" w:line="67" w:lineRule="exact"/>
        <w:rPr>
          <w:sz w:val="20"/>
          <w:szCs w:val="20"/>
          <w:color w:val="auto"/>
        </w:rPr>
      </w:pPr>
    </w:p>
    <w:p>
      <w:pPr>
        <w:ind w:left="1560" w:right="2919"/>
        <w:spacing w:after="0" w:line="476" w:lineRule="auto"/>
        <w:rPr>
          <w:sz w:val="20"/>
          <w:szCs w:val="20"/>
          <w:color w:val="auto"/>
        </w:rPr>
      </w:pPr>
      <w:r>
        <w:rPr>
          <w:rFonts w:ascii="Arial" w:cs="Arial" w:eastAsia="Arial" w:hAnsi="Arial"/>
          <w:sz w:val="12"/>
          <w:szCs w:val="12"/>
          <w:b w:val="1"/>
          <w:bCs w:val="1"/>
          <w:color w:val="auto"/>
        </w:rPr>
        <w:t xml:space="preserve">3. Composition of Certain Consolidated Financial Statement Line Items </w:t>
      </w:r>
      <w:r>
        <w:rPr>
          <w:rFonts w:ascii="Arial" w:cs="Arial" w:eastAsia="Arial" w:hAnsi="Arial"/>
          <w:sz w:val="12"/>
          <w:szCs w:val="12"/>
          <w:color w:val="auto"/>
        </w:rPr>
        <w:t>Property and equipment,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635</wp:posOffset>
            </wp:positionV>
            <wp:extent cx="3733165"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19"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2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5"/>
          </w:tcPr>
          <w:p>
            <w:pPr>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rPr>
              <w:t>SEPTEMBER 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2880" w:type="dxa"/>
            <w:vAlign w:val="bottom"/>
          </w:tcPr>
          <w:p>
            <w:pPr>
              <w:spacing w:after="0"/>
              <w:rPr>
                <w:sz w:val="20"/>
                <w:szCs w:val="20"/>
                <w:color w:val="auto"/>
              </w:rPr>
            </w:pPr>
            <w:r>
              <w:rPr>
                <w:rFonts w:ascii="Arial" w:cs="Arial" w:eastAsia="Arial" w:hAnsi="Arial"/>
                <w:sz w:val="10"/>
                <w:szCs w:val="10"/>
                <w:b w:val="1"/>
                <w:bCs w:val="1"/>
                <w:color w:val="auto"/>
              </w:rPr>
              <w:t>​</w:t>
            </w:r>
          </w:p>
        </w:tc>
        <w:tc>
          <w:tcPr>
            <w:tcW w:w="1100" w:type="dxa"/>
            <w:vAlign w:val="bottom"/>
          </w:tcPr>
          <w:p>
            <w:pPr>
              <w:ind w:left="1000"/>
              <w:spacing w:after="0"/>
              <w:rPr>
                <w:sz w:val="20"/>
                <w:szCs w:val="20"/>
                <w:color w:val="auto"/>
              </w:rPr>
            </w:pPr>
            <w:r>
              <w:rPr>
                <w:rFonts w:ascii="Arial" w:cs="Arial" w:eastAsia="Arial" w:hAnsi="Arial"/>
                <w:sz w:val="10"/>
                <w:szCs w:val="10"/>
                <w:b w:val="1"/>
                <w:bCs w:val="1"/>
                <w:color w:val="auto"/>
              </w:rPr>
              <w:t>​ ​</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00"/>
              <w:spacing w:after="0"/>
              <w:rPr>
                <w:sz w:val="20"/>
                <w:szCs w:val="20"/>
                <w:color w:val="auto"/>
              </w:rPr>
            </w:pPr>
            <w:r>
              <w:rPr>
                <w:rFonts w:ascii="Arial" w:cs="Arial" w:eastAsia="Arial" w:hAnsi="Arial"/>
                <w:sz w:val="10"/>
                <w:szCs w:val="10"/>
                <w:b w:val="1"/>
                <w:bCs w:val="1"/>
                <w:color w:val="auto"/>
                <w:w w:val="98"/>
              </w:rPr>
              <w:t>2021</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w w:val="98"/>
              </w:rPr>
              <w:t>2022</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64"/>
        </w:trPr>
        <w:tc>
          <w:tcPr>
            <w:tcW w:w="2880" w:type="dxa"/>
            <w:vAlign w:val="bottom"/>
          </w:tcPr>
          <w:p>
            <w:pPr>
              <w:spacing w:after="0"/>
              <w:rPr>
                <w:sz w:val="20"/>
                <w:szCs w:val="20"/>
                <w:color w:val="auto"/>
              </w:rPr>
            </w:pPr>
            <w:r>
              <w:rPr>
                <w:rFonts w:ascii="Arial" w:cs="Arial" w:eastAsia="Arial" w:hAnsi="Arial"/>
                <w:sz w:val="12"/>
                <w:szCs w:val="12"/>
                <w:color w:val="auto"/>
              </w:rPr>
              <w:t>Laboratory equipment</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1,015</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1,027</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880" w:type="dxa"/>
            <w:vAlign w:val="bottom"/>
          </w:tcPr>
          <w:p>
            <w:pPr>
              <w:spacing w:after="0"/>
              <w:rPr>
                <w:sz w:val="20"/>
                <w:szCs w:val="20"/>
                <w:color w:val="auto"/>
              </w:rPr>
            </w:pPr>
            <w:r>
              <w:rPr>
                <w:rFonts w:ascii="Arial" w:cs="Arial" w:eastAsia="Arial" w:hAnsi="Arial"/>
                <w:sz w:val="12"/>
                <w:szCs w:val="12"/>
                <w:color w:val="auto"/>
              </w:rPr>
              <w:t>Furniture and fixtures</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115</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2880" w:type="dxa"/>
            <w:vAlign w:val="bottom"/>
          </w:tcPr>
          <w:p>
            <w:pPr>
              <w:spacing w:after="0"/>
              <w:rPr>
                <w:sz w:val="20"/>
                <w:szCs w:val="20"/>
                <w:color w:val="auto"/>
              </w:rPr>
            </w:pPr>
            <w:r>
              <w:rPr>
                <w:rFonts w:ascii="Arial" w:cs="Arial" w:eastAsia="Arial" w:hAnsi="Arial"/>
                <w:sz w:val="12"/>
                <w:szCs w:val="12"/>
                <w:color w:val="auto"/>
              </w:rPr>
              <w:t>Computer equipment and software</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42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58</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2880" w:type="dxa"/>
            <w:vAlign w:val="bottom"/>
          </w:tcPr>
          <w:p>
            <w:pPr>
              <w:spacing w:after="0"/>
              <w:rPr>
                <w:sz w:val="20"/>
                <w:szCs w:val="20"/>
                <w:color w:val="auto"/>
              </w:rPr>
            </w:pPr>
            <w:r>
              <w:rPr>
                <w:rFonts w:ascii="Arial" w:cs="Arial" w:eastAsia="Arial" w:hAnsi="Arial"/>
                <w:sz w:val="12"/>
                <w:szCs w:val="12"/>
                <w:color w:val="auto"/>
              </w:rPr>
              <w:t>Leasehold improvements</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109</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880" w:type="dxa"/>
            <w:vAlign w:val="bottom"/>
          </w:tcPr>
          <w:p>
            <w:pPr>
              <w:spacing w:after="0"/>
              <w:rPr>
                <w:sz w:val="20"/>
                <w:szCs w:val="20"/>
                <w:color w:val="auto"/>
              </w:rPr>
            </w:pPr>
            <w:r>
              <w:rPr>
                <w:rFonts w:ascii="Arial" w:cs="Arial" w:eastAsia="Arial" w:hAnsi="Arial"/>
                <w:sz w:val="12"/>
                <w:szCs w:val="12"/>
                <w:color w:val="auto"/>
              </w:rPr>
              <w:t>​</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1,257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1,309</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288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(72)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(277)</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88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260" w:type="dxa"/>
            <w:vAlign w:val="bottom"/>
            <w:gridSpan w:val="2"/>
          </w:tcPr>
          <w:p>
            <w:pPr>
              <w:ind w:left="14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4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1,185</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2"/>
          </w:tcPr>
          <w:p>
            <w:pPr>
              <w:ind w:left="16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1,032</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77"/>
        </w:trPr>
        <w:tc>
          <w:tcPr>
            <w:tcW w:w="2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-680720</wp:posOffset>
            </wp:positionV>
            <wp:extent cx="3733165" cy="1168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3733165" cy="135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733165" cy="135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-914400</wp:posOffset>
            </wp:positionV>
            <wp:extent cx="3733165" cy="1168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80" w:lineRule="exact"/>
        <w:rPr>
          <w:sz w:val="20"/>
          <w:szCs w:val="20"/>
          <w:color w:val="auto"/>
        </w:rPr>
      </w:pPr>
    </w:p>
    <w:p>
      <w:pPr>
        <w:ind w:left="1560" w:right="1939"/>
        <w:spacing w:after="0" w:line="308" w:lineRule="auto"/>
        <w:rPr>
          <w:sz w:val="20"/>
          <w:szCs w:val="20"/>
          <w:color w:val="auto"/>
        </w:rPr>
      </w:pPr>
      <w:r>
        <w:rPr>
          <w:rFonts w:ascii="Arial" w:cs="Arial" w:eastAsia="Arial" w:hAnsi="Arial"/>
          <w:sz w:val="12"/>
          <w:szCs w:val="12"/>
          <w:color w:val="auto"/>
        </w:rPr>
        <w:t>As of December 31, 2021 and September 30, 2022, non-current assets consisted primarily of deferred offering costs.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7" w:name="page288"/>
    <w:bookmarkEnd w:id="287"/>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11"/>
                <w:szCs w:val="11"/>
                <w:color w:val="auto"/>
              </w:rPr>
            </w:pPr>
          </w:p>
        </w:tc>
        <w:tc>
          <w:tcPr>
            <w:tcW w:w="900" w:type="dxa"/>
            <w:vAlign w:val="bottom"/>
            <w:gridSpan w:val="6"/>
          </w:tcPr>
          <w:p>
            <w:pPr>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11"/>
                <w:szCs w:val="11"/>
                <w:color w:val="auto"/>
              </w:rPr>
            </w:pPr>
          </w:p>
        </w:tc>
      </w:tr>
      <w:tr>
        <w:trPr>
          <w:trHeight w:val="152"/>
        </w:trPr>
        <w:tc>
          <w:tcPr>
            <w:tcW w:w="3880" w:type="dxa"/>
            <w:vAlign w:val="bottom"/>
          </w:tcPr>
          <w:p>
            <w:pPr>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rPr>
              <w:t>​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jc w:val="right"/>
              <w:ind w:right="80"/>
              <w:spacing w:after="0"/>
              <w:rPr>
                <w:sz w:val="20"/>
                <w:szCs w:val="20"/>
                <w:color w:val="auto"/>
              </w:rPr>
            </w:pPr>
            <w:r>
              <w:rPr>
                <w:rFonts w:ascii="Arial" w:cs="Arial" w:eastAsia="Arial" w:hAnsi="Arial"/>
                <w:sz w:val="10"/>
                <w:szCs w:val="10"/>
                <w:b w:val="1"/>
                <w:bCs w:val="1"/>
                <w:color w:val="auto"/>
              </w:rPr>
              <w:t>2021</w:t>
            </w:r>
          </w:p>
        </w:tc>
        <w:tc>
          <w:tcPr>
            <w:tcW w:w="1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ind w:right="80"/>
              <w:spacing w:after="0"/>
              <w:rPr>
                <w:sz w:val="20"/>
                <w:szCs w:val="20"/>
                <w:color w:val="auto"/>
              </w:rPr>
            </w:pPr>
            <w:r>
              <w:rPr>
                <w:rFonts w:ascii="Arial" w:cs="Arial" w:eastAsia="Arial" w:hAnsi="Arial"/>
                <w:sz w:val="10"/>
                <w:szCs w:val="10"/>
                <w:b w:val="1"/>
                <w:bCs w:val="1"/>
                <w:color w:val="auto"/>
                <w:w w:val="98"/>
              </w:rPr>
              <w:t>2022</w:t>
            </w:r>
          </w:p>
        </w:tc>
        <w:tc>
          <w:tcPr>
            <w:tcW w:w="2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8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880" w:type="dxa"/>
            <w:vAlign w:val="bottom"/>
          </w:tcPr>
          <w:p>
            <w:pPr>
              <w:spacing w:after="0"/>
              <w:rPr>
                <w:sz w:val="20"/>
                <w:szCs w:val="20"/>
                <w:color w:val="auto"/>
              </w:rPr>
            </w:pPr>
            <w:r>
              <w:rPr>
                <w:rFonts w:ascii="Arial" w:cs="Arial" w:eastAsia="Arial" w:hAnsi="Arial"/>
                <w:sz w:val="12"/>
                <w:szCs w:val="12"/>
                <w:color w:val="auto"/>
              </w:rPr>
              <w:t>Accrued compensation</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1,943</w:t>
            </w:r>
          </w:p>
        </w:tc>
        <w:tc>
          <w:tcPr>
            <w:tcW w:w="140" w:type="dxa"/>
            <w:vAlign w:val="bottom"/>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2,757</w:t>
            </w:r>
          </w:p>
        </w:tc>
        <w:tc>
          <w:tcPr>
            <w:tcW w:w="20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880" w:type="dxa"/>
            <w:vAlign w:val="bottom"/>
          </w:tcPr>
          <w:p>
            <w:pPr>
              <w:spacing w:after="0"/>
              <w:rPr>
                <w:sz w:val="20"/>
                <w:szCs w:val="20"/>
                <w:color w:val="auto"/>
              </w:rPr>
            </w:pPr>
            <w:r>
              <w:rPr>
                <w:rFonts w:ascii="Arial" w:cs="Arial" w:eastAsia="Arial" w:hAnsi="Arial"/>
                <w:sz w:val="12"/>
                <w:szCs w:val="12"/>
                <w:color w:val="auto"/>
              </w:rPr>
              <w:t>Accrued research and development expenses</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2,421</w:t>
            </w:r>
          </w:p>
        </w:tc>
        <w:tc>
          <w:tcPr>
            <w:tcW w:w="140" w:type="dxa"/>
            <w:vAlign w:val="bottom"/>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3"/>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2,655</w:t>
            </w:r>
          </w:p>
        </w:tc>
        <w:tc>
          <w:tcPr>
            <w:tcW w:w="20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880" w:type="dxa"/>
            <w:vAlign w:val="bottom"/>
          </w:tcPr>
          <w:p>
            <w:pPr>
              <w:spacing w:after="0"/>
              <w:rPr>
                <w:sz w:val="20"/>
                <w:szCs w:val="20"/>
                <w:color w:val="auto"/>
              </w:rPr>
            </w:pPr>
            <w:r>
              <w:rPr>
                <w:rFonts w:ascii="Arial" w:cs="Arial" w:eastAsia="Arial" w:hAnsi="Arial"/>
                <w:sz w:val="12"/>
                <w:szCs w:val="12"/>
                <w:color w:val="auto"/>
              </w:rPr>
              <w:t>Accrued professional services</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159</w:t>
            </w:r>
          </w:p>
        </w:tc>
        <w:tc>
          <w:tcPr>
            <w:tcW w:w="140" w:type="dxa"/>
            <w:vAlign w:val="bottom"/>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3"/>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492</w:t>
            </w:r>
          </w:p>
        </w:tc>
        <w:tc>
          <w:tcPr>
            <w:tcW w:w="20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880" w:type="dxa"/>
            <w:vAlign w:val="bottom"/>
          </w:tcPr>
          <w:p>
            <w:pPr>
              <w:spacing w:after="0"/>
              <w:rPr>
                <w:sz w:val="20"/>
                <w:szCs w:val="20"/>
                <w:color w:val="auto"/>
              </w:rPr>
            </w:pPr>
            <w:r>
              <w:rPr>
                <w:rFonts w:ascii="Arial" w:cs="Arial" w:eastAsia="Arial" w:hAnsi="Arial"/>
                <w:sz w:val="12"/>
                <w:szCs w:val="12"/>
                <w:color w:val="auto"/>
              </w:rPr>
              <w:t>Income tax payable</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231</w:t>
            </w:r>
          </w:p>
        </w:tc>
        <w:tc>
          <w:tcPr>
            <w:tcW w:w="140" w:type="dxa"/>
            <w:vAlign w:val="bottom"/>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3"/>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147</w:t>
            </w:r>
          </w:p>
        </w:tc>
        <w:tc>
          <w:tcPr>
            <w:tcW w:w="20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Accrued other liabilities</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71</w:t>
            </w:r>
          </w:p>
        </w:tc>
        <w:tc>
          <w:tcPr>
            <w:tcW w:w="140" w:type="dxa"/>
            <w:vAlign w:val="bottom"/>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3"/>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145</w:t>
            </w:r>
          </w:p>
        </w:tc>
        <w:tc>
          <w:tcPr>
            <w:tcW w:w="20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3880" w:type="dxa"/>
            <w:vAlign w:val="bottom"/>
          </w:tcPr>
          <w:p>
            <w:pPr>
              <w:spacing w:after="0"/>
              <w:rPr>
                <w:sz w:val="20"/>
                <w:szCs w:val="20"/>
                <w:color w:val="auto"/>
              </w:rPr>
            </w:pPr>
            <w:r>
              <w:rPr>
                <w:rFonts w:ascii="Arial" w:cs="Arial" w:eastAsia="Arial" w:hAnsi="Arial"/>
                <w:sz w:val="12"/>
                <w:szCs w:val="12"/>
                <w:color w:val="auto"/>
              </w:rPr>
              <w:t>Total accrued expenses and other current liabilities</w:t>
            </w:r>
          </w:p>
        </w:tc>
        <w:tc>
          <w:tcPr>
            <w:tcW w:w="120" w:type="dxa"/>
            <w:vAlign w:val="bottom"/>
          </w:tcPr>
          <w:p>
            <w:pPr>
              <w:ind w:left="2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2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4,825</w:t>
            </w:r>
          </w:p>
        </w:tc>
        <w:tc>
          <w:tcPr>
            <w:tcW w:w="140" w:type="dxa"/>
            <w:vAlign w:val="bottom"/>
          </w:tcPr>
          <w:p>
            <w:pPr>
              <w:jc w:val="right"/>
              <w:spacing w:after="0"/>
              <w:rPr>
                <w:sz w:val="20"/>
                <w:szCs w:val="20"/>
                <w:color w:val="auto"/>
              </w:rPr>
            </w:pPr>
            <w:r>
              <w:rPr>
                <w:rFonts w:ascii="Arial" w:cs="Arial" w:eastAsia="Arial" w:hAnsi="Arial"/>
                <w:sz w:val="12"/>
                <w:szCs w:val="12"/>
                <w:color w:val="auto"/>
              </w:rPr>
              <w:t>​ ​ ​</w:t>
            </w:r>
          </w:p>
        </w:tc>
        <w:tc>
          <w:tcPr>
            <w:tcW w:w="280" w:type="dxa"/>
            <w:vAlign w:val="bottom"/>
            <w:gridSpan w:val="3"/>
          </w:tcPr>
          <w:p>
            <w:pPr>
              <w:ind w:left="16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6,196</w:t>
            </w:r>
          </w:p>
        </w:tc>
        <w:tc>
          <w:tcPr>
            <w:tcW w:w="20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
        </w:trPr>
        <w:tc>
          <w:tcPr>
            <w:tcW w:w="3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-558165</wp:posOffset>
            </wp:positionV>
            <wp:extent cx="3733165" cy="1168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-324485</wp:posOffset>
            </wp:positionV>
            <wp:extent cx="3733165" cy="1225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733165" cy="1225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-791210</wp:posOffset>
            </wp:positionV>
            <wp:extent cx="3733165" cy="1168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7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4. Fair Value Measurements</w:t>
      </w:r>
    </w:p>
    <w:p>
      <w:pPr>
        <w:spacing w:after="0" w:line="113" w:lineRule="exact"/>
        <w:rPr>
          <w:sz w:val="20"/>
          <w:szCs w:val="20"/>
          <w:color w:val="auto"/>
        </w:rPr>
      </w:pPr>
    </w:p>
    <w:p>
      <w:pPr>
        <w:jc w:val="both"/>
        <w:ind w:left="1560" w:right="1739"/>
        <w:spacing w:after="0" w:line="291" w:lineRule="auto"/>
        <w:rPr>
          <w:sz w:val="20"/>
          <w:szCs w:val="20"/>
          <w:color w:val="auto"/>
        </w:rPr>
      </w:pPr>
      <w:r>
        <w:rPr>
          <w:rFonts w:ascii="Arial" w:cs="Arial" w:eastAsia="Arial" w:hAnsi="Arial"/>
          <w:sz w:val="12"/>
          <w:szCs w:val="12"/>
          <w:color w:val="auto"/>
        </w:rPr>
        <w:t>The Company determines the fair value of financial and non-financial assets and liabilities using the fair value hierarchy which establishes three level of inputs that may be used to measure fair value, as follows:</w:t>
      </w:r>
    </w:p>
    <w:p>
      <w:pPr>
        <w:spacing w:after="0" w:line="71"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Level 1—Observable inputs, such as quoted prices in active markets for identical assets or liabilities.</w:t>
      </w:r>
    </w:p>
    <w:p>
      <w:pPr>
        <w:spacing w:after="0" w:line="113" w:lineRule="exact"/>
        <w:rPr>
          <w:sz w:val="20"/>
          <w:szCs w:val="20"/>
          <w:color w:val="auto"/>
        </w:rPr>
      </w:pPr>
    </w:p>
    <w:p>
      <w:pPr>
        <w:jc w:val="both"/>
        <w:ind w:left="1560" w:right="1739"/>
        <w:spacing w:after="0" w:line="272" w:lineRule="auto"/>
        <w:rPr>
          <w:sz w:val="20"/>
          <w:szCs w:val="20"/>
          <w:color w:val="auto"/>
        </w:rPr>
      </w:pPr>
      <w:r>
        <w:rPr>
          <w:rFonts w:ascii="Arial" w:cs="Arial" w:eastAsia="Arial" w:hAnsi="Arial"/>
          <w:sz w:val="12"/>
          <w:szCs w:val="12"/>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2" w:lineRule="exact"/>
        <w:rPr>
          <w:sz w:val="20"/>
          <w:szCs w:val="20"/>
          <w:color w:val="auto"/>
        </w:rPr>
      </w:pPr>
    </w:p>
    <w:p>
      <w:pPr>
        <w:jc w:val="both"/>
        <w:ind w:left="1560" w:right="1619"/>
        <w:spacing w:after="0" w:line="280" w:lineRule="auto"/>
        <w:rPr>
          <w:sz w:val="20"/>
          <w:szCs w:val="20"/>
          <w:color w:val="auto"/>
        </w:rPr>
      </w:pPr>
      <w:r>
        <w:rPr>
          <w:rFonts w:ascii="Arial" w:cs="Arial" w:eastAsia="Arial" w:hAnsi="Arial"/>
          <w:sz w:val="12"/>
          <w:szCs w:val="12"/>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8"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68" w:lineRule="exact"/>
        <w:rPr>
          <w:sz w:val="20"/>
          <w:szCs w:val="20"/>
          <w:color w:val="auto"/>
        </w:rPr>
      </w:pPr>
    </w:p>
    <w:p>
      <w:pPr>
        <w:ind w:left="1560" w:right="1679"/>
        <w:spacing w:after="0" w:line="271" w:lineRule="auto"/>
        <w:rPr>
          <w:sz w:val="20"/>
          <w:szCs w:val="20"/>
          <w:color w:val="auto"/>
        </w:rPr>
      </w:pPr>
      <w:r>
        <w:rPr>
          <w:rFonts w:ascii="Arial" w:cs="Arial" w:eastAsia="Arial" w:hAnsi="Arial"/>
          <w:sz w:val="12"/>
          <w:szCs w:val="12"/>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73" w:lineRule="exact"/>
        <w:rPr>
          <w:sz w:val="20"/>
          <w:szCs w:val="20"/>
          <w:color w:val="auto"/>
        </w:rPr>
      </w:pPr>
    </w:p>
    <w:p>
      <w:pPr>
        <w:ind w:left="1560" w:right="1719"/>
        <w:spacing w:after="0" w:line="272" w:lineRule="auto"/>
        <w:rPr>
          <w:sz w:val="20"/>
          <w:szCs w:val="20"/>
          <w:color w:val="auto"/>
        </w:rPr>
      </w:pPr>
      <w:r>
        <w:rPr>
          <w:rFonts w:ascii="Arial" w:cs="Arial" w:eastAsia="Arial" w:hAnsi="Arial"/>
          <w:sz w:val="12"/>
          <w:szCs w:val="12"/>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74930</wp:posOffset>
            </wp:positionV>
            <wp:extent cx="373316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6"/>
          </w:tcPr>
          <w:p>
            <w:pPr>
              <w:jc w:val="right"/>
              <w:ind w:right="19"/>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right"/>
              <w:ind w:right="19"/>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0"/>
                <w:szCs w:val="10"/>
                <w:b w:val="1"/>
                <w:bCs w:val="1"/>
                <w:color w:val="auto"/>
              </w:rPr>
              <w:t>​</w:t>
            </w:r>
          </w:p>
        </w:tc>
        <w:tc>
          <w:tcPr>
            <w:tcW w:w="28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3"/>
          </w:tcPr>
          <w:p>
            <w:pPr>
              <w:jc w:val="right"/>
              <w:ind w:right="75"/>
              <w:spacing w:after="0"/>
              <w:rPr>
                <w:sz w:val="20"/>
                <w:szCs w:val="20"/>
                <w:color w:val="auto"/>
              </w:rPr>
            </w:pPr>
            <w:r>
              <w:rPr>
                <w:rFonts w:ascii="Arial" w:cs="Arial" w:eastAsia="Arial" w:hAnsi="Arial"/>
                <w:sz w:val="10"/>
                <w:szCs w:val="10"/>
                <w:b w:val="1"/>
                <w:bCs w:val="1"/>
                <w:color w:val="auto"/>
              </w:rPr>
              <w:t>2021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gridSpan w:val="2"/>
          </w:tcPr>
          <w:p>
            <w:pPr>
              <w:jc w:val="right"/>
              <w:ind w:right="159"/>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3"/>
          </w:tcPr>
          <w:p>
            <w:pPr>
              <w:jc w:val="right"/>
              <w:ind w:right="95"/>
              <w:spacing w:after="0"/>
              <w:rPr>
                <w:sz w:val="20"/>
                <w:szCs w:val="20"/>
                <w:color w:val="auto"/>
              </w:rPr>
            </w:pPr>
            <w:r>
              <w:rPr>
                <w:rFonts w:ascii="Arial" w:cs="Arial" w:eastAsia="Arial" w:hAnsi="Arial"/>
                <w:sz w:val="10"/>
                <w:szCs w:val="10"/>
                <w:b w:val="1"/>
                <w:bCs w:val="1"/>
                <w:color w:val="auto"/>
              </w:rPr>
              <w:t>2022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ind w:right="801"/>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1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10"/>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0"/>
                <w:szCs w:val="10"/>
                <w:b w:val="1"/>
                <w:bCs w:val="1"/>
                <w:color w:val="auto"/>
              </w:rPr>
              <w:t>​</w:t>
            </w:r>
          </w:p>
        </w:tc>
        <w:tc>
          <w:tcPr>
            <w:tcW w:w="5120" w:type="dxa"/>
            <w:vAlign w:val="bottom"/>
            <w:gridSpan w:val="25"/>
          </w:tcPr>
          <w:p>
            <w:pPr>
              <w:jc w:val="right"/>
              <w:ind w:right="801"/>
              <w:spacing w:after="0" w:line="135"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LEVEL 1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LEVEL 2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LEVEL 3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 TOTAL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LEVEL 1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LEVEL 2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LEVEL 3 </w:t>
            </w: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 TOTAL </w:t>
            </w:r>
            <w:r>
              <w:rPr>
                <w:rFonts w:ascii="Arial" w:cs="Arial" w:eastAsia="Arial" w:hAnsi="Arial"/>
                <w:sz w:val="15"/>
                <w:szCs w:val="15"/>
                <w:b w:val="1"/>
                <w:bCs w:val="1"/>
                <w:color w:val="auto"/>
                <w:vertAlign w:val="subscript"/>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Money market funds</w:t>
            </w: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CCEEFF"/>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000000"/>
          </w:tcPr>
          <w:p>
            <w:pPr>
              <w:spacing w:after="0" w:line="20" w:lineRule="exact"/>
              <w:rPr>
                <w:sz w:val="1"/>
                <w:szCs w:val="1"/>
                <w:color w:val="auto"/>
              </w:rPr>
            </w:pPr>
          </w:p>
        </w:tc>
        <w:tc>
          <w:tcPr>
            <w:tcW w:w="900" w:type="dxa"/>
            <w:vAlign w:val="bottom"/>
            <w:vMerge w:val="restart"/>
          </w:tcPr>
          <w:p>
            <w:pPr>
              <w:jc w:val="right"/>
              <w:ind w:right="801"/>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900" w:type="dxa"/>
            <w:vAlign w:val="bottom"/>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68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89,795​​​​$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200"/>
              <w:spacing w:after="0"/>
              <w:rPr>
                <w:sz w:val="20"/>
                <w:szCs w:val="20"/>
                <w:color w:val="auto"/>
              </w:rPr>
            </w:pPr>
            <w:r>
              <w:rPr>
                <w:rFonts w:ascii="Arial" w:cs="Arial" w:eastAsia="Arial" w:hAnsi="Arial"/>
                <w:sz w:val="11"/>
                <w:szCs w:val="11"/>
                <w:color w:val="auto"/>
                <w:w w:val="72"/>
              </w:rPr>
              <w:t>—​​​</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 —</w:t>
            </w:r>
          </w:p>
        </w:tc>
        <w:tc>
          <w:tcPr>
            <w:tcW w:w="1380" w:type="dxa"/>
            <w:vAlign w:val="bottom"/>
            <w:tcBorders>
              <w:left w:val="single" w:sz="8" w:color="CCEEFF"/>
            </w:tcBorders>
            <w:gridSpan w:val="8"/>
            <w:shd w:val="clear" w:color="auto" w:fill="CCEEFF"/>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89,795​​​​</w:t>
            </w:r>
            <w:r>
              <w:rPr>
                <w:rFonts w:ascii="Arial" w:cs="Arial" w:eastAsia="Arial" w:hAnsi="Arial"/>
                <w:sz w:val="12"/>
                <w:szCs w:val="12"/>
                <w:u w:val="single" w:color="auto"/>
                <w:color w:val="auto"/>
              </w:rPr>
              <w:t>$</w:t>
            </w:r>
            <w:r>
              <w:rPr>
                <w:rFonts w:ascii="Arial" w:cs="Arial" w:eastAsia="Arial" w:hAnsi="Arial"/>
                <w:sz w:val="12"/>
                <w:szCs w:val="12"/>
                <w:color w:val="auto"/>
              </w:rPr>
              <w:t>21,629​​​​$</w:t>
            </w:r>
          </w:p>
        </w:tc>
        <w:tc>
          <w:tcPr>
            <w:tcW w:w="2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2"/>
              </w:rPr>
              <w:t>—​​​</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 —</w:t>
            </w:r>
          </w:p>
        </w:tc>
        <w:tc>
          <w:tcPr>
            <w:tcW w:w="80" w:type="dxa"/>
            <w:vAlign w:val="bottom"/>
            <w:vMerge w:val="continue"/>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21,629</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tcPr>
          <w:p>
            <w:pPr>
              <w:spacing w:after="0"/>
              <w:rPr>
                <w:sz w:val="11"/>
                <w:szCs w:val="11"/>
                <w:color w:val="auto"/>
              </w:rPr>
            </w:pPr>
          </w:p>
        </w:tc>
        <w:tc>
          <w:tcPr>
            <w:tcW w:w="1660" w:type="dxa"/>
            <w:vAlign w:val="bottom"/>
          </w:tcPr>
          <w:p>
            <w:pPr>
              <w:ind w:left="120"/>
              <w:spacing w:after="0" w:line="135" w:lineRule="exact"/>
              <w:rPr>
                <w:sz w:val="20"/>
                <w:szCs w:val="20"/>
                <w:color w:val="auto"/>
              </w:rPr>
            </w:pPr>
            <w:r>
              <w:rPr>
                <w:rFonts w:ascii="Arial" w:cs="Arial" w:eastAsia="Arial" w:hAnsi="Arial"/>
                <w:sz w:val="12"/>
                <w:szCs w:val="12"/>
                <w:color w:val="auto"/>
              </w:rPr>
              <w:t>Cash equivalents</w:t>
            </w:r>
          </w:p>
        </w:tc>
        <w:tc>
          <w:tcPr>
            <w:tcW w:w="520" w:type="dxa"/>
            <w:vAlign w:val="bottom"/>
            <w:gridSpan w:val="3"/>
          </w:tcPr>
          <w:p>
            <w:pPr>
              <w:ind w:left="20"/>
              <w:spacing w:after="0" w:line="135" w:lineRule="exact"/>
              <w:rPr>
                <w:sz w:val="20"/>
                <w:szCs w:val="20"/>
                <w:color w:val="auto"/>
              </w:rPr>
            </w:pPr>
            <w:r>
              <w:rPr>
                <w:rFonts w:ascii="Arial" w:cs="Arial" w:eastAsia="Arial" w:hAnsi="Arial"/>
                <w:sz w:val="12"/>
                <w:szCs w:val="12"/>
                <w:color w:val="auto"/>
              </w:rPr>
              <w:t>​​​ ​89,795​​​​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ind w:right="75"/>
              <w:spacing w:after="0"/>
              <w:rPr>
                <w:sz w:val="20"/>
                <w:szCs w:val="20"/>
                <w:color w:val="auto"/>
              </w:rPr>
            </w:pPr>
            <w:r>
              <w:rPr>
                <w:rFonts w:ascii="Arial" w:cs="Arial" w:eastAsia="Arial" w:hAnsi="Arial"/>
                <w:sz w:val="1"/>
                <w:szCs w:val="1"/>
                <w:color w:val="auto"/>
                <w:w w:val="4294942296"/>
              </w:rPr>
              <w:t>​</w:t>
            </w:r>
          </w:p>
        </w:tc>
        <w:tc>
          <w:tcPr>
            <w:tcW w:w="280" w:type="dxa"/>
            <w:vAlign w:val="bottom"/>
          </w:tcPr>
          <w:p>
            <w:pPr>
              <w:jc w:val="right"/>
              <w:ind w:right="19"/>
              <w:spacing w:after="0" w:line="135" w:lineRule="exact"/>
              <w:rPr>
                <w:sz w:val="20"/>
                <w:szCs w:val="20"/>
                <w:color w:val="auto"/>
              </w:rPr>
            </w:pPr>
            <w:r>
              <w:rPr>
                <w:rFonts w:ascii="Arial" w:cs="Arial" w:eastAsia="Arial" w:hAnsi="Arial"/>
                <w:sz w:val="12"/>
                <w:szCs w:val="12"/>
                <w:color w:val="auto"/>
              </w:rPr>
              <w:t>​ —</w:t>
            </w:r>
          </w:p>
        </w:tc>
        <w:tc>
          <w:tcPr>
            <w:tcW w:w="520" w:type="dxa"/>
            <w:vAlign w:val="bottom"/>
            <w:gridSpan w:val="3"/>
          </w:tcPr>
          <w:p>
            <w:pPr>
              <w:spacing w:after="0" w:line="135" w:lineRule="exact"/>
              <w:rPr>
                <w:sz w:val="20"/>
                <w:szCs w:val="20"/>
                <w:color w:val="auto"/>
              </w:rPr>
            </w:pPr>
            <w:r>
              <w:rPr>
                <w:rFonts w:ascii="Arial" w:cs="Arial" w:eastAsia="Arial" w:hAnsi="Arial"/>
                <w:sz w:val="12"/>
                <w:szCs w:val="12"/>
                <w:color w:val="auto"/>
              </w:rPr>
              <w:t>​​​​ ​89,795​​​​</w:t>
            </w:r>
          </w:p>
        </w:tc>
        <w:tc>
          <w:tcPr>
            <w:tcW w:w="100" w:type="dxa"/>
            <w:vAlign w:val="bottom"/>
          </w:tcPr>
          <w:p>
            <w:pPr>
              <w:spacing w:after="0"/>
              <w:rPr>
                <w:sz w:val="11"/>
                <w:szCs w:val="11"/>
                <w:color w:val="auto"/>
              </w:rPr>
            </w:pP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​21,629​​​​</w:t>
            </w:r>
          </w:p>
        </w:tc>
        <w:tc>
          <w:tcPr>
            <w:tcW w:w="100" w:type="dxa"/>
            <w:vAlign w:val="bottom"/>
          </w:tcPr>
          <w:p>
            <w:pPr>
              <w:spacing w:after="0"/>
              <w:rPr>
                <w:sz w:val="11"/>
                <w:szCs w:val="11"/>
                <w:color w:val="auto"/>
              </w:rPr>
            </w:pPr>
          </w:p>
        </w:tc>
        <w:tc>
          <w:tcPr>
            <w:tcW w:w="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ind w:right="75"/>
              <w:spacing w:after="0"/>
              <w:rPr>
                <w:sz w:val="20"/>
                <w:szCs w:val="20"/>
                <w:color w:val="auto"/>
              </w:rPr>
            </w:pPr>
            <w:r>
              <w:rPr>
                <w:rFonts w:ascii="Arial" w:cs="Arial" w:eastAsia="Arial" w:hAnsi="Arial"/>
                <w:sz w:val="1"/>
                <w:szCs w:val="1"/>
                <w:color w:val="auto"/>
                <w:w w:val="4294942296"/>
              </w:rPr>
              <w:t>​</w:t>
            </w:r>
          </w:p>
        </w:tc>
        <w:tc>
          <w:tcPr>
            <w:tcW w:w="280" w:type="dxa"/>
            <w:vAlign w:val="bottom"/>
          </w:tcPr>
          <w:p>
            <w:pPr>
              <w:jc w:val="right"/>
              <w:ind w:right="19"/>
              <w:spacing w:after="0" w:line="135" w:lineRule="exact"/>
              <w:rPr>
                <w:sz w:val="20"/>
                <w:szCs w:val="20"/>
                <w:color w:val="auto"/>
              </w:rPr>
            </w:pPr>
            <w:r>
              <w:rPr>
                <w:rFonts w:ascii="Arial" w:cs="Arial" w:eastAsia="Arial" w:hAnsi="Arial"/>
                <w:sz w:val="12"/>
                <w:szCs w:val="12"/>
                <w:color w:val="auto"/>
              </w:rPr>
              <w:t>​ —</w:t>
            </w:r>
          </w:p>
        </w:tc>
        <w:tc>
          <w:tcPr>
            <w:tcW w:w="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​21,629​</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2"/>
                <w:szCs w:val="12"/>
                <w:color w:val="auto"/>
              </w:rPr>
              <w:t>U.S. government bonds</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 ​</w:t>
            </w:r>
          </w:p>
        </w:tc>
        <w:tc>
          <w:tcPr>
            <w:tcW w:w="2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 —</w:t>
            </w:r>
          </w:p>
        </w:tc>
        <w:tc>
          <w:tcPr>
            <w:tcW w:w="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1080" w:type="dxa"/>
            <w:vAlign w:val="bottom"/>
            <w:gridSpan w:val="6"/>
            <w:shd w:val="clear" w:color="auto" w:fill="CCEEFF"/>
          </w:tcPr>
          <w:p>
            <w:pPr>
              <w:jc w:val="right"/>
              <w:ind w:right="62"/>
              <w:spacing w:after="0"/>
              <w:rPr>
                <w:sz w:val="20"/>
                <w:szCs w:val="20"/>
                <w:color w:val="auto"/>
              </w:rPr>
            </w:pPr>
            <w:r>
              <w:rPr>
                <w:rFonts w:ascii="Arial" w:cs="Arial" w:eastAsia="Arial" w:hAnsi="Arial"/>
                <w:sz w:val="12"/>
                <w:szCs w:val="12"/>
                <w:color w:val="auto"/>
              </w:rPr>
              <w:t>—​​​​ ​20,228​​​​ ​</w:t>
            </w:r>
          </w:p>
        </w:tc>
        <w:tc>
          <w:tcPr>
            <w:tcW w:w="48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 ​</w:t>
            </w:r>
          </w:p>
        </w:tc>
        <w:tc>
          <w:tcPr>
            <w:tcW w:w="2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​20,228​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166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0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580" w:type="dxa"/>
            <w:vAlign w:val="bottom"/>
            <w:gridSpan w:val="4"/>
          </w:tcPr>
          <w:p>
            <w:pPr>
              <w:jc w:val="right"/>
              <w:ind w:right="75"/>
              <w:spacing w:after="0"/>
              <w:rPr>
                <w:sz w:val="20"/>
                <w:szCs w:val="20"/>
                <w:color w:val="auto"/>
              </w:rPr>
            </w:pPr>
            <w:r>
              <w:rPr>
                <w:rFonts w:ascii="Arial" w:cs="Arial" w:eastAsia="Arial" w:hAnsi="Arial"/>
                <w:sz w:val="12"/>
                <w:szCs w:val="12"/>
                <w:color w:val="auto"/>
              </w:rPr>
              <w:t>​ 2,002​​​ ​</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 —</w:t>
            </w:r>
          </w:p>
        </w:tc>
        <w:tc>
          <w:tcPr>
            <w:tcW w:w="840" w:type="dxa"/>
            <w:vAlign w:val="bottom"/>
            <w:gridSpan w:val="5"/>
          </w:tcPr>
          <w:p>
            <w:pPr>
              <w:spacing w:after="0"/>
              <w:rPr>
                <w:sz w:val="20"/>
                <w:szCs w:val="20"/>
                <w:color w:val="auto"/>
              </w:rPr>
            </w:pPr>
            <w:r>
              <w:rPr>
                <w:rFonts w:ascii="Arial" w:cs="Arial" w:eastAsia="Arial" w:hAnsi="Arial"/>
                <w:sz w:val="12"/>
                <w:szCs w:val="12"/>
                <w:color w:val="auto"/>
              </w:rPr>
              <w:t>​​​​ ​ 2,002​​​​ ​</w:t>
            </w:r>
          </w:p>
        </w:tc>
        <w:tc>
          <w:tcPr>
            <w:tcW w:w="1020" w:type="dxa"/>
            <w:vAlign w:val="bottom"/>
            <w:gridSpan w:val="6"/>
          </w:tcPr>
          <w:p>
            <w:pPr>
              <w:jc w:val="right"/>
              <w:ind w:right="75"/>
              <w:spacing w:after="0"/>
              <w:rPr>
                <w:sz w:val="20"/>
                <w:szCs w:val="20"/>
                <w:color w:val="auto"/>
              </w:rPr>
            </w:pPr>
            <w:r>
              <w:rPr>
                <w:rFonts w:ascii="Arial" w:cs="Arial" w:eastAsia="Arial" w:hAnsi="Arial"/>
                <w:sz w:val="12"/>
                <w:szCs w:val="12"/>
                <w:color w:val="auto"/>
              </w:rPr>
              <w:t>—​​​​ ​52,647​​​ ​</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 —</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 ​52,647​</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2"/>
                <w:szCs w:val="12"/>
                <w:color w:val="auto"/>
              </w:rPr>
              <w:t>U.S. government agency</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16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bonds</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 ​</w:t>
            </w:r>
          </w:p>
        </w:tc>
        <w:tc>
          <w:tcPr>
            <w:tcW w:w="54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 ​</w:t>
            </w:r>
          </w:p>
        </w:tc>
        <w:tc>
          <w:tcPr>
            <w:tcW w:w="2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 —</w:t>
            </w:r>
          </w:p>
        </w:tc>
        <w:tc>
          <w:tcPr>
            <w:tcW w:w="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 ​</w:t>
            </w:r>
          </w:p>
        </w:tc>
        <w:tc>
          <w:tcPr>
            <w:tcW w:w="1020" w:type="dxa"/>
            <w:vAlign w:val="bottom"/>
            <w:gridSpan w:val="6"/>
            <w:shd w:val="clear" w:color="auto" w:fill="CCEEFF"/>
          </w:tcPr>
          <w:p>
            <w:pPr>
              <w:jc w:val="right"/>
              <w:ind w:right="75"/>
              <w:spacing w:after="0"/>
              <w:rPr>
                <w:sz w:val="20"/>
                <w:szCs w:val="20"/>
                <w:color w:val="auto"/>
              </w:rPr>
            </w:pPr>
            <w:r>
              <w:rPr>
                <w:rFonts w:ascii="Arial" w:cs="Arial" w:eastAsia="Arial" w:hAnsi="Arial"/>
                <w:sz w:val="12"/>
                <w:szCs w:val="12"/>
                <w:color w:val="auto"/>
              </w:rPr>
              <w:t>—​​​​ ​ 1,784​​​ ​</w:t>
            </w:r>
          </w:p>
        </w:tc>
        <w:tc>
          <w:tcPr>
            <w:tcW w:w="2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 1,784</w:t>
            </w:r>
          </w:p>
        </w:tc>
        <w:tc>
          <w:tcPr>
            <w:tcW w:w="900" w:type="dxa"/>
            <w:vAlign w:val="bottom"/>
          </w:tcPr>
          <w:p>
            <w:pPr>
              <w:jc w:val="right"/>
              <w:ind w:right="8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166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2"/>
                <w:szCs w:val="12"/>
                <w:color w:val="auto"/>
              </w:rPr>
              <w:t>Short-term investments</w:t>
            </w:r>
          </w:p>
        </w:tc>
        <w:tc>
          <w:tcPr>
            <w:tcW w:w="6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 ​</w:t>
            </w:r>
          </w:p>
        </w:tc>
        <w:tc>
          <w:tcPr>
            <w:tcW w:w="2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w w:val="82"/>
              </w:rPr>
              <w:t>—</w:t>
            </w:r>
          </w:p>
        </w:tc>
        <w:tc>
          <w:tcPr>
            <w:tcW w:w="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rPr>
              <w:t>​ ​ 2,002</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
                <w:szCs w:val="1"/>
                <w:color w:val="auto"/>
                <w:w w:val="4294942296"/>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 —</w:t>
            </w:r>
          </w:p>
        </w:tc>
        <w:tc>
          <w:tcPr>
            <w:tcW w:w="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2"/>
                <w:szCs w:val="12"/>
                <w:color w:val="auto"/>
              </w:rPr>
              <w:t>​ ​ 2,002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 ​20,228</w:t>
            </w:r>
          </w:p>
        </w:tc>
        <w:tc>
          <w:tcPr>
            <w:tcW w:w="1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2"/>
                <w:szCs w:val="12"/>
                <w:color w:val="auto"/>
              </w:rPr>
              <w:t>​ ​54,431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
                <w:szCs w:val="1"/>
                <w:color w:val="auto"/>
                <w:w w:val="4294942296"/>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 —</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​74,659</w:t>
            </w:r>
          </w:p>
        </w:tc>
        <w:tc>
          <w:tcPr>
            <w:tcW w:w="900" w:type="dxa"/>
            <w:vAlign w:val="bottom"/>
          </w:tcPr>
          <w:p>
            <w:pPr>
              <w:jc w:val="right"/>
              <w:ind w:right="8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2"/>
                <w:szCs w:val="12"/>
                <w:color w:val="auto"/>
              </w:rPr>
              <w:t>Total fair value of financial</w:t>
            </w:r>
          </w:p>
        </w:tc>
        <w:tc>
          <w:tcPr>
            <w:tcW w:w="680" w:type="dxa"/>
            <w:vAlign w:val="bottom"/>
            <w:gridSpan w:val="5"/>
            <w:vMerge w:val="restart"/>
            <w:shd w:val="clear" w:color="auto" w:fill="CCEEFF"/>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89,795​​​​$</w:t>
            </w:r>
          </w:p>
        </w:tc>
        <w:tc>
          <w:tcPr>
            <w:tcW w:w="4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2,002​​​ ​$</w:t>
            </w:r>
          </w:p>
        </w:tc>
        <w:tc>
          <w:tcPr>
            <w:tcW w:w="280" w:type="dxa"/>
            <w:vAlign w:val="bottom"/>
            <w:tcBorders>
              <w:righ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860" w:type="dxa"/>
            <w:vAlign w:val="bottom"/>
            <w:tcBorders>
              <w:left w:val="single" w:sz="8" w:color="CCEEFF"/>
            </w:tcBorders>
            <w:gridSpan w:val="11"/>
            <w:vMerge w:val="restart"/>
            <w:shd w:val="clear" w:color="auto" w:fill="CCEEFF"/>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91,797​​​​</w:t>
            </w:r>
            <w:r>
              <w:rPr>
                <w:rFonts w:ascii="Arial" w:cs="Arial" w:eastAsia="Arial" w:hAnsi="Arial"/>
                <w:sz w:val="12"/>
                <w:szCs w:val="12"/>
                <w:u w:val="single" w:color="auto"/>
                <w:color w:val="auto"/>
              </w:rPr>
              <w:t>$</w:t>
            </w:r>
            <w:r>
              <w:rPr>
                <w:rFonts w:ascii="Arial" w:cs="Arial" w:eastAsia="Arial" w:hAnsi="Arial"/>
                <w:sz w:val="12"/>
                <w:szCs w:val="12"/>
                <w:color w:val="auto"/>
              </w:rPr>
              <w:t>41,857​​​​</w:t>
            </w:r>
            <w:r>
              <w:rPr>
                <w:rFonts w:ascii="Arial" w:cs="Arial" w:eastAsia="Arial" w:hAnsi="Arial"/>
                <w:sz w:val="12"/>
                <w:szCs w:val="12"/>
                <w:u w:val="single" w:color="auto"/>
                <w:color w:val="auto"/>
              </w:rPr>
              <w:t>$</w:t>
            </w:r>
            <w:r>
              <w:rPr>
                <w:rFonts w:ascii="Arial" w:cs="Arial" w:eastAsia="Arial" w:hAnsi="Arial"/>
                <w:sz w:val="12"/>
                <w:szCs w:val="12"/>
                <w:color w:val="auto"/>
              </w:rPr>
              <w:t>54,431​​​ ​$</w:t>
            </w:r>
          </w:p>
        </w:tc>
        <w:tc>
          <w:tcPr>
            <w:tcW w:w="280" w:type="dxa"/>
            <w:vAlign w:val="bottom"/>
            <w:tcBorders>
              <w:righ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96,288</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16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assets</w:t>
            </w:r>
          </w:p>
        </w:tc>
        <w:tc>
          <w:tcPr>
            <w:tcW w:w="680" w:type="dxa"/>
            <w:vAlign w:val="bottom"/>
            <w:gridSpan w:val="5"/>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gridSpan w:val="3"/>
            <w:vMerge w:val="continue"/>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1860" w:type="dxa"/>
            <w:vAlign w:val="bottom"/>
            <w:tcBorders>
              <w:left w:val="single" w:sz="8" w:color="CCEEFF"/>
            </w:tcBorders>
            <w:gridSpan w:val="11"/>
            <w:vMerge w:val="continue"/>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900" w:type="dxa"/>
            <w:vAlign w:val="bottom"/>
          </w:tcPr>
          <w:p>
            <w:pPr>
              <w:jc w:val="right"/>
              <w:ind w:right="8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1660" w:type="dxa"/>
            <w:vAlign w:val="bottom"/>
            <w:tcBorders>
              <w:top w:val="single" w:sz="8" w:color="CCEEFF"/>
              <w:bottom w:val="single" w:sz="8" w:color="auto"/>
            </w:tcBorders>
          </w:tcPr>
          <w:p>
            <w:pPr>
              <w:spacing w:after="0"/>
              <w:rPr>
                <w:sz w:val="9"/>
                <w:szCs w:val="9"/>
                <w:color w:val="auto"/>
              </w:rPr>
            </w:pPr>
          </w:p>
        </w:tc>
        <w:tc>
          <w:tcPr>
            <w:tcW w:w="60" w:type="dxa"/>
            <w:vAlign w:val="bottom"/>
            <w:tcBorders>
              <w:top w:val="single" w:sz="8" w:color="CCEEFF"/>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CCEEFF"/>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CCEEFF"/>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CCEEFF"/>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CCEEFF"/>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CCEEFF"/>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CCEEFF"/>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CCEEFF"/>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1"/>
        </w:trPr>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3"/>
          </w:tcPr>
          <w:p>
            <w:pPr>
              <w:jc w:val="right"/>
              <w:ind w:right="99"/>
              <w:spacing w:after="0"/>
              <w:rPr>
                <w:sz w:val="20"/>
                <w:szCs w:val="20"/>
                <w:color w:val="auto"/>
              </w:rPr>
            </w:pPr>
            <w:r>
              <w:rPr>
                <w:rFonts w:ascii="Arial" w:cs="Arial" w:eastAsia="Arial" w:hAnsi="Arial"/>
                <w:sz w:val="12"/>
                <w:szCs w:val="12"/>
                <w:color w:val="auto"/>
              </w:rPr>
              <w:t>F-39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-772795</wp:posOffset>
            </wp:positionV>
            <wp:extent cx="110490"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0490" cy="635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-772795</wp:posOffset>
            </wp:positionV>
            <wp:extent cx="92075"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92075" cy="635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-772795</wp:posOffset>
            </wp:positionV>
            <wp:extent cx="55245"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5245" cy="6350"/>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-772795</wp:posOffset>
            </wp:positionV>
            <wp:extent cx="55245"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5245" cy="635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-772795</wp:posOffset>
            </wp:positionV>
            <wp:extent cx="98425"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98425" cy="635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-772795</wp:posOffset>
            </wp:positionV>
            <wp:extent cx="8001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001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-772795</wp:posOffset>
            </wp:positionV>
            <wp:extent cx="1424305"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424305" cy="6350"/>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-1460500</wp:posOffset>
            </wp:positionV>
            <wp:extent cx="48895"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-1460500</wp:posOffset>
            </wp:positionV>
            <wp:extent cx="48895"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-1460500</wp:posOffset>
            </wp:positionV>
            <wp:extent cx="48895"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-1460500</wp:posOffset>
            </wp:positionV>
            <wp:extent cx="48895"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-1460500</wp:posOffset>
            </wp:positionV>
            <wp:extent cx="36830"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6830" cy="635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-1460500</wp:posOffset>
            </wp:positionV>
            <wp:extent cx="3683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683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-1460500</wp:posOffset>
            </wp:positionV>
            <wp:extent cx="1418590"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418590" cy="635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-24130</wp:posOffset>
            </wp:positionV>
            <wp:extent cx="31750"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-24130</wp:posOffset>
            </wp:positionV>
            <wp:extent cx="31750"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8" w:name="page289"/>
    <w:bookmarkEnd w:id="288"/>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107950</wp:posOffset>
            </wp:positionV>
            <wp:extent cx="3733165"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89"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7"/>
          </w:tcPr>
          <w:p>
            <w:pPr>
              <w:ind w:left="42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7"/>
          </w:tcPr>
          <w:p>
            <w:pPr>
              <w:jc w:val="center"/>
              <w:ind w:left="221"/>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ind w:right="1"/>
              <w:spacing w:after="0"/>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1800" w:type="dxa"/>
            <w:vAlign w:val="bottom"/>
          </w:tcPr>
          <w:p>
            <w:pPr>
              <w:spacing w:after="0"/>
              <w:rPr>
                <w:sz w:val="20"/>
                <w:szCs w:val="20"/>
                <w:color w:val="auto"/>
              </w:rPr>
            </w:pPr>
            <w:r>
              <w:rPr>
                <w:rFonts w:ascii="Arial" w:cs="Arial" w:eastAsia="Arial" w:hAnsi="Arial"/>
                <w:sz w:val="10"/>
                <w:szCs w:val="10"/>
                <w:b w:val="1"/>
                <w:bCs w:val="1"/>
                <w:color w:val="auto"/>
              </w:rPr>
              <w:t>​</w:t>
            </w:r>
          </w:p>
        </w:tc>
        <w:tc>
          <w:tcPr>
            <w:tcW w:w="1640" w:type="dxa"/>
            <w:vAlign w:val="bottom"/>
            <w:tcBorders>
              <w:top w:val="single" w:sz="8" w:color="auto"/>
            </w:tcBorders>
            <w:gridSpan w:val="10"/>
          </w:tcPr>
          <w:p>
            <w:pPr>
              <w:spacing w:after="0" w:line="154" w:lineRule="exact"/>
              <w:rPr>
                <w:sz w:val="20"/>
                <w:szCs w:val="20"/>
                <w:color w:val="auto"/>
              </w:rPr>
            </w:pPr>
            <w:r>
              <w:rPr>
                <w:rFonts w:ascii="Arial" w:cs="Arial" w:eastAsia="Arial" w:hAnsi="Arial"/>
                <w:sz w:val="9"/>
                <w:szCs w:val="9"/>
                <w:b w:val="1"/>
                <w:bCs w:val="1"/>
                <w:color w:val="auto"/>
              </w:rPr>
              <w:t xml:space="preserve">​AMORTIZED ​ </w:t>
            </w:r>
            <w:r>
              <w:rPr>
                <w:rFonts w:ascii="Arial" w:cs="Arial" w:eastAsia="Arial" w:hAnsi="Arial"/>
                <w:sz w:val="17"/>
                <w:szCs w:val="17"/>
                <w:b w:val="1"/>
                <w:bCs w:val="1"/>
                <w:color w:val="auto"/>
                <w:vertAlign w:val="superscript"/>
              </w:rPr>
              <w:t>UNREALIZED</w:t>
            </w:r>
            <w:r>
              <w:rPr>
                <w:rFonts w:ascii="Arial" w:cs="Arial" w:eastAsia="Arial" w:hAnsi="Arial"/>
                <w:sz w:val="9"/>
                <w:szCs w:val="9"/>
                <w:b w:val="1"/>
                <w:bCs w:val="1"/>
                <w:color w:val="auto"/>
              </w:rPr>
              <w:t xml:space="preserve"> ​</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FAIR</w:t>
            </w: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Borders>
              <w:top w:val="single" w:sz="8" w:color="auto"/>
            </w:tcBorders>
            <w:gridSpan w:val="10"/>
          </w:tcPr>
          <w:p>
            <w:pPr>
              <w:spacing w:after="0" w:line="154" w:lineRule="exact"/>
              <w:rPr>
                <w:sz w:val="20"/>
                <w:szCs w:val="20"/>
                <w:color w:val="auto"/>
              </w:rPr>
            </w:pPr>
            <w:r>
              <w:rPr>
                <w:rFonts w:ascii="Arial" w:cs="Arial" w:eastAsia="Arial" w:hAnsi="Arial"/>
                <w:sz w:val="9"/>
                <w:szCs w:val="9"/>
                <w:b w:val="1"/>
                <w:bCs w:val="1"/>
                <w:color w:val="auto"/>
              </w:rPr>
              <w:t xml:space="preserve">AMORTIZED ​ </w:t>
            </w:r>
            <w:r>
              <w:rPr>
                <w:rFonts w:ascii="Arial" w:cs="Arial" w:eastAsia="Arial" w:hAnsi="Arial"/>
                <w:sz w:val="17"/>
                <w:szCs w:val="17"/>
                <w:b w:val="1"/>
                <w:bCs w:val="1"/>
                <w:color w:val="auto"/>
                <w:vertAlign w:val="superscript"/>
              </w:rPr>
              <w:t>UNREALIZED</w:t>
            </w:r>
            <w:r>
              <w:rPr>
                <w:rFonts w:ascii="Arial" w:cs="Arial" w:eastAsia="Arial" w:hAnsi="Arial"/>
                <w:sz w:val="9"/>
                <w:szCs w:val="9"/>
                <w:b w:val="1"/>
                <w:bCs w:val="1"/>
                <w:color w:val="auto"/>
              </w:rPr>
              <w:t xml:space="preserve"> ​</w:t>
            </w:r>
          </w:p>
        </w:tc>
        <w:tc>
          <w:tcPr>
            <w:tcW w:w="400" w:type="dxa"/>
            <w:vAlign w:val="bottom"/>
            <w:tcBorders>
              <w:top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FAIR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left w:val="single" w:sz="8" w:color="auto"/>
            </w:tcBorders>
            <w:gridSpan w:val="6"/>
            <w:shd w:val="clear" w:color="auto" w:fill="000000"/>
          </w:tcPr>
          <w:p>
            <w:pPr>
              <w:spacing w:after="0" w:line="20" w:lineRule="exact"/>
              <w:rPr>
                <w:sz w:val="1"/>
                <w:szCs w:val="1"/>
                <w:color w:val="auto"/>
              </w:rPr>
            </w:pPr>
          </w:p>
        </w:tc>
        <w:tc>
          <w:tcPr>
            <w:tcW w:w="580" w:type="dxa"/>
            <w:vAlign w:val="bottom"/>
            <w:tcBorders>
              <w:left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gridSpan w:val="5"/>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00" w:type="dxa"/>
            <w:vAlign w:val="bottom"/>
          </w:tcPr>
          <w:p>
            <w:pPr>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Pr>
          <w:p>
            <w:pPr>
              <w:spacing w:after="0"/>
              <w:rPr>
                <w:sz w:val="13"/>
                <w:szCs w:val="13"/>
                <w:color w:val="auto"/>
              </w:rPr>
            </w:pPr>
          </w:p>
        </w:tc>
        <w:tc>
          <w:tcPr>
            <w:tcW w:w="540" w:type="dxa"/>
            <w:vAlign w:val="bottom"/>
          </w:tcPr>
          <w:p>
            <w:pPr>
              <w:jc w:val="right"/>
              <w:ind w:right="161"/>
              <w:spacing w:after="0"/>
              <w:rPr>
                <w:sz w:val="20"/>
                <w:szCs w:val="20"/>
                <w:color w:val="auto"/>
              </w:rPr>
            </w:pPr>
            <w:r>
              <w:rPr>
                <w:rFonts w:ascii="Arial" w:cs="Arial" w:eastAsia="Arial" w:hAnsi="Arial"/>
                <w:sz w:val="10"/>
                <w:szCs w:val="10"/>
                <w:b w:val="1"/>
                <w:bCs w:val="1"/>
                <w:color w:val="auto"/>
              </w:rPr>
              <w:t>COST</w:t>
            </w:r>
          </w:p>
        </w:tc>
        <w:tc>
          <w:tcPr>
            <w:tcW w:w="1380" w:type="dxa"/>
            <w:vAlign w:val="bottom"/>
            <w:gridSpan w:val="10"/>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LOSSES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GAINS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VALUE </w:t>
            </w:r>
            <w:r>
              <w:rPr>
                <w:rFonts w:ascii="Arial" w:cs="Arial" w:eastAsia="Arial" w:hAnsi="Arial"/>
                <w:sz w:val="17"/>
                <w:szCs w:val="17"/>
                <w:b w:val="1"/>
                <w:bCs w:val="1"/>
                <w:color w:val="auto"/>
                <w:vertAlign w:val="subscript"/>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COST</w:t>
            </w:r>
          </w:p>
        </w:tc>
        <w:tc>
          <w:tcPr>
            <w:tcW w:w="1400" w:type="dxa"/>
            <w:vAlign w:val="bottom"/>
            <w:gridSpan w:val="9"/>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LOSSES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GAINS </w:t>
            </w: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 xml:space="preserve"> VALUE </w:t>
            </w:r>
            <w:r>
              <w:rPr>
                <w:rFonts w:ascii="Arial" w:cs="Arial" w:eastAsia="Arial" w:hAnsi="Arial"/>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Money market funds</w:t>
            </w:r>
          </w:p>
        </w:tc>
        <w:tc>
          <w:tcPr>
            <w:tcW w:w="180" w:type="dxa"/>
            <w:vAlign w:val="bottom"/>
            <w:gridSpan w:val="2"/>
            <w:shd w:val="clear" w:color="auto" w:fill="CCEEFF"/>
          </w:tcPr>
          <w:p>
            <w:pPr>
              <w:spacing w:after="0" w:line="173"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0"/>
                <w:szCs w:val="20"/>
                <w:color w:val="auto"/>
                <w:vertAlign w:val="superscript"/>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89,795</w:t>
            </w:r>
          </w:p>
        </w:tc>
        <w:tc>
          <w:tcPr>
            <w:tcW w:w="160" w:type="dxa"/>
            <w:vAlign w:val="bottom"/>
            <w:tcBorders>
              <w:left w:val="single" w:sz="8" w:color="CCEEFF"/>
            </w:tcBorders>
            <w:gridSpan w:val="2"/>
            <w:shd w:val="clear" w:color="auto" w:fill="CCEEFF"/>
          </w:tcPr>
          <w:p>
            <w:pPr>
              <w:spacing w:after="0" w:line="173" w:lineRule="exact"/>
              <w:rPr>
                <w:sz w:val="20"/>
                <w:szCs w:val="20"/>
                <w:color w:val="auto"/>
              </w:rPr>
            </w:pPr>
            <w:r>
              <w:rPr>
                <w:rFonts w:ascii="Arial" w:cs="Arial" w:eastAsia="Arial" w:hAnsi="Arial"/>
                <w:sz w:val="11"/>
                <w:szCs w:val="11"/>
                <w:color w:val="auto"/>
              </w:rPr>
              <w:t>​​ ​</w:t>
            </w:r>
            <w:r>
              <w:rPr>
                <w:rFonts w:ascii="Arial" w:cs="Arial" w:eastAsia="Arial" w:hAnsi="Arial"/>
                <w:sz w:val="20"/>
                <w:szCs w:val="20"/>
                <w:color w:val="auto"/>
                <w:vertAlign w:val="superscript"/>
              </w:rPr>
              <w:t>$</w:t>
            </w:r>
          </w:p>
        </w:tc>
        <w:tc>
          <w:tcPr>
            <w:tcW w:w="32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tcBorders>
              <w:left w:val="single" w:sz="8" w:color="CCEEFF"/>
            </w:tcBorders>
            <w:shd w:val="clear" w:color="auto" w:fill="CCEEFF"/>
          </w:tcPr>
          <w:p>
            <w:pPr>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6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spacing w:after="0" w:line="173"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0"/>
                <w:szCs w:val="20"/>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89,795</w:t>
            </w:r>
          </w:p>
        </w:tc>
        <w:tc>
          <w:tcPr>
            <w:tcW w:w="120" w:type="dxa"/>
            <w:vAlign w:val="bottom"/>
            <w:gridSpan w:val="2"/>
            <w:shd w:val="clear" w:color="auto" w:fill="CCEEFF"/>
          </w:tcPr>
          <w:p>
            <w:pPr>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21,629</w:t>
            </w:r>
          </w:p>
        </w:tc>
        <w:tc>
          <w:tcPr>
            <w:tcW w:w="160" w:type="dxa"/>
            <w:vAlign w:val="bottom"/>
            <w:tcBorders>
              <w:left w:val="single" w:sz="8" w:color="CCEEFF"/>
            </w:tcBorders>
            <w:gridSpan w:val="2"/>
            <w:shd w:val="clear" w:color="auto" w:fill="CCEEFF"/>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700" w:type="dxa"/>
            <w:vAlign w:val="bottom"/>
            <w:gridSpan w:val="3"/>
            <w:shd w:val="clear" w:color="auto" w:fill="CCEEFF"/>
          </w:tcPr>
          <w:p>
            <w:pPr>
              <w:jc w:val="right"/>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21,629</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tcBorders>
              <w:lef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00" w:type="dxa"/>
            <w:vAlign w:val="bottom"/>
          </w:tcPr>
          <w:p>
            <w:pPr>
              <w:ind w:left="120"/>
              <w:spacing w:after="0"/>
              <w:rPr>
                <w:sz w:val="20"/>
                <w:szCs w:val="20"/>
                <w:color w:val="auto"/>
              </w:rPr>
            </w:pPr>
            <w:r>
              <w:rPr>
                <w:rFonts w:ascii="Arial" w:cs="Arial" w:eastAsia="Arial" w:hAnsi="Arial"/>
                <w:sz w:val="12"/>
                <w:szCs w:val="12"/>
                <w:color w:val="auto"/>
              </w:rPr>
              <w:t>Cash equivalents</w:t>
            </w:r>
          </w:p>
        </w:tc>
        <w:tc>
          <w:tcPr>
            <w:tcW w:w="4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89,795</w:t>
            </w:r>
          </w:p>
        </w:tc>
        <w:tc>
          <w:tcPr>
            <w:tcW w:w="100" w:type="dxa"/>
            <w:vAlign w:val="bottom"/>
          </w:tcPr>
          <w:p>
            <w:pPr>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14"/>
                <w:szCs w:val="14"/>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 ​​ ​89,795</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21,629</w:t>
            </w:r>
          </w:p>
        </w:tc>
        <w:tc>
          <w:tcPr>
            <w:tcW w:w="1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31"/>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 ​​ ​21,629​</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U.S. government bonds</w:t>
            </w:r>
          </w:p>
        </w:tc>
        <w:tc>
          <w:tcPr>
            <w:tcW w:w="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20,288</w:t>
            </w:r>
          </w:p>
        </w:tc>
        <w:tc>
          <w:tcPr>
            <w:tcW w:w="1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31"/>
              <w:spacing w:after="0"/>
              <w:rPr>
                <w:sz w:val="20"/>
                <w:szCs w:val="20"/>
                <w:color w:val="auto"/>
              </w:rPr>
            </w:pPr>
            <w:r>
              <w:rPr>
                <w:rFonts w:ascii="Arial" w:cs="Arial" w:eastAsia="Arial" w:hAnsi="Arial"/>
                <w:sz w:val="12"/>
                <w:szCs w:val="12"/>
                <w:color w:val="auto"/>
              </w:rPr>
              <w:t>(61)​​</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1</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 ​20,228</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180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4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2,002</w:t>
            </w:r>
          </w:p>
        </w:tc>
        <w:tc>
          <w:tcPr>
            <w:tcW w:w="100" w:type="dxa"/>
            <w:vAlign w:val="bottom"/>
          </w:tcPr>
          <w:p>
            <w:pPr>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15"/>
                <w:szCs w:val="15"/>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 ​​ ​ 2,002</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52,704</w:t>
            </w:r>
          </w:p>
        </w:tc>
        <w:tc>
          <w:tcPr>
            <w:tcW w:w="1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31"/>
              <w:spacing w:after="0"/>
              <w:rPr>
                <w:sz w:val="20"/>
                <w:szCs w:val="20"/>
                <w:color w:val="auto"/>
              </w:rPr>
            </w:pPr>
            <w:r>
              <w:rPr>
                <w:rFonts w:ascii="Arial" w:cs="Arial" w:eastAsia="Arial" w:hAnsi="Arial"/>
                <w:sz w:val="12"/>
                <w:szCs w:val="12"/>
                <w:color w:val="auto"/>
              </w:rPr>
              <w:t>(57)​​</w:t>
            </w: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 ​​ ​52,647​</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U.S. government agency bonds</w:t>
            </w:r>
          </w:p>
        </w:tc>
        <w:tc>
          <w:tcPr>
            <w:tcW w:w="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10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2"/>
              </w:rPr>
              <w:t>—</w:t>
            </w:r>
          </w:p>
        </w:tc>
        <w:tc>
          <w:tcPr>
            <w:tcW w:w="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1,802</w:t>
            </w:r>
          </w:p>
        </w:tc>
        <w:tc>
          <w:tcPr>
            <w:tcW w:w="160" w:type="dxa"/>
            <w:vAlign w:val="bottom"/>
            <w:tcBorders>
              <w:left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3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(18)</w:t>
            </w:r>
          </w:p>
        </w:tc>
        <w:tc>
          <w:tcPr>
            <w:tcW w:w="140" w:type="dxa"/>
            <w:vAlign w:val="bottom"/>
            <w:tcBorders>
              <w:lef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 1,784</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1800" w:type="dxa"/>
            <w:vAlign w:val="bottom"/>
            <w:shd w:val="clear" w:color="auto" w:fill="CCEEFF"/>
          </w:tcPr>
          <w:p>
            <w:pPr>
              <w:spacing w:after="0"/>
              <w:rPr>
                <w:sz w:val="5"/>
                <w:szCs w:val="5"/>
                <w:color w:val="auto"/>
              </w:rPr>
            </w:pPr>
          </w:p>
        </w:tc>
        <w:tc>
          <w:tcPr>
            <w:tcW w:w="4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60" w:type="dxa"/>
            <w:vAlign w:val="bottom"/>
            <w:tcBorders>
              <w:left w:val="single" w:sz="8" w:color="CCEEFF"/>
            </w:tcBorders>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jc w:val="right"/>
              <w:ind w:right="31"/>
              <w:spacing w:after="0" w:line="58" w:lineRule="exact"/>
              <w:rPr>
                <w:sz w:val="20"/>
                <w:szCs w:val="20"/>
                <w:color w:val="auto"/>
              </w:rPr>
            </w:pPr>
            <w:r>
              <w:rPr>
                <w:rFonts w:ascii="Arial" w:cs="Arial" w:eastAsia="Arial" w:hAnsi="Arial"/>
                <w:sz w:val="6"/>
                <w:szCs w:val="6"/>
                <w:color w:val="auto"/>
              </w:rPr>
              <w:t>​​</w:t>
            </w:r>
          </w:p>
        </w:tc>
        <w:tc>
          <w:tcPr>
            <w:tcW w:w="22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0" w:type="dxa"/>
            <w:vAlign w:val="bottom"/>
          </w:tcPr>
          <w:p>
            <w:pPr>
              <w:ind w:left="120"/>
              <w:spacing w:after="0" w:line="115" w:lineRule="exact"/>
              <w:rPr>
                <w:sz w:val="20"/>
                <w:szCs w:val="20"/>
                <w:color w:val="auto"/>
              </w:rPr>
            </w:pPr>
            <w:r>
              <w:rPr>
                <w:rFonts w:ascii="Arial" w:cs="Arial" w:eastAsia="Arial" w:hAnsi="Arial"/>
                <w:sz w:val="12"/>
                <w:szCs w:val="12"/>
                <w:color w:val="auto"/>
              </w:rPr>
              <w:t>Short-term investments</w:t>
            </w:r>
          </w:p>
        </w:tc>
        <w:tc>
          <w:tcPr>
            <w:tcW w:w="4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Pr>
          <w:p>
            <w:pPr>
              <w:ind w:left="80"/>
              <w:spacing w:after="0" w:line="11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2"/>
                <w:szCs w:val="12"/>
                <w:color w:val="auto"/>
              </w:rPr>
              <w:t>2,002</w:t>
            </w:r>
          </w:p>
        </w:tc>
        <w:tc>
          <w:tcPr>
            <w:tcW w:w="100" w:type="dxa"/>
            <w:vAlign w:val="bottom"/>
            <w:vMerge w:val="restart"/>
          </w:tcPr>
          <w:p>
            <w:pPr>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10"/>
                <w:szCs w:val="10"/>
                <w:color w:val="auto"/>
              </w:rPr>
            </w:pPr>
          </w:p>
        </w:tc>
        <w:tc>
          <w:tcPr>
            <w:tcW w:w="320" w:type="dxa"/>
            <w:vAlign w:val="bottom"/>
          </w:tcPr>
          <w:p>
            <w:pPr>
              <w:jc w:val="right"/>
              <w:ind w:right="40"/>
              <w:spacing w:after="0" w:line="115" w:lineRule="exact"/>
              <w:rPr>
                <w:sz w:val="20"/>
                <w:szCs w:val="20"/>
                <w:color w:val="auto"/>
              </w:rPr>
            </w:pPr>
            <w:r>
              <w:rPr>
                <w:rFonts w:ascii="Arial" w:cs="Arial" w:eastAsia="Arial" w:hAnsi="Arial"/>
                <w:sz w:val="12"/>
                <w:szCs w:val="12"/>
                <w:color w:val="auto"/>
              </w:rPr>
              <w:t>​ —</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160" w:type="dxa"/>
            <w:vAlign w:val="bottom"/>
          </w:tcPr>
          <w:p>
            <w:pPr>
              <w:ind w:left="40"/>
              <w:spacing w:after="0" w:line="115" w:lineRule="exact"/>
              <w:rPr>
                <w:sz w:val="20"/>
                <w:szCs w:val="20"/>
                <w:color w:val="auto"/>
              </w:rPr>
            </w:pPr>
            <w:r>
              <w:rPr>
                <w:rFonts w:ascii="Arial" w:cs="Arial" w:eastAsia="Arial" w:hAnsi="Arial"/>
                <w:sz w:val="11"/>
                <w:szCs w:val="11"/>
                <w:color w:val="auto"/>
                <w:w w:val="72"/>
              </w:rPr>
              <w:t>—</w:t>
            </w: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 2,002</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2"/>
                <w:szCs w:val="12"/>
                <w:color w:val="auto"/>
              </w:rPr>
              <w:t>74,794</w:t>
            </w:r>
          </w:p>
        </w:tc>
        <w:tc>
          <w:tcPr>
            <w:tcW w:w="16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15"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15" w:lineRule="exact"/>
              <w:rPr>
                <w:sz w:val="20"/>
                <w:szCs w:val="20"/>
                <w:color w:val="auto"/>
              </w:rPr>
            </w:pPr>
            <w:r>
              <w:rPr>
                <w:rFonts w:ascii="Arial" w:cs="Arial" w:eastAsia="Arial" w:hAnsi="Arial"/>
                <w:sz w:val="12"/>
                <w:szCs w:val="12"/>
                <w:color w:val="auto"/>
              </w:rPr>
              <w:t>(136)</w:t>
            </w:r>
          </w:p>
        </w:tc>
        <w:tc>
          <w:tcPr>
            <w:tcW w:w="140" w:type="dxa"/>
            <w:vAlign w:val="bottom"/>
          </w:tcPr>
          <w:p>
            <w:pPr>
              <w:spacing w:after="0"/>
              <w:rPr>
                <w:sz w:val="10"/>
                <w:szCs w:val="10"/>
                <w:color w:val="auto"/>
              </w:rPr>
            </w:pPr>
          </w:p>
        </w:tc>
        <w:tc>
          <w:tcPr>
            <w:tcW w:w="220" w:type="dxa"/>
            <w:vAlign w:val="bottom"/>
          </w:tcPr>
          <w:p>
            <w:pPr>
              <w:jc w:val="right"/>
              <w:spacing w:after="0" w:line="115" w:lineRule="exact"/>
              <w:rPr>
                <w:sz w:val="20"/>
                <w:szCs w:val="20"/>
                <w:color w:val="auto"/>
              </w:rPr>
            </w:pPr>
            <w:r>
              <w:rPr>
                <w:rFonts w:ascii="Arial" w:cs="Arial" w:eastAsia="Arial" w:hAnsi="Arial"/>
                <w:sz w:val="12"/>
                <w:szCs w:val="12"/>
                <w:color w:val="auto"/>
              </w:rPr>
              <w:t>​ 1</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15" w:lineRule="exact"/>
              <w:rPr>
                <w:sz w:val="20"/>
                <w:szCs w:val="20"/>
                <w:color w:val="auto"/>
              </w:rPr>
            </w:pPr>
            <w:r>
              <w:rPr>
                <w:rFonts w:ascii="Arial" w:cs="Arial" w:eastAsia="Arial" w:hAnsi="Arial"/>
                <w:sz w:val="12"/>
                <w:szCs w:val="12"/>
                <w:color w:val="auto"/>
              </w:rPr>
              <w:t>​74,659</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18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jc w:val="right"/>
              <w:ind w:right="31"/>
              <w:spacing w:after="0" w:line="58"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4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tcBorders>
              <w:lef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840" w:type="dxa"/>
            <w:vAlign w:val="bottom"/>
            <w:tcBorders>
              <w:right w:val="single" w:sz="8" w:color="CCEEFF"/>
            </w:tcBorders>
            <w:gridSpan w:val="2"/>
            <w:shd w:val="clear" w:color="auto" w:fill="CCEEFF"/>
          </w:tcPr>
          <w:p>
            <w:pPr>
              <w:spacing w:after="0" w:line="125" w:lineRule="exact"/>
              <w:rPr>
                <w:sz w:val="20"/>
                <w:szCs w:val="20"/>
                <w:color w:val="auto"/>
              </w:rPr>
            </w:pPr>
            <w:r>
              <w:rPr>
                <w:rFonts w:ascii="Arial" w:cs="Arial" w:eastAsia="Arial" w:hAnsi="Arial"/>
                <w:sz w:val="12"/>
                <w:szCs w:val="12"/>
                <w:color w:val="auto"/>
                <w:shd w:val="clear" w:color="auto" w:fill="CCEEFF"/>
              </w:rPr>
              <w:t>Total fair value of financial assets</w:t>
            </w:r>
          </w:p>
        </w:tc>
        <w:tc>
          <w:tcPr>
            <w:tcW w:w="1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shd w:val="clear" w:color="auto" w:fill="CCEEFF"/>
              </w:rPr>
              <w:t>$</w:t>
            </w:r>
          </w:p>
        </w:tc>
        <w:tc>
          <w:tcPr>
            <w:tcW w:w="540" w:type="dxa"/>
            <w:vAlign w:val="bottom"/>
            <w:tcBorders>
              <w:right w:val="single" w:sz="8" w:color="CCEEFF"/>
            </w:tcBorders>
            <w:shd w:val="clear" w:color="auto" w:fill="CCEEFF"/>
          </w:tcPr>
          <w:p>
            <w:pPr>
              <w:jc w:val="right"/>
              <w:spacing w:after="0" w:line="125" w:lineRule="exact"/>
              <w:rPr>
                <w:sz w:val="20"/>
                <w:szCs w:val="20"/>
                <w:color w:val="auto"/>
              </w:rPr>
            </w:pPr>
            <w:r>
              <w:rPr>
                <w:rFonts w:ascii="Arial" w:cs="Arial" w:eastAsia="Arial" w:hAnsi="Arial"/>
                <w:sz w:val="12"/>
                <w:szCs w:val="12"/>
                <w:color w:val="auto"/>
                <w:shd w:val="clear" w:color="auto" w:fill="CCEEFF"/>
              </w:rPr>
              <w:t>91,797</w:t>
            </w:r>
          </w:p>
        </w:tc>
        <w:tc>
          <w:tcPr>
            <w:tcW w:w="10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320" w:type="dxa"/>
            <w:vAlign w:val="bottom"/>
            <w:tcBorders>
              <w:right w:val="single" w:sz="8" w:color="CCEEFF"/>
            </w:tcBorders>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shd w:val="clear" w:color="auto" w:fill="CCEEFF"/>
              </w:rPr>
              <w:t>—</w:t>
            </w:r>
          </w:p>
        </w:tc>
        <w:tc>
          <w:tcPr>
            <w:tcW w:w="100" w:type="dxa"/>
            <w:vAlign w:val="bottom"/>
            <w:tcBorders>
              <w:left w:val="single" w:sz="8" w:color="CCEEFF"/>
            </w:tcBorders>
            <w:shd w:val="clear" w:color="auto" w:fill="CCEEFF"/>
          </w:tcPr>
          <w:p>
            <w:pPr>
              <w:jc w:val="right"/>
              <w:spacing w:after="0" w:line="125" w:lineRule="exact"/>
              <w:rPr>
                <w:sz w:val="20"/>
                <w:szCs w:val="20"/>
                <w:color w:val="auto"/>
              </w:rPr>
            </w:pPr>
            <w:r>
              <w:rPr>
                <w:rFonts w:ascii="Arial" w:cs="Arial" w:eastAsia="Arial" w:hAnsi="Arial"/>
                <w:sz w:val="12"/>
                <w:szCs w:val="12"/>
                <w:color w:val="auto"/>
                <w:shd w:val="clear" w:color="auto" w:fill="CCEEFF"/>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ind w:left="40"/>
              <w:spacing w:after="0" w:line="125" w:lineRule="exact"/>
              <w:rPr>
                <w:sz w:val="20"/>
                <w:szCs w:val="20"/>
                <w:color w:val="auto"/>
              </w:rPr>
            </w:pPr>
            <w:r>
              <w:rPr>
                <w:rFonts w:ascii="Arial" w:cs="Arial" w:eastAsia="Arial" w:hAnsi="Arial"/>
                <w:sz w:val="11"/>
                <w:szCs w:val="11"/>
                <w:color w:val="auto"/>
                <w:w w:val="72"/>
                <w:shd w:val="clear" w:color="auto" w:fill="CCEEFF"/>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w w:val="87"/>
                <w:shd w:val="clear" w:color="auto" w:fill="CCEEFF"/>
              </w:rPr>
              <w:t>$91,797</w:t>
            </w:r>
          </w:p>
        </w:tc>
        <w:tc>
          <w:tcPr>
            <w:tcW w:w="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shd w:val="clear" w:color="auto" w:fill="CCEEFF"/>
              </w:rPr>
              <w:t>96,423</w:t>
            </w:r>
          </w:p>
        </w:tc>
        <w:tc>
          <w:tcPr>
            <w:tcW w:w="160" w:type="dxa"/>
            <w:vAlign w:val="bottom"/>
            <w:tcBorders>
              <w:left w:val="single" w:sz="8" w:color="CCEEFF"/>
            </w:tcBorders>
            <w:gridSpan w:val="2"/>
            <w:shd w:val="clear" w:color="auto" w:fill="CCEEFF"/>
          </w:tcPr>
          <w:p>
            <w:pPr>
              <w:ind w:left="80"/>
              <w:spacing w:after="0" w:line="125" w:lineRule="exact"/>
              <w:rPr>
                <w:sz w:val="20"/>
                <w:szCs w:val="20"/>
                <w:color w:val="auto"/>
              </w:rPr>
            </w:pPr>
            <w:r>
              <w:rPr>
                <w:rFonts w:ascii="Arial" w:cs="Arial" w:eastAsia="Arial" w:hAnsi="Arial"/>
                <w:sz w:val="12"/>
                <w:szCs w:val="12"/>
                <w:color w:val="auto"/>
                <w:w w:val="89"/>
                <w:shd w:val="clear" w:color="auto" w:fill="CCEEFF"/>
              </w:rPr>
              <w:t>$</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shd w:val="clear" w:color="auto" w:fill="CCEEFF"/>
              </w:rPr>
              <w:t>(136) $</w:t>
            </w:r>
          </w:p>
        </w:tc>
        <w:tc>
          <w:tcPr>
            <w:tcW w:w="220" w:type="dxa"/>
            <w:vAlign w:val="bottom"/>
            <w:tcBorders>
              <w:right w:val="single" w:sz="8" w:color="CCEEFF"/>
            </w:tcBorders>
            <w:shd w:val="clear" w:color="auto" w:fill="CCEEFF"/>
          </w:tcPr>
          <w:p>
            <w:pPr>
              <w:jc w:val="right"/>
              <w:spacing w:after="0" w:line="125" w:lineRule="exact"/>
              <w:rPr>
                <w:sz w:val="20"/>
                <w:szCs w:val="20"/>
                <w:color w:val="auto"/>
              </w:rPr>
            </w:pPr>
            <w:r>
              <w:rPr>
                <w:rFonts w:ascii="Arial" w:cs="Arial" w:eastAsia="Arial" w:hAnsi="Arial"/>
                <w:sz w:val="12"/>
                <w:szCs w:val="12"/>
                <w:color w:val="auto"/>
                <w:shd w:val="clear" w:color="auto" w:fill="CCEEFF"/>
              </w:rPr>
              <w:t>1</w:t>
            </w:r>
          </w:p>
        </w:tc>
        <w:tc>
          <w:tcPr>
            <w:tcW w:w="480" w:type="dxa"/>
            <w:vAlign w:val="bottom"/>
            <w:tcBorders>
              <w:left w:val="single" w:sz="8" w:color="CCEEFF"/>
            </w:tcBorders>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shd w:val="clear" w:color="auto" w:fill="CCEEFF"/>
              </w:rPr>
              <w:t>$96,288</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1800" w:type="dxa"/>
            <w:vAlign w:val="bottom"/>
            <w:shd w:val="clear" w:color="auto" w:fill="CCEEFF"/>
          </w:tcPr>
          <w:p>
            <w:pPr>
              <w:spacing w:after="0"/>
              <w:rPr>
                <w:sz w:val="5"/>
                <w:szCs w:val="5"/>
                <w:color w:val="auto"/>
              </w:rPr>
            </w:pPr>
          </w:p>
        </w:tc>
        <w:tc>
          <w:tcPr>
            <w:tcW w:w="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60" w:type="dxa"/>
            <w:vAlign w:val="bottom"/>
            <w:tcBorders>
              <w:left w:val="single" w:sz="8" w:color="CCEEFF"/>
            </w:tcBorders>
            <w:gridSpan w:val="2"/>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jc w:val="right"/>
              <w:ind w:right="31"/>
              <w:spacing w:after="0" w:line="49" w:lineRule="exact"/>
              <w:rPr>
                <w:sz w:val="20"/>
                <w:szCs w:val="20"/>
                <w:color w:val="auto"/>
              </w:rPr>
            </w:pPr>
            <w:r>
              <w:rPr>
                <w:rFonts w:ascii="Arial" w:cs="Arial" w:eastAsia="Arial" w:hAnsi="Arial"/>
                <w:sz w:val="5"/>
                <w:szCs w:val="5"/>
                <w:color w:val="auto"/>
              </w:rPr>
              <w:t>​​</w:t>
            </w:r>
          </w:p>
        </w:tc>
        <w:tc>
          <w:tcPr>
            <w:tcW w:w="22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800" w:type="dxa"/>
            <w:vAlign w:val="bottom"/>
            <w:tcBorders>
              <w:top w:val="single" w:sz="8" w:color="CCEEFF"/>
              <w:bottom w:val="single" w:sz="8" w:color="auto"/>
            </w:tcBorders>
          </w:tcPr>
          <w:p>
            <w:pPr>
              <w:spacing w:after="0"/>
              <w:rPr>
                <w:sz w:val="6"/>
                <w:szCs w:val="6"/>
                <w:color w:val="auto"/>
              </w:rPr>
            </w:pPr>
          </w:p>
        </w:tc>
        <w:tc>
          <w:tcPr>
            <w:tcW w:w="40" w:type="dxa"/>
            <w:vAlign w:val="bottom"/>
            <w:tcBorders>
              <w:top w:val="single" w:sz="8" w:color="CCEEFF"/>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-201930</wp:posOffset>
            </wp:positionV>
            <wp:extent cx="55245"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5245" cy="635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-201930</wp:posOffset>
            </wp:positionV>
            <wp:extent cx="43180"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3180" cy="635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-201930</wp:posOffset>
            </wp:positionV>
            <wp:extent cx="30480"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-201930</wp:posOffset>
            </wp:positionV>
            <wp:extent cx="18415"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-201930</wp:posOffset>
            </wp:positionV>
            <wp:extent cx="36830"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6830" cy="635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-201930</wp:posOffset>
            </wp:positionV>
            <wp:extent cx="73660"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3660" cy="635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-201930</wp:posOffset>
            </wp:positionV>
            <wp:extent cx="61595"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114808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48080" cy="635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-324485</wp:posOffset>
            </wp:positionV>
            <wp:extent cx="3048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-324485</wp:posOffset>
            </wp:positionV>
            <wp:extent cx="18415"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-324485</wp:posOffset>
            </wp:positionV>
            <wp:extent cx="3683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6830" cy="635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-324485</wp:posOffset>
            </wp:positionV>
            <wp:extent cx="6350"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-797560</wp:posOffset>
            </wp:positionV>
            <wp:extent cx="3048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-797560</wp:posOffset>
            </wp:positionV>
            <wp:extent cx="18415"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-797560</wp:posOffset>
            </wp:positionV>
            <wp:extent cx="36830"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6830" cy="635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-797560</wp:posOffset>
            </wp:positionV>
            <wp:extent cx="635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-920115</wp:posOffset>
            </wp:positionV>
            <wp:extent cx="12065"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065" cy="635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-920115</wp:posOffset>
            </wp:positionV>
            <wp:extent cx="12065"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0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-920115</wp:posOffset>
            </wp:positionV>
            <wp:extent cx="114173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41730" cy="63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-920115</wp:posOffset>
            </wp:positionV>
            <wp:extent cx="12065"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065" cy="635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-920115</wp:posOffset>
            </wp:positionV>
            <wp:extent cx="12065"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065" cy="63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-920115</wp:posOffset>
            </wp:positionV>
            <wp:extent cx="12065"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065" cy="63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-920115</wp:posOffset>
            </wp:positionV>
            <wp:extent cx="12065"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065" cy="635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-920115</wp:posOffset>
            </wp:positionV>
            <wp:extent cx="12065"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065" cy="6350"/>
                    </a:xfrm>
                    <a:prstGeom prst="rect">
                      <a:avLst/>
                    </a:prstGeom>
                    <a:noFill/>
                  </pic:spPr>
                </pic:pic>
              </a:graphicData>
            </a:graphic>
          </wp:anchor>
        </w:drawing>
      </w:r>
    </w:p>
    <w:p>
      <w:pPr>
        <w:spacing w:after="0" w:line="70" w:lineRule="exact"/>
        <w:rPr>
          <w:sz w:val="20"/>
          <w:szCs w:val="20"/>
          <w:color w:val="auto"/>
        </w:rPr>
      </w:pPr>
    </w:p>
    <w:p>
      <w:pPr>
        <w:ind w:left="1560" w:right="1739"/>
        <w:spacing w:after="0" w:line="308" w:lineRule="auto"/>
        <w:rPr>
          <w:sz w:val="20"/>
          <w:szCs w:val="20"/>
          <w:color w:val="auto"/>
        </w:rPr>
      </w:pPr>
      <w:r>
        <w:rPr>
          <w:rFonts w:ascii="Arial" w:cs="Arial" w:eastAsia="Arial" w:hAnsi="Arial"/>
          <w:sz w:val="12"/>
          <w:szCs w:val="12"/>
          <w:color w:val="auto"/>
        </w:rPr>
        <w:t>As of December 31, 2021 and September 30, 2022, the Company did not have any liabilities measured at fair value on a recurring basis.</w:t>
      </w:r>
    </w:p>
    <w:p>
      <w:pPr>
        <w:spacing w:after="0" w:line="6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There were no transfers in and out of Level 3 during the nine months ended September 30, 2022.</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5. Term Loan</w:t>
      </w:r>
    </w:p>
    <w:p>
      <w:pPr>
        <w:spacing w:after="0" w:line="113" w:lineRule="exact"/>
        <w:rPr>
          <w:sz w:val="20"/>
          <w:szCs w:val="20"/>
          <w:color w:val="auto"/>
        </w:rPr>
      </w:pPr>
    </w:p>
    <w:p>
      <w:pPr>
        <w:ind w:left="1560" w:right="1679"/>
        <w:spacing w:after="0" w:line="274" w:lineRule="auto"/>
        <w:rPr>
          <w:sz w:val="20"/>
          <w:szCs w:val="20"/>
          <w:color w:val="auto"/>
        </w:rPr>
      </w:pPr>
      <w:r>
        <w:rPr>
          <w:rFonts w:ascii="Arial" w:cs="Arial" w:eastAsia="Arial" w:hAnsi="Arial"/>
          <w:sz w:val="12"/>
          <w:szCs w:val="12"/>
          <w:color w:val="auto"/>
        </w:rPr>
        <w:t>On August 4, 2020, the Company entered into a Loan and Security Agreement (the “SVB Agreement”) with Silicon Valley Bank (“SVB”) to raise up to $8.0 million in debt financing (“SVB Loan”) consisting of</w:t>
      </w:r>
    </w:p>
    <w:p>
      <w:pPr>
        <w:ind w:left="1560" w:right="1599"/>
        <w:spacing w:after="0" w:line="272" w:lineRule="auto"/>
        <w:rPr>
          <w:sz w:val="20"/>
          <w:szCs w:val="20"/>
          <w:color w:val="auto"/>
        </w:rPr>
      </w:pPr>
      <w:r>
        <w:rPr>
          <w:rFonts w:ascii="Arial" w:cs="Arial" w:eastAsia="Arial" w:hAnsi="Arial"/>
          <w:sz w:val="12"/>
          <w:szCs w:val="12"/>
          <w:color w:val="auto"/>
        </w:rPr>
        <w:t>$5.0 million available to draw on or before July 31, 2021 (“Tranche A”), and the option to draw up to an additional $3.0 million (“Tranche B”) on or before January 31, 2022, which were conditioned to initiation of a Phase 1 clinical trial on or before July 31, 2021, and nomination of a development candidate for a second asset on or prior to January 31, 2022, both of which the Company accomplished in May 2021. The Tranche B draw period was extended to July 31, 2022, upon the receipt of net cash proceeds in an amount of at least $50.0 million from the issuance and sale by the Company of its equity securities to investors and/or subordinated debt on or prior to January 31, 2022, which the Company accomplished in July 2021. The Company elected to allow the Tranche A and Tranche B financings to expire unused on July 31, 2021 and July 31, 2022, respectively.</w:t>
      </w:r>
    </w:p>
    <w:p>
      <w:pPr>
        <w:spacing w:after="0" w:line="85" w:lineRule="exact"/>
        <w:rPr>
          <w:sz w:val="20"/>
          <w:szCs w:val="20"/>
          <w:color w:val="auto"/>
        </w:rPr>
      </w:pPr>
    </w:p>
    <w:p>
      <w:pPr>
        <w:ind w:left="1560" w:right="1719"/>
        <w:spacing w:after="0" w:line="275" w:lineRule="auto"/>
        <w:rPr>
          <w:sz w:val="20"/>
          <w:szCs w:val="20"/>
          <w:color w:val="auto"/>
        </w:rPr>
      </w:pPr>
      <w:r>
        <w:rPr>
          <w:rFonts w:ascii="Arial" w:cs="Arial" w:eastAsia="Arial" w:hAnsi="Arial"/>
          <w:sz w:val="12"/>
          <w:szCs w:val="12"/>
          <w:color w:val="auto"/>
        </w:rPr>
        <w:t>In connection with the entering into the SVB Agreement, the Company issued SVB a warrant to purchase shares of its ordinary shares at an exercise price of  $0.48 per share (“SVB Warrant”). The SVB Warrant is immediately exercisable for 112,279 ordinary shares of the Company and could have been exercisable for an additional number of ordinary shares equal to 44,567 ordinary shares upon draw of Tranche A and 22,283 ordinary shares upon draw of Tranche B. The warrant for Tranche A shares and Tranche B shares expired on July 31, 2021 and July 31, 2022, respectively, as the Company elected to allow the Tranche A and Tranche B financings to expire unused on July 31, 2021 and July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9" w:name="page290"/>
    <w:bookmarkEnd w:id="289"/>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6. Commitments and Contingencies</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8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maturities of operating lease liabilities as of September 30, 2022,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gridSpan w:val="6"/>
          </w:tcPr>
          <w:p>
            <w:pPr>
              <w:jc w:val="center"/>
              <w:ind w:right="28"/>
              <w:spacing w:after="0"/>
              <w:rPr>
                <w:sz w:val="20"/>
                <w:szCs w:val="20"/>
                <w:color w:val="auto"/>
              </w:rPr>
            </w:pPr>
            <w:r>
              <w:rPr>
                <w:rFonts w:ascii="Arial" w:cs="Arial" w:eastAsia="Arial" w:hAnsi="Arial"/>
                <w:sz w:val="10"/>
                <w:szCs w:val="10"/>
                <w:b w:val="1"/>
                <w:bCs w:val="1"/>
                <w:color w:val="auto"/>
              </w:rPr>
              <w:t>SEPTEMBER 30,</w:t>
            </w:r>
          </w:p>
        </w:tc>
      </w:tr>
      <w:tr>
        <w:trPr>
          <w:trHeight w:val="152"/>
        </w:trPr>
        <w:tc>
          <w:tcPr>
            <w:tcW w:w="3640" w:type="dxa"/>
            <w:vAlign w:val="bottom"/>
          </w:tcPr>
          <w:p>
            <w:pPr>
              <w:spacing w:after="0"/>
              <w:rPr>
                <w:sz w:val="20"/>
                <w:szCs w:val="20"/>
                <w:color w:val="auto"/>
              </w:rPr>
            </w:pPr>
            <w:r>
              <w:rPr>
                <w:rFonts w:ascii="Arial" w:cs="Arial" w:eastAsia="Arial" w:hAnsi="Arial"/>
                <w:sz w:val="10"/>
                <w:szCs w:val="10"/>
                <w:b w:val="1"/>
                <w:bCs w:val="1"/>
                <w:color w:val="auto"/>
              </w:rPr>
              <w:t>​</w:t>
            </w:r>
          </w:p>
        </w:tc>
        <w:tc>
          <w:tcPr>
            <w:tcW w:w="1340" w:type="dxa"/>
            <w:vAlign w:val="bottom"/>
          </w:tcPr>
          <w:p>
            <w:pPr>
              <w:ind w:left="1180"/>
              <w:spacing w:after="0"/>
              <w:rPr>
                <w:sz w:val="20"/>
                <w:szCs w:val="20"/>
                <w:color w:val="auto"/>
              </w:rPr>
            </w:pPr>
            <w:r>
              <w:rPr>
                <w:rFonts w:ascii="Arial" w:cs="Arial" w:eastAsia="Arial" w:hAnsi="Arial"/>
                <w:sz w:val="10"/>
                <w:szCs w:val="10"/>
                <w:b w:val="1"/>
                <w:bCs w:val="1"/>
                <w:color w:val="auto"/>
              </w:rPr>
              <w:t>​ ​</w:t>
            </w:r>
          </w:p>
        </w:tc>
        <w:tc>
          <w:tcPr>
            <w:tcW w:w="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64"/>
        </w:trPr>
        <w:tc>
          <w:tcPr>
            <w:tcW w:w="3640" w:type="dxa"/>
            <w:vAlign w:val="bottom"/>
          </w:tcPr>
          <w:p>
            <w:pPr>
              <w:spacing w:after="0"/>
              <w:rPr>
                <w:sz w:val="20"/>
                <w:szCs w:val="20"/>
                <w:color w:val="auto"/>
              </w:rPr>
            </w:pPr>
            <w:r>
              <w:rPr>
                <w:rFonts w:ascii="Arial" w:cs="Arial" w:eastAsia="Arial" w:hAnsi="Arial"/>
                <w:sz w:val="12"/>
                <w:szCs w:val="12"/>
                <w:color w:val="auto"/>
              </w:rPr>
              <w:t>2022 (remaining)</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360" w:type="dxa"/>
            <w:vAlign w:val="bottom"/>
            <w:gridSpan w:val="2"/>
          </w:tcPr>
          <w:p>
            <w:pPr>
              <w:ind w:left="220"/>
              <w:spacing w:after="0"/>
              <w:rPr>
                <w:sz w:val="20"/>
                <w:szCs w:val="20"/>
                <w:color w:val="auto"/>
              </w:rPr>
            </w:pPr>
            <w:r>
              <w:rPr>
                <w:rFonts w:ascii="Arial" w:cs="Arial" w:eastAsia="Arial" w:hAnsi="Arial"/>
                <w:sz w:val="12"/>
                <w:szCs w:val="12"/>
                <w:color w:val="auto"/>
              </w:rPr>
              <w:t>​ $</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93</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640" w:type="dxa"/>
            <w:vAlign w:val="bottom"/>
          </w:tcPr>
          <w:p>
            <w:pPr>
              <w:spacing w:after="0"/>
              <w:rPr>
                <w:sz w:val="20"/>
                <w:szCs w:val="20"/>
                <w:color w:val="auto"/>
              </w:rPr>
            </w:pPr>
            <w:r>
              <w:rPr>
                <w:rFonts w:ascii="Arial" w:cs="Arial" w:eastAsia="Arial" w:hAnsi="Arial"/>
                <w:sz w:val="12"/>
                <w:szCs w:val="12"/>
                <w:color w:val="auto"/>
              </w:rPr>
              <w:t>2023</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260" w:type="dxa"/>
            <w:vAlign w:val="bottom"/>
          </w:tcPr>
          <w:p>
            <w:pPr>
              <w:ind w:lef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263</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3640" w:type="dxa"/>
            <w:vAlign w:val="bottom"/>
          </w:tcPr>
          <w:p>
            <w:pPr>
              <w:spacing w:after="0"/>
              <w:rPr>
                <w:sz w:val="20"/>
                <w:szCs w:val="20"/>
                <w:color w:val="auto"/>
              </w:rPr>
            </w:pPr>
            <w:r>
              <w:rPr>
                <w:rFonts w:ascii="Arial" w:cs="Arial" w:eastAsia="Arial" w:hAnsi="Arial"/>
                <w:sz w:val="12"/>
                <w:szCs w:val="12"/>
                <w:color w:val="auto"/>
              </w:rPr>
              <w:t>Total undiscounted lease payments</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 356</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640" w:type="dxa"/>
            <w:vAlign w:val="bottom"/>
          </w:tcPr>
          <w:p>
            <w:pPr>
              <w:ind w:left="120"/>
              <w:spacing w:after="0"/>
              <w:rPr>
                <w:sz w:val="20"/>
                <w:szCs w:val="20"/>
                <w:color w:val="auto"/>
              </w:rPr>
            </w:pPr>
            <w:r>
              <w:rPr>
                <w:rFonts w:ascii="Arial" w:cs="Arial" w:eastAsia="Arial" w:hAnsi="Arial"/>
                <w:sz w:val="12"/>
                <w:szCs w:val="12"/>
                <w:color w:val="auto"/>
              </w:rPr>
              <w:t>Less: imputed interest</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260" w:type="dxa"/>
            <w:vAlign w:val="bottom"/>
          </w:tcPr>
          <w:p>
            <w:pPr>
              <w:ind w:lef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12</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3640" w:type="dxa"/>
            <w:vAlign w:val="bottom"/>
          </w:tcPr>
          <w:p>
            <w:pPr>
              <w:spacing w:after="0"/>
              <w:rPr>
                <w:sz w:val="20"/>
                <w:szCs w:val="20"/>
                <w:color w:val="auto"/>
              </w:rPr>
            </w:pPr>
            <w:r>
              <w:rPr>
                <w:rFonts w:ascii="Arial" w:cs="Arial" w:eastAsia="Arial" w:hAnsi="Arial"/>
                <w:sz w:val="12"/>
                <w:szCs w:val="12"/>
                <w:color w:val="auto"/>
              </w:rPr>
              <w:t>Total operating lease liability</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 344</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640" w:type="dxa"/>
            <w:vAlign w:val="bottom"/>
          </w:tcPr>
          <w:p>
            <w:pPr>
              <w:ind w:left="120"/>
              <w:spacing w:after="0"/>
              <w:rPr>
                <w:sz w:val="20"/>
                <w:szCs w:val="20"/>
                <w:color w:val="auto"/>
              </w:rPr>
            </w:pPr>
            <w:r>
              <w:rPr>
                <w:rFonts w:ascii="Arial" w:cs="Arial" w:eastAsia="Arial" w:hAnsi="Arial"/>
                <w:sz w:val="12"/>
                <w:szCs w:val="12"/>
                <w:color w:val="auto"/>
              </w:rPr>
              <w:t>Less: current portion</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260" w:type="dxa"/>
            <w:vAlign w:val="bottom"/>
          </w:tcPr>
          <w:p>
            <w:pPr>
              <w:ind w:lef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330</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2"/>
        </w:trPr>
        <w:tc>
          <w:tcPr>
            <w:tcW w:w="3640" w:type="dxa"/>
            <w:vAlign w:val="bottom"/>
          </w:tcPr>
          <w:p>
            <w:pPr>
              <w:spacing w:after="0"/>
              <w:rPr>
                <w:sz w:val="20"/>
                <w:szCs w:val="20"/>
                <w:color w:val="auto"/>
              </w:rPr>
            </w:pPr>
            <w:r>
              <w:rPr>
                <w:rFonts w:ascii="Arial" w:cs="Arial" w:eastAsia="Arial" w:hAnsi="Arial"/>
                <w:sz w:val="12"/>
                <w:szCs w:val="12"/>
                <w:color w:val="auto"/>
              </w:rPr>
              <w:t>Operating lease liability, net of current portion</w:t>
            </w:r>
          </w:p>
        </w:tc>
        <w:tc>
          <w:tcPr>
            <w:tcW w:w="1340" w:type="dxa"/>
            <w:vAlign w:val="bottom"/>
          </w:tcPr>
          <w:p>
            <w:pPr>
              <w:ind w:left="1220"/>
              <w:spacing w:after="0"/>
              <w:rPr>
                <w:sz w:val="20"/>
                <w:szCs w:val="20"/>
                <w:color w:val="auto"/>
              </w:rPr>
            </w:pPr>
            <w:r>
              <w:rPr>
                <w:rFonts w:ascii="Arial" w:cs="Arial" w:eastAsia="Arial" w:hAnsi="Arial"/>
                <w:sz w:val="12"/>
                <w:szCs w:val="12"/>
                <w:color w:val="auto"/>
              </w:rPr>
              <w:t>​ ​</w:t>
            </w:r>
          </w:p>
        </w:tc>
        <w:tc>
          <w:tcPr>
            <w:tcW w:w="360" w:type="dxa"/>
            <w:vAlign w:val="bottom"/>
            <w:gridSpan w:val="2"/>
          </w:tcPr>
          <w:p>
            <w:pPr>
              <w:ind w:left="220"/>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perscript"/>
              </w:rPr>
              <w: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6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733165" cy="135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733165" cy="135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-680720</wp:posOffset>
            </wp:positionV>
            <wp:extent cx="3733165" cy="1168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-920115</wp:posOffset>
            </wp:positionV>
            <wp:extent cx="3733165" cy="1168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80" w:lineRule="exact"/>
        <w:rPr>
          <w:sz w:val="20"/>
          <w:szCs w:val="20"/>
          <w:color w:val="auto"/>
        </w:rPr>
      </w:pPr>
    </w:p>
    <w:p>
      <w:pPr>
        <w:ind w:left="1560" w:right="1619"/>
        <w:spacing w:after="0" w:line="285" w:lineRule="auto"/>
        <w:rPr>
          <w:sz w:val="20"/>
          <w:szCs w:val="20"/>
          <w:color w:val="auto"/>
        </w:rPr>
      </w:pPr>
      <w:r>
        <w:rPr>
          <w:rFonts w:ascii="Arial" w:cs="Arial" w:eastAsia="Arial" w:hAnsi="Arial"/>
          <w:sz w:val="12"/>
          <w:szCs w:val="12"/>
          <w:color w:val="auto"/>
        </w:rPr>
        <w:t>Operating lease cost was $0.3 million and $0.8 million for the nine months ended September 30, 2021 and 2022, respectively, including $0.1 million and $0.6 million short-term lease costs for the nine months ended September 30, 2021 and 2022, respectively. As of September 30, 2022, the weighted average remaining lease term was 1.0 years, and the weighted average discount rate used to measure the lease liability for operating leases upon recognition was 7.8%. During the nine months ended September 30, 2021 and 2022, cash paid for amounts included in operating lease liabilities of  $0.2 million and $0.3 million, respectively, was included in cash flows from operating activities on the condensed consolidated statements of cash flows.</w:t>
      </w:r>
    </w:p>
    <w:p>
      <w:pPr>
        <w:spacing w:after="0" w:line="286"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Indemnification Agreements</w:t>
      </w:r>
    </w:p>
    <w:p>
      <w:pPr>
        <w:spacing w:after="0" w:line="44" w:lineRule="exact"/>
        <w:rPr>
          <w:sz w:val="20"/>
          <w:szCs w:val="20"/>
          <w:color w:val="auto"/>
        </w:rPr>
      </w:pPr>
    </w:p>
    <w:p>
      <w:pPr>
        <w:ind w:left="1560" w:right="1579"/>
        <w:spacing w:after="0" w:line="272" w:lineRule="auto"/>
        <w:rPr>
          <w:sz w:val="20"/>
          <w:szCs w:val="20"/>
          <w:color w:val="auto"/>
        </w:rPr>
      </w:pPr>
      <w:r>
        <w:rPr>
          <w:rFonts w:ascii="Arial" w:cs="Arial" w:eastAsia="Arial" w:hAnsi="Arial"/>
          <w:sz w:val="12"/>
          <w:szCs w:val="12"/>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December 31, 2021 and September 30, 2022, the Company did not have any material indemnification claims that were probable or reasonably possible and consequently had not recorded related liabilities.</w:t>
      </w:r>
    </w:p>
    <w:p>
      <w:pPr>
        <w:spacing w:after="0" w:line="280"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44" w:lineRule="exact"/>
        <w:rPr>
          <w:sz w:val="20"/>
          <w:szCs w:val="20"/>
          <w:color w:val="auto"/>
        </w:rPr>
      </w:pPr>
    </w:p>
    <w:p>
      <w:pPr>
        <w:jc w:val="both"/>
        <w:ind w:left="1560" w:right="1619"/>
        <w:spacing w:after="0" w:line="288" w:lineRule="auto"/>
        <w:rPr>
          <w:sz w:val="20"/>
          <w:szCs w:val="20"/>
          <w:color w:val="auto"/>
        </w:rPr>
      </w:pPr>
      <w:r>
        <w:rPr>
          <w:rFonts w:ascii="Arial" w:cs="Arial" w:eastAsia="Arial" w:hAnsi="Arial"/>
          <w:sz w:val="12"/>
          <w:szCs w:val="12"/>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7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7. Redeemable Convertible Preferred Shares</w:t>
      </w:r>
    </w:p>
    <w:p>
      <w:pPr>
        <w:spacing w:after="0" w:line="113" w:lineRule="exact"/>
        <w:rPr>
          <w:sz w:val="20"/>
          <w:szCs w:val="20"/>
          <w:color w:val="auto"/>
        </w:rPr>
      </w:pPr>
    </w:p>
    <w:p>
      <w:pPr>
        <w:ind w:left="1560" w:right="1719"/>
        <w:spacing w:after="0" w:line="288" w:lineRule="auto"/>
        <w:rPr>
          <w:sz w:val="20"/>
          <w:szCs w:val="20"/>
          <w:color w:val="auto"/>
        </w:rPr>
      </w:pPr>
      <w:r>
        <w:rPr>
          <w:rFonts w:ascii="Arial" w:cs="Arial" w:eastAsia="Arial" w:hAnsi="Arial"/>
          <w:sz w:val="12"/>
          <w:szCs w:val="12"/>
          <w:color w:val="auto"/>
        </w:rPr>
        <w:t>Under the Company’s Memorandum and Articles of Association, as amended, the Company’s redeemable convertible preferred shares are issuable in series. The Company’s board of directors is authorized to determine the rights, preferences, privileges and terms of each series.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0" w:name="page291"/>
    <w:bookmarkEnd w:id="290"/>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1599"/>
        <w:spacing w:after="0" w:line="308" w:lineRule="auto"/>
        <w:rPr>
          <w:sz w:val="20"/>
          <w:szCs w:val="20"/>
          <w:color w:val="auto"/>
        </w:rPr>
      </w:pPr>
      <w:r>
        <w:rPr>
          <w:rFonts w:ascii="Arial" w:cs="Arial" w:eastAsia="Arial" w:hAnsi="Arial"/>
          <w:sz w:val="12"/>
          <w:szCs w:val="12"/>
          <w:color w:val="auto"/>
        </w:rPr>
        <w:t>As of December 31, 2021, redeemable convertible preferred shares consisted of the following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 ​</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0"/>
                <w:szCs w:val="10"/>
                <w:b w:val="1"/>
                <w:bCs w:val="1"/>
                <w:color w:val="auto"/>
              </w:rPr>
              <w:t>DECEMBER 31, 2021</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SHARES ISSUED</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ORIGINAL</w:t>
            </w:r>
          </w:p>
        </w:tc>
        <w:tc>
          <w:tcPr>
            <w:tcW w:w="880" w:type="dxa"/>
            <w:vAlign w:val="bottom"/>
          </w:tcPr>
          <w:p>
            <w:pPr>
              <w:jc w:val="right"/>
              <w:ind w:right="302"/>
              <w:spacing w:after="0"/>
              <w:rPr>
                <w:sz w:val="20"/>
                <w:szCs w:val="20"/>
                <w:color w:val="auto"/>
              </w:rPr>
            </w:pPr>
            <w:r>
              <w:rPr>
                <w:rFonts w:ascii="Arial" w:cs="Arial" w:eastAsia="Arial" w:hAnsi="Arial"/>
                <w:sz w:val="10"/>
                <w:szCs w:val="10"/>
                <w:b w:val="1"/>
                <w:bCs w:val="1"/>
                <w:color w:val="auto"/>
              </w:rPr>
              <w:t>AND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right"/>
              <w:ind w:right="21"/>
              <w:spacing w:after="0"/>
              <w:rPr>
                <w:sz w:val="20"/>
                <w:szCs w:val="20"/>
                <w:color w:val="auto"/>
              </w:rPr>
            </w:pPr>
            <w:r>
              <w:rPr>
                <w:rFonts w:ascii="Arial" w:cs="Arial" w:eastAsia="Arial" w:hAnsi="Arial"/>
                <w:sz w:val="10"/>
                <w:szCs w:val="10"/>
                <w:b w:val="1"/>
                <w:bCs w:val="1"/>
                <w:color w:val="auto"/>
              </w:rPr>
              <w:t>LIQUIDATION</w:t>
            </w:r>
          </w:p>
        </w:tc>
      </w:t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SERIES</w:t>
            </w:r>
          </w:p>
        </w:tc>
        <w:tc>
          <w:tcPr>
            <w:tcW w:w="2680" w:type="dxa"/>
            <w:vAlign w:val="bottom"/>
            <w:gridSpan w:val="9"/>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AUTHORIZED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ISSUE PRICE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OUTSTANDING</w:t>
            </w:r>
          </w:p>
        </w:tc>
        <w:tc>
          <w:tcPr>
            <w:tcW w:w="1300" w:type="dxa"/>
            <w:vAlign w:val="bottom"/>
            <w:gridSpan w:val="7"/>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CARRYING VALUE </w:t>
            </w:r>
            <w:r>
              <w:rPr>
                <w:rFonts w:ascii="Arial" w:cs="Arial" w:eastAsia="Arial" w:hAnsi="Arial"/>
                <w:sz w:val="17"/>
                <w:szCs w:val="17"/>
                <w:b w:val="1"/>
                <w:bCs w:val="1"/>
                <w:color w:val="auto"/>
                <w:vertAlign w:val="subscript"/>
              </w:rPr>
              <w:t>​ ​</w:t>
            </w:r>
          </w:p>
        </w:tc>
        <w:tc>
          <w:tcPr>
            <w:tcW w:w="60" w:type="dxa"/>
            <w:vAlign w:val="bottom"/>
          </w:tcPr>
          <w:p>
            <w:pPr>
              <w:spacing w:after="0"/>
              <w:rPr>
                <w:sz w:val="13"/>
                <w:szCs w:val="13"/>
                <w:color w:val="auto"/>
              </w:rPr>
            </w:pPr>
          </w:p>
        </w:tc>
        <w:tc>
          <w:tcPr>
            <w:tcW w:w="620" w:type="dxa"/>
            <w:vAlign w:val="bottom"/>
            <w:gridSpan w:val="2"/>
          </w:tcPr>
          <w:p>
            <w:pPr>
              <w:jc w:val="right"/>
              <w:spacing w:after="0" w:line="152" w:lineRule="exact"/>
              <w:rPr>
                <w:sz w:val="20"/>
                <w:szCs w:val="20"/>
                <w:color w:val="auto"/>
              </w:rPr>
            </w:pPr>
            <w:r>
              <w:rPr>
                <w:rFonts w:ascii="Arial" w:cs="Arial" w:eastAsia="Arial" w:hAnsi="Arial"/>
                <w:sz w:val="9"/>
                <w:szCs w:val="9"/>
                <w:b w:val="1"/>
                <w:bCs w:val="1"/>
                <w:color w:val="auto"/>
              </w:rPr>
              <w:t xml:space="preserve">VALUE    </w:t>
            </w:r>
            <w:r>
              <w:rPr>
                <w:rFonts w:ascii="Arial" w:cs="Arial" w:eastAsia="Arial" w:hAnsi="Arial"/>
                <w:sz w:val="17"/>
                <w:szCs w:val="17"/>
                <w:b w:val="1"/>
                <w:bCs w:val="1"/>
                <w:color w:val="auto"/>
                <w:vertAlign w:val="subscript"/>
              </w:rPr>
              <w:t>​</w:t>
            </w:r>
          </w:p>
        </w:tc>
      </w:tr>
      <w:tr>
        <w:trPr>
          <w:trHeight w:val="20"/>
        </w:trPr>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A</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8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19,200,000​​​ ​$</w:t>
            </w: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1.6667 ​​​</w:t>
            </w:r>
            <w:r>
              <w:rPr>
                <w:rFonts w:ascii="Arial" w:cs="Arial" w:eastAsia="Arial" w:hAnsi="Arial"/>
                <w:sz w:val="12"/>
                <w:szCs w:val="12"/>
                <w:b w:val="1"/>
                <w:bCs w:val="1"/>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19,200,000</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99"/>
              </w:rPr>
              <w:t>​ $</w:t>
            </w: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32,001</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1260" w:type="dxa"/>
            <w:vAlign w:val="bottom"/>
          </w:tcPr>
          <w:p>
            <w:pPr>
              <w:spacing w:after="0"/>
              <w:rPr>
                <w:sz w:val="20"/>
                <w:szCs w:val="20"/>
                <w:color w:val="auto"/>
              </w:rPr>
            </w:pPr>
            <w:r>
              <w:rPr>
                <w:rFonts w:ascii="Arial" w:cs="Arial" w:eastAsia="Arial" w:hAnsi="Arial"/>
                <w:sz w:val="12"/>
                <w:szCs w:val="12"/>
                <w:color w:val="auto"/>
              </w:rPr>
              <w:t>A+</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12,799,681​​​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2.0313 ​​​</w:t>
            </w:r>
            <w:r>
              <w:rPr>
                <w:rFonts w:ascii="Arial" w:cs="Arial" w:eastAsia="Arial" w:hAnsi="Arial"/>
                <w:sz w:val="12"/>
                <w:szCs w:val="12"/>
                <w:b w:val="1"/>
                <w:bCs w:val="1"/>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12,799,681</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26,000</w:t>
            </w:r>
          </w:p>
        </w:tc>
        <w:tc>
          <w:tcPr>
            <w:tcW w:w="28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26,000​</w:t>
            </w:r>
          </w:p>
        </w:tc>
      </w:tr>
      <w:tr>
        <w:trPr>
          <w:trHeight w:val="184"/>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B</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24,701,732​​​ ​</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4.0483 ​​​</w:t>
            </w:r>
            <w:r>
              <w:rPr>
                <w:rFonts w:ascii="Arial" w:cs="Arial" w:eastAsia="Arial" w:hAnsi="Arial"/>
                <w:sz w:val="12"/>
                <w:szCs w:val="12"/>
                <w:b w:val="1"/>
                <w:bCs w:val="1"/>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24,701,732</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2"/>
                <w:szCs w:val="12"/>
                <w:color w:val="auto"/>
              </w:rPr>
              <w:t>B-1</w:t>
            </w:r>
          </w:p>
        </w:tc>
        <w:tc>
          <w:tcPr>
            <w:tcW w:w="180" w:type="dxa"/>
            <w:vAlign w:val="bottom"/>
            <w:gridSpan w:val="2"/>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82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2,161,402</w:t>
            </w:r>
            <w:r>
              <w:rPr>
                <w:rFonts w:ascii="Arial" w:cs="Arial" w:eastAsia="Arial" w:hAnsi="Arial"/>
                <w:sz w:val="22"/>
                <w:szCs w:val="22"/>
                <w:color w:val="auto"/>
                <w:vertAlign w:val="subscript"/>
              </w:rPr>
              <w:t>​​​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
              <w:spacing w:after="0" w:line="193" w:lineRule="exact"/>
              <w:rPr>
                <w:sz w:val="20"/>
                <w:szCs w:val="20"/>
                <w:color w:val="auto"/>
              </w:rPr>
            </w:pPr>
            <w:r>
              <w:rPr>
                <w:rFonts w:ascii="Arial" w:cs="Arial" w:eastAsia="Arial" w:hAnsi="Arial"/>
                <w:sz w:val="12"/>
                <w:szCs w:val="12"/>
                <w:color w:val="auto"/>
              </w:rPr>
              <w:t xml:space="preserve">3.2386 </w:t>
            </w:r>
            <w:r>
              <w:rPr>
                <w:rFonts w:ascii="Arial" w:cs="Arial" w:eastAsia="Arial" w:hAnsi="Arial"/>
                <w:sz w:val="22"/>
                <w:szCs w:val="22"/>
                <w:color w:val="auto"/>
                <w:vertAlign w:val="subscript"/>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2,161,402</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8,959</w:t>
            </w:r>
          </w:p>
        </w:tc>
        <w:tc>
          <w:tcPr>
            <w:tcW w:w="28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7,000</w:t>
            </w:r>
            <w:r>
              <w:rPr>
                <w:rFonts w:ascii="Arial" w:cs="Arial" w:eastAsia="Arial" w:hAnsi="Arial"/>
                <w:sz w:val="22"/>
                <w:szCs w:val="22"/>
                <w:color w:val="auto"/>
                <w:vertAlign w:val="subscript"/>
              </w:rPr>
              <w:t>​</w:t>
            </w:r>
          </w:p>
        </w:tc>
      </w:tr>
      <w:tr>
        <w:trPr>
          <w:trHeight w:val="20"/>
        </w:trPr>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20" w:type="dxa"/>
            <w:vAlign w:val="bottom"/>
            <w:gridSpan w:val="3"/>
            <w:shd w:val="clear" w:color="auto" w:fill="CCEEFF"/>
          </w:tcPr>
          <w:p>
            <w:pPr>
              <w:jc w:val="right"/>
              <w:spacing w:after="0" w:line="173" w:lineRule="exact"/>
              <w:rPr>
                <w:sz w:val="20"/>
                <w:szCs w:val="20"/>
                <w:color w:val="auto"/>
              </w:rPr>
            </w:pPr>
            <w:r>
              <w:rPr>
                <w:rFonts w:ascii="Arial" w:cs="Arial" w:eastAsia="Arial" w:hAnsi="Arial"/>
                <w:sz w:val="11"/>
                <w:szCs w:val="11"/>
                <w:color w:val="auto"/>
              </w:rPr>
              <w:t>58,862,815</w:t>
            </w:r>
            <w:r>
              <w:rPr>
                <w:rFonts w:ascii="Arial" w:cs="Arial" w:eastAsia="Arial" w:hAnsi="Arial"/>
                <w:sz w:val="20"/>
                <w:szCs w:val="20"/>
                <w:color w:val="auto"/>
                <w:vertAlign w:val="subscript"/>
              </w:rPr>
              <w:t>​​​ ​</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2"/>
            <w:shd w:val="clear" w:color="auto" w:fill="CCEEFF"/>
          </w:tcPr>
          <w:p>
            <w:pPr>
              <w:jc w:val="right"/>
              <w:ind w:righ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58,862,815</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4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166,960</w:t>
            </w:r>
          </w:p>
        </w:tc>
        <w:tc>
          <w:tcPr>
            <w:tcW w:w="280" w:type="dxa"/>
            <w:vAlign w:val="bottom"/>
            <w:gridSpan w:val="3"/>
            <w:shd w:val="clear" w:color="auto" w:fill="CCEEFF"/>
          </w:tcPr>
          <w:p>
            <w:pPr>
              <w:ind w:left="4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165,001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126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48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-201930</wp:posOffset>
            </wp:positionV>
            <wp:extent cx="153670"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53670" cy="635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-201930</wp:posOffset>
            </wp:positionV>
            <wp:extent cx="147320"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4732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1909445"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909445" cy="635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-675005</wp:posOffset>
            </wp:positionV>
            <wp:extent cx="61595"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-675005</wp:posOffset>
            </wp:positionV>
            <wp:extent cx="61595" cy="63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-675005</wp:posOffset>
            </wp:positionV>
            <wp:extent cx="61595"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-675005</wp:posOffset>
            </wp:positionV>
            <wp:extent cx="61595"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-675005</wp:posOffset>
            </wp:positionV>
            <wp:extent cx="61595"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1595" cy="6350"/>
                    </a:xfrm>
                    <a:prstGeom prst="rect">
                      <a:avLst/>
                    </a:prstGeom>
                    <a:noFill/>
                  </pic:spPr>
                </pic:pic>
              </a:graphicData>
            </a:graphic>
          </wp:anchor>
        </w:drawing>
      </w:r>
    </w:p>
    <w:p>
      <w:pPr>
        <w:spacing w:after="0" w:line="80" w:lineRule="exact"/>
        <w:rPr>
          <w:sz w:val="20"/>
          <w:szCs w:val="20"/>
          <w:color w:val="auto"/>
        </w:rPr>
      </w:pPr>
    </w:p>
    <w:p>
      <w:pPr>
        <w:ind w:left="1560" w:right="2199"/>
        <w:spacing w:after="0" w:line="308" w:lineRule="auto"/>
        <w:rPr>
          <w:sz w:val="20"/>
          <w:szCs w:val="20"/>
          <w:color w:val="auto"/>
        </w:rPr>
      </w:pPr>
      <w:r>
        <w:rPr>
          <w:rFonts w:ascii="Arial" w:cs="Arial" w:eastAsia="Arial" w:hAnsi="Arial"/>
          <w:sz w:val="12"/>
          <w:szCs w:val="12"/>
          <w:color w:val="auto"/>
        </w:rPr>
        <w:t>As of September 30, 2022, redeemable convertible preferred shares consisted of the following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61595</wp:posOffset>
            </wp:positionV>
            <wp:extent cx="3733165"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 ​</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ind w:left="20"/>
              <w:spacing w:after="0"/>
              <w:rPr>
                <w:sz w:val="20"/>
                <w:szCs w:val="20"/>
                <w:color w:val="auto"/>
              </w:rPr>
            </w:pPr>
            <w:r>
              <w:rPr>
                <w:rFonts w:ascii="Arial" w:cs="Arial" w:eastAsia="Arial" w:hAnsi="Arial"/>
                <w:sz w:val="10"/>
                <w:szCs w:val="10"/>
                <w:b w:val="1"/>
                <w:bCs w:val="1"/>
                <w:color w:val="auto"/>
              </w:rPr>
              <w:t>SEPTEMBER 30, 2022</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SHARES ISSUED</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Arial" w:cs="Arial" w:eastAsia="Arial" w:hAnsi="Arial"/>
                <w:sz w:val="10"/>
                <w:szCs w:val="10"/>
                <w:b w:val="1"/>
                <w:bCs w:val="1"/>
                <w:color w:val="auto"/>
              </w:rPr>
              <w:t>SHARES</w:t>
            </w:r>
          </w:p>
        </w:tc>
        <w:tc>
          <w:tcPr>
            <w:tcW w:w="920" w:type="dxa"/>
            <w:vAlign w:val="bottom"/>
            <w:gridSpan w:val="4"/>
          </w:tcPr>
          <w:p>
            <w:pPr>
              <w:jc w:val="right"/>
              <w:ind w:right="328"/>
              <w:spacing w:after="0"/>
              <w:rPr>
                <w:sz w:val="20"/>
                <w:szCs w:val="20"/>
                <w:color w:val="auto"/>
              </w:rPr>
            </w:pPr>
            <w:r>
              <w:rPr>
                <w:rFonts w:ascii="Arial" w:cs="Arial" w:eastAsia="Arial" w:hAnsi="Arial"/>
                <w:sz w:val="10"/>
                <w:szCs w:val="10"/>
                <w:b w:val="1"/>
                <w:bCs w:val="1"/>
                <w:color w:val="auto"/>
              </w:rPr>
              <w:t>ORIGINAL</w:t>
            </w:r>
          </w:p>
        </w:tc>
        <w:tc>
          <w:tcPr>
            <w:tcW w:w="760" w:type="dxa"/>
            <w:vAlign w:val="bottom"/>
          </w:tcPr>
          <w:p>
            <w:pPr>
              <w:jc w:val="right"/>
              <w:ind w:right="300"/>
              <w:spacing w:after="0"/>
              <w:rPr>
                <w:sz w:val="20"/>
                <w:szCs w:val="20"/>
                <w:color w:val="auto"/>
              </w:rPr>
            </w:pPr>
            <w:r>
              <w:rPr>
                <w:rFonts w:ascii="Arial" w:cs="Arial" w:eastAsia="Arial" w:hAnsi="Arial"/>
                <w:sz w:val="10"/>
                <w:szCs w:val="10"/>
                <w:b w:val="1"/>
                <w:bCs w:val="1"/>
                <w:color w:val="auto"/>
              </w:rPr>
              <w:t>AND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right"/>
              <w:ind w:right="21"/>
              <w:spacing w:after="0"/>
              <w:rPr>
                <w:sz w:val="20"/>
                <w:szCs w:val="20"/>
                <w:color w:val="auto"/>
              </w:rPr>
            </w:pPr>
            <w:r>
              <w:rPr>
                <w:rFonts w:ascii="Arial" w:cs="Arial" w:eastAsia="Arial" w:hAnsi="Arial"/>
                <w:sz w:val="10"/>
                <w:szCs w:val="10"/>
                <w:b w:val="1"/>
                <w:bCs w:val="1"/>
                <w:color w:val="auto"/>
              </w:rPr>
              <w:t>LIQUIDATION</w:t>
            </w:r>
          </w:p>
        </w:tc>
      </w:tr>
      <w:tr>
        <w:trPr>
          <w:trHeight w:val="152"/>
        </w:trPr>
        <w:tc>
          <w:tcPr>
            <w:tcW w:w="1260" w:type="dxa"/>
            <w:vAlign w:val="bottom"/>
          </w:tcPr>
          <w:p>
            <w:pPr>
              <w:spacing w:after="0"/>
              <w:rPr>
                <w:sz w:val="20"/>
                <w:szCs w:val="20"/>
                <w:color w:val="auto"/>
              </w:rPr>
            </w:pPr>
            <w:r>
              <w:rPr>
                <w:rFonts w:ascii="Arial" w:cs="Arial" w:eastAsia="Arial" w:hAnsi="Arial"/>
                <w:sz w:val="10"/>
                <w:szCs w:val="10"/>
                <w:b w:val="1"/>
                <w:bCs w:val="1"/>
                <w:color w:val="auto"/>
              </w:rPr>
              <w:t>SERIES</w:t>
            </w:r>
          </w:p>
        </w:tc>
        <w:tc>
          <w:tcPr>
            <w:tcW w:w="2680" w:type="dxa"/>
            <w:vAlign w:val="bottom"/>
            <w:gridSpan w:val="10"/>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AUTHORIZED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ISSUE PRICE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OUTSTANDING</w:t>
            </w:r>
          </w:p>
        </w:tc>
        <w:tc>
          <w:tcPr>
            <w:tcW w:w="1300" w:type="dxa"/>
            <w:vAlign w:val="bottom"/>
            <w:gridSpan w:val="7"/>
          </w:tcPr>
          <w:p>
            <w:pPr>
              <w:ind w:left="2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CARRYING VALUE </w:t>
            </w:r>
            <w:r>
              <w:rPr>
                <w:rFonts w:ascii="Arial" w:cs="Arial" w:eastAsia="Arial" w:hAnsi="Arial"/>
                <w:sz w:val="17"/>
                <w:szCs w:val="17"/>
                <w:b w:val="1"/>
                <w:bCs w:val="1"/>
                <w:color w:val="auto"/>
                <w:vertAlign w:val="subscript"/>
              </w:rPr>
              <w:t>​ ​</w:t>
            </w:r>
          </w:p>
        </w:tc>
        <w:tc>
          <w:tcPr>
            <w:tcW w:w="60" w:type="dxa"/>
            <w:vAlign w:val="bottom"/>
          </w:tcPr>
          <w:p>
            <w:pPr>
              <w:spacing w:after="0"/>
              <w:rPr>
                <w:sz w:val="13"/>
                <w:szCs w:val="13"/>
                <w:color w:val="auto"/>
              </w:rPr>
            </w:pPr>
          </w:p>
        </w:tc>
        <w:tc>
          <w:tcPr>
            <w:tcW w:w="620" w:type="dxa"/>
            <w:vAlign w:val="bottom"/>
            <w:gridSpan w:val="2"/>
          </w:tcPr>
          <w:p>
            <w:pPr>
              <w:jc w:val="right"/>
              <w:spacing w:after="0" w:line="152" w:lineRule="exact"/>
              <w:rPr>
                <w:sz w:val="20"/>
                <w:szCs w:val="20"/>
                <w:color w:val="auto"/>
              </w:rPr>
            </w:pPr>
            <w:r>
              <w:rPr>
                <w:rFonts w:ascii="Arial" w:cs="Arial" w:eastAsia="Arial" w:hAnsi="Arial"/>
                <w:sz w:val="9"/>
                <w:szCs w:val="9"/>
                <w:b w:val="1"/>
                <w:bCs w:val="1"/>
                <w:color w:val="auto"/>
              </w:rPr>
              <w:t xml:space="preserve">VALUE    </w:t>
            </w:r>
            <w:r>
              <w:rPr>
                <w:rFonts w:ascii="Arial" w:cs="Arial" w:eastAsia="Arial" w:hAnsi="Arial"/>
                <w:sz w:val="17"/>
                <w:szCs w:val="17"/>
                <w:b w:val="1"/>
                <w:bCs w:val="1"/>
                <w:color w:val="auto"/>
                <w:vertAlign w:val="subscript"/>
              </w:rPr>
              <w:t>​</w:t>
            </w:r>
          </w:p>
        </w:tc>
      </w:tr>
      <w:tr>
        <w:trPr>
          <w:trHeight w:val="20"/>
        </w:trPr>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A</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8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19,200,000​​​ ​$</w:t>
            </w:r>
          </w:p>
        </w:tc>
        <w:tc>
          <w:tcPr>
            <w:tcW w:w="760" w:type="dxa"/>
            <w:vAlign w:val="bottom"/>
            <w:gridSpan w:val="3"/>
            <w:shd w:val="clear" w:color="auto" w:fill="CCEEFF"/>
          </w:tcPr>
          <w:p>
            <w:pPr>
              <w:jc w:val="right"/>
              <w:ind w:right="88"/>
              <w:spacing w:after="0"/>
              <w:rPr>
                <w:sz w:val="20"/>
                <w:szCs w:val="20"/>
                <w:color w:val="auto"/>
              </w:rPr>
            </w:pPr>
            <w:r>
              <w:rPr>
                <w:rFonts w:ascii="Arial" w:cs="Arial" w:eastAsia="Arial" w:hAnsi="Arial"/>
                <w:sz w:val="12"/>
                <w:szCs w:val="12"/>
                <w:color w:val="auto"/>
              </w:rPr>
              <w:t>1.6667 ​​​</w:t>
            </w:r>
            <w:r>
              <w:rPr>
                <w:rFonts w:ascii="Arial" w:cs="Arial" w:eastAsia="Arial" w:hAnsi="Arial"/>
                <w:sz w:val="12"/>
                <w:szCs w:val="12"/>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19,200,000</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99"/>
              </w:rPr>
              <w:t>​ $</w:t>
            </w: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32,001</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32,001</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1260" w:type="dxa"/>
            <w:vAlign w:val="bottom"/>
          </w:tcPr>
          <w:p>
            <w:pPr>
              <w:spacing w:after="0"/>
              <w:rPr>
                <w:sz w:val="20"/>
                <w:szCs w:val="20"/>
                <w:color w:val="auto"/>
              </w:rPr>
            </w:pPr>
            <w:r>
              <w:rPr>
                <w:rFonts w:ascii="Arial" w:cs="Arial" w:eastAsia="Arial" w:hAnsi="Arial"/>
                <w:sz w:val="12"/>
                <w:szCs w:val="12"/>
                <w:color w:val="auto"/>
              </w:rPr>
              <w:t>A+</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12,799,681​​​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8"/>
              <w:spacing w:after="0"/>
              <w:rPr>
                <w:sz w:val="20"/>
                <w:szCs w:val="20"/>
                <w:color w:val="auto"/>
              </w:rPr>
            </w:pPr>
            <w:r>
              <w:rPr>
                <w:rFonts w:ascii="Arial" w:cs="Arial" w:eastAsia="Arial" w:hAnsi="Arial"/>
                <w:sz w:val="12"/>
                <w:szCs w:val="12"/>
                <w:color w:val="auto"/>
              </w:rPr>
              <w:t>2.0313 ​​​</w:t>
            </w: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12,799,681</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26,000</w:t>
            </w:r>
          </w:p>
        </w:tc>
        <w:tc>
          <w:tcPr>
            <w:tcW w:w="28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26,000​</w:t>
            </w:r>
          </w:p>
        </w:tc>
      </w:tr>
      <w:tr>
        <w:trPr>
          <w:trHeight w:val="184"/>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B</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32,857,004​​​ ​</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88"/>
              <w:spacing w:after="0"/>
              <w:rPr>
                <w:sz w:val="20"/>
                <w:szCs w:val="20"/>
                <w:color w:val="auto"/>
              </w:rPr>
            </w:pPr>
            <w:r>
              <w:rPr>
                <w:rFonts w:ascii="Arial" w:cs="Arial" w:eastAsia="Arial" w:hAnsi="Arial"/>
                <w:sz w:val="12"/>
                <w:szCs w:val="12"/>
                <w:color w:val="auto"/>
              </w:rPr>
              <w:t>4.0483 ​​​</w:t>
            </w:r>
            <w:r>
              <w:rPr>
                <w:rFonts w:ascii="Arial" w:cs="Arial" w:eastAsia="Arial" w:hAnsi="Arial"/>
                <w:sz w:val="12"/>
                <w:szCs w:val="12"/>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32,857,004</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133,015</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133,015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1260" w:type="dxa"/>
            <w:vAlign w:val="bottom"/>
          </w:tcPr>
          <w:p>
            <w:pPr>
              <w:spacing w:after="0"/>
              <w:rPr>
                <w:sz w:val="20"/>
                <w:szCs w:val="20"/>
                <w:color w:val="auto"/>
              </w:rPr>
            </w:pPr>
            <w:r>
              <w:rPr>
                <w:rFonts w:ascii="Arial" w:cs="Arial" w:eastAsia="Arial" w:hAnsi="Arial"/>
                <w:sz w:val="12"/>
                <w:szCs w:val="12"/>
                <w:color w:val="auto"/>
              </w:rPr>
              <w:t>B-1</w:t>
            </w:r>
          </w:p>
        </w:tc>
        <w:tc>
          <w:tcPr>
            <w:tcW w:w="180" w:type="dxa"/>
            <w:vAlign w:val="bottom"/>
            <w:gridSpan w:val="2"/>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82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2,161,402</w:t>
            </w:r>
            <w:r>
              <w:rPr>
                <w:rFonts w:ascii="Arial" w:cs="Arial" w:eastAsia="Arial" w:hAnsi="Arial"/>
                <w:sz w:val="22"/>
                <w:szCs w:val="22"/>
                <w:color w:val="auto"/>
                <w:vertAlign w:val="subscript"/>
              </w:rPr>
              <w:t>​​​ ​</w:t>
            </w:r>
          </w:p>
        </w:tc>
        <w:tc>
          <w:tcPr>
            <w:tcW w:w="160" w:type="dxa"/>
            <w:vAlign w:val="bottom"/>
          </w:tcPr>
          <w:p>
            <w:pPr>
              <w:ind w:lef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8"/>
              <w:spacing w:after="0" w:line="193" w:lineRule="exact"/>
              <w:rPr>
                <w:sz w:val="20"/>
                <w:szCs w:val="20"/>
                <w:color w:val="auto"/>
              </w:rPr>
            </w:pPr>
            <w:r>
              <w:rPr>
                <w:rFonts w:ascii="Arial" w:cs="Arial" w:eastAsia="Arial" w:hAnsi="Arial"/>
                <w:sz w:val="12"/>
                <w:szCs w:val="12"/>
                <w:color w:val="auto"/>
              </w:rPr>
              <w:t xml:space="preserve">3.2386 </w:t>
            </w:r>
            <w:r>
              <w:rPr>
                <w:rFonts w:ascii="Arial" w:cs="Arial" w:eastAsia="Arial" w:hAnsi="Arial"/>
                <w:sz w:val="22"/>
                <w:szCs w:val="22"/>
                <w:color w:val="auto"/>
                <w:vertAlign w:val="subscript"/>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2,161,402</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8,959</w:t>
            </w:r>
          </w:p>
        </w:tc>
        <w:tc>
          <w:tcPr>
            <w:tcW w:w="28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7,000</w:t>
            </w:r>
            <w:r>
              <w:rPr>
                <w:rFonts w:ascii="Arial" w:cs="Arial" w:eastAsia="Arial" w:hAnsi="Arial"/>
                <w:sz w:val="22"/>
                <w:szCs w:val="22"/>
                <w:color w:val="auto"/>
                <w:vertAlign w:val="subscript"/>
              </w:rPr>
              <w:t>​</w:t>
            </w:r>
          </w:p>
        </w:tc>
      </w:tr>
      <w:tr>
        <w:trPr>
          <w:trHeight w:val="20"/>
        </w:trPr>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20" w:type="dxa"/>
            <w:vAlign w:val="bottom"/>
            <w:gridSpan w:val="3"/>
            <w:shd w:val="clear" w:color="auto" w:fill="CCEEFF"/>
          </w:tcPr>
          <w:p>
            <w:pPr>
              <w:jc w:val="right"/>
              <w:spacing w:after="0" w:line="173" w:lineRule="exact"/>
              <w:rPr>
                <w:sz w:val="20"/>
                <w:szCs w:val="20"/>
                <w:color w:val="auto"/>
              </w:rPr>
            </w:pPr>
            <w:r>
              <w:rPr>
                <w:rFonts w:ascii="Arial" w:cs="Arial" w:eastAsia="Arial" w:hAnsi="Arial"/>
                <w:sz w:val="11"/>
                <w:szCs w:val="11"/>
                <w:color w:val="auto"/>
              </w:rPr>
              <w:t>67,018,087</w:t>
            </w:r>
            <w:r>
              <w:rPr>
                <w:rFonts w:ascii="Arial" w:cs="Arial" w:eastAsia="Arial" w:hAnsi="Arial"/>
                <w:sz w:val="20"/>
                <w:szCs w:val="20"/>
                <w:color w:val="auto"/>
                <w:vertAlign w:val="subscript"/>
              </w:rPr>
              <w:t>​​​ ​</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88"/>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67,018,087</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40"/>
              <w:spacing w:after="0" w:line="173" w:lineRule="exact"/>
              <w:rPr>
                <w:sz w:val="20"/>
                <w:szCs w:val="20"/>
                <w:color w:val="auto"/>
              </w:rPr>
            </w:pPr>
            <w:r>
              <w:rPr>
                <w:rFonts w:ascii="Arial" w:cs="Arial" w:eastAsia="Arial" w:hAnsi="Arial"/>
                <w:sz w:val="11"/>
                <w:szCs w:val="11"/>
                <w:color w:val="auto"/>
                <w:w w:val="95"/>
              </w:rPr>
              <w:t xml:space="preserve">​ </w:t>
            </w:r>
            <w:r>
              <w:rPr>
                <w:rFonts w:ascii="Arial" w:cs="Arial" w:eastAsia="Arial" w:hAnsi="Arial"/>
                <w:sz w:val="20"/>
                <w:szCs w:val="20"/>
                <w:color w:val="auto"/>
                <w:w w:val="95"/>
                <w:vertAlign w:val="superscript"/>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199,975</w:t>
            </w:r>
          </w:p>
        </w:tc>
        <w:tc>
          <w:tcPr>
            <w:tcW w:w="280" w:type="dxa"/>
            <w:vAlign w:val="bottom"/>
            <w:gridSpan w:val="3"/>
            <w:shd w:val="clear" w:color="auto" w:fill="CCEEFF"/>
          </w:tcPr>
          <w:p>
            <w:pPr>
              <w:ind w:left="4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198,016</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126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48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-201930</wp:posOffset>
            </wp:positionV>
            <wp:extent cx="153670"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53670" cy="635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-201930</wp:posOffset>
            </wp:positionV>
            <wp:extent cx="147320"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4732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1909445"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909445" cy="635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-675005</wp:posOffset>
            </wp:positionV>
            <wp:extent cx="61595"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-675005</wp:posOffset>
            </wp:positionV>
            <wp:extent cx="61595"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-675005</wp:posOffset>
            </wp:positionV>
            <wp:extent cx="61595"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-675005</wp:posOffset>
            </wp:positionV>
            <wp:extent cx="61595"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1595" cy="6350"/>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-675005</wp:posOffset>
            </wp:positionV>
            <wp:extent cx="61595"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1595" cy="6350"/>
                    </a:xfrm>
                    <a:prstGeom prst="rect">
                      <a:avLst/>
                    </a:prstGeom>
                    <a:noFill/>
                  </pic:spPr>
                </pic:pic>
              </a:graphicData>
            </a:graphic>
          </wp:anchor>
        </w:drawing>
      </w:r>
    </w:p>
    <w:p>
      <w:pPr>
        <w:spacing w:after="0" w:line="70" w:lineRule="exact"/>
        <w:rPr>
          <w:sz w:val="20"/>
          <w:szCs w:val="20"/>
          <w:color w:val="auto"/>
        </w:rPr>
      </w:pPr>
    </w:p>
    <w:p>
      <w:pPr>
        <w:ind w:left="1560" w:right="1639"/>
        <w:spacing w:after="0" w:line="308" w:lineRule="auto"/>
        <w:rPr>
          <w:sz w:val="20"/>
          <w:szCs w:val="20"/>
          <w:color w:val="auto"/>
        </w:rPr>
      </w:pPr>
      <w:r>
        <w:rPr>
          <w:rFonts w:ascii="Arial" w:cs="Arial" w:eastAsia="Arial" w:hAnsi="Arial"/>
          <w:sz w:val="12"/>
          <w:szCs w:val="12"/>
          <w:color w:val="auto"/>
        </w:rPr>
        <w:t>The original issuance price in the table above reflects the stated issuance price per the respective purchase agreements.</w:t>
      </w:r>
    </w:p>
    <w:p>
      <w:pPr>
        <w:spacing w:after="0" w:line="62" w:lineRule="exact"/>
        <w:rPr>
          <w:sz w:val="20"/>
          <w:szCs w:val="20"/>
          <w:color w:val="auto"/>
        </w:rPr>
      </w:pPr>
    </w:p>
    <w:p>
      <w:pPr>
        <w:ind w:left="1560" w:right="1919"/>
        <w:spacing w:after="0" w:line="271" w:lineRule="auto"/>
        <w:rPr>
          <w:sz w:val="20"/>
          <w:szCs w:val="20"/>
          <w:color w:val="auto"/>
        </w:rPr>
      </w:pPr>
      <w:r>
        <w:rPr>
          <w:rFonts w:ascii="Arial" w:cs="Arial" w:eastAsia="Arial" w:hAnsi="Arial"/>
          <w:sz w:val="12"/>
          <w:szCs w:val="12"/>
          <w:color w:val="auto"/>
        </w:rPr>
        <w:t>In April 2022, the Company issued and sold an additional 8,155,272 shares of its Series B redeemable convertible preferred shares for gross proceeds of  $33.0 million, pari-passu with the current Series B shareholders. The issuance of the additional Series B redeemable convertible preferred shares was recorded at the amount of gross proceeds received less issuance costs of  $1.5 million. During the</w:t>
      </w:r>
    </w:p>
    <w:p>
      <w:pPr>
        <w:spacing w:after="0" w:line="2" w:lineRule="exact"/>
        <w:rPr>
          <w:sz w:val="20"/>
          <w:szCs w:val="20"/>
          <w:color w:val="auto"/>
        </w:rPr>
      </w:pPr>
    </w:p>
    <w:p>
      <w:pPr>
        <w:ind w:left="1560" w:right="1659"/>
        <w:spacing w:after="0" w:line="298" w:lineRule="auto"/>
        <w:rPr>
          <w:sz w:val="20"/>
          <w:szCs w:val="20"/>
          <w:color w:val="auto"/>
        </w:rPr>
      </w:pPr>
      <w:r>
        <w:rPr>
          <w:rFonts w:ascii="Arial" w:cs="Arial" w:eastAsia="Arial" w:hAnsi="Arial"/>
          <w:sz w:val="12"/>
          <w:szCs w:val="12"/>
          <w:color w:val="auto"/>
        </w:rPr>
        <w:t>nine months ended September 30, 2022, the carrying value of the redeemable convertible preferred shares was adjusted to equal to its redemption value.</w:t>
      </w:r>
    </w:p>
    <w:p>
      <w:pPr>
        <w:spacing w:after="0" w:line="108" w:lineRule="exact"/>
        <w:rPr>
          <w:sz w:val="20"/>
          <w:szCs w:val="20"/>
          <w:color w:val="auto"/>
        </w:rPr>
      </w:pPr>
    </w:p>
    <w:p>
      <w:pPr>
        <w:ind w:left="1560"/>
        <w:spacing w:after="0"/>
        <w:rPr>
          <w:sz w:val="20"/>
          <w:szCs w:val="20"/>
          <w:color w:val="auto"/>
        </w:rPr>
      </w:pPr>
      <w:r>
        <w:rPr>
          <w:rFonts w:ascii="Arial" w:cs="Arial" w:eastAsia="Arial" w:hAnsi="Arial"/>
          <w:sz w:val="12"/>
          <w:szCs w:val="12"/>
          <w:b w:val="1"/>
          <w:bCs w:val="1"/>
          <w:i w:val="1"/>
          <w:iCs w:val="1"/>
          <w:color w:val="auto"/>
        </w:rPr>
        <w:t>Rights, Preferences and Privileges</w:t>
      </w:r>
    </w:p>
    <w:p>
      <w:pPr>
        <w:spacing w:after="0" w:line="44" w:lineRule="exact"/>
        <w:rPr>
          <w:sz w:val="20"/>
          <w:szCs w:val="20"/>
          <w:color w:val="auto"/>
        </w:rPr>
      </w:pPr>
    </w:p>
    <w:p>
      <w:pPr>
        <w:ind w:left="1560" w:right="1819"/>
        <w:spacing w:after="0" w:line="304" w:lineRule="auto"/>
        <w:rPr>
          <w:sz w:val="20"/>
          <w:szCs w:val="20"/>
          <w:color w:val="auto"/>
        </w:rPr>
      </w:pPr>
      <w:r>
        <w:rPr>
          <w:rFonts w:ascii="Arial" w:cs="Arial" w:eastAsia="Arial" w:hAnsi="Arial"/>
          <w:sz w:val="12"/>
          <w:szCs w:val="12"/>
          <w:color w:val="auto"/>
        </w:rPr>
        <w:t>The rights, preferences and privileges of the Company’s redeemable convertible preferred shares are as follows:</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Voting Rights</w:t>
      </w:r>
    </w:p>
    <w:p>
      <w:pPr>
        <w:spacing w:after="0" w:line="82" w:lineRule="exact"/>
        <w:rPr>
          <w:sz w:val="20"/>
          <w:szCs w:val="20"/>
          <w:color w:val="auto"/>
        </w:rPr>
      </w:pPr>
    </w:p>
    <w:p>
      <w:pPr>
        <w:ind w:left="1560" w:right="1699"/>
        <w:spacing w:after="0" w:line="288" w:lineRule="auto"/>
        <w:rPr>
          <w:sz w:val="20"/>
          <w:szCs w:val="20"/>
          <w:color w:val="auto"/>
        </w:rPr>
      </w:pPr>
      <w:r>
        <w:rPr>
          <w:rFonts w:ascii="Arial" w:cs="Arial" w:eastAsia="Arial" w:hAnsi="Arial"/>
          <w:sz w:val="12"/>
          <w:szCs w:val="12"/>
          <w:color w:val="auto"/>
        </w:rPr>
        <w:t>Each share of redeemable convertible preferred share has the same voting rights as the number of shares of ordinary shares into which it is convertible and votes together with the holders of ordinary shares as a single class.</w:t>
      </w:r>
    </w:p>
    <w:p>
      <w:pPr>
        <w:spacing w:after="0" w:line="74" w:lineRule="exact"/>
        <w:rPr>
          <w:sz w:val="20"/>
          <w:szCs w:val="20"/>
          <w:color w:val="auto"/>
        </w:rPr>
      </w:pPr>
    </w:p>
    <w:p>
      <w:pPr>
        <w:ind w:left="1560" w:right="1639"/>
        <w:spacing w:after="0" w:line="281" w:lineRule="auto"/>
        <w:rPr>
          <w:sz w:val="20"/>
          <w:szCs w:val="20"/>
          <w:color w:val="auto"/>
        </w:rPr>
      </w:pPr>
      <w:r>
        <w:rPr>
          <w:rFonts w:ascii="Arial" w:cs="Arial" w:eastAsia="Arial" w:hAnsi="Arial"/>
          <w:sz w:val="12"/>
          <w:szCs w:val="12"/>
          <w:color w:val="auto"/>
        </w:rPr>
        <w:t>The holders of shares of Series B redeemable convertible preferred shares shall be entitled, voting separately as a single class, to elect two directors of the Company (the “Series B Directors”). The holders of shares of Series A+ redeemable convertible preferred shares shall be entitled, voting separately as a single class, to elect two directors of the Company (the “Series A+ Directors”). The holders of shares of Series A redeemable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168910</wp:posOffset>
            </wp:positionV>
            <wp:extent cx="4900295" cy="3746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1" w:name="page292"/>
    <w:bookmarkEnd w:id="291"/>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convertible preferred shares shall be entitled, voting separately as a single class, to elect two directors of the Company (the “Series A Directors”). The holders of ordinary shares shall be entitled, voting separately as a single class, to elect two directors of the Company. The holders of ordinary shares and redeemable convertible preferred shares shall be entitled, voting together, to elect the remaining directors of the Company.​</w:t>
      </w:r>
    </w:p>
    <w:p>
      <w:pPr>
        <w:spacing w:after="0" w:line="272"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Dividends</w:t>
      </w:r>
    </w:p>
    <w:p>
      <w:pPr>
        <w:spacing w:after="0" w:line="102" w:lineRule="exact"/>
        <w:rPr>
          <w:sz w:val="20"/>
          <w:szCs w:val="20"/>
          <w:color w:val="auto"/>
        </w:rPr>
      </w:pPr>
    </w:p>
    <w:p>
      <w:pPr>
        <w:ind w:left="1560" w:right="1599"/>
        <w:spacing w:after="0" w:line="282" w:lineRule="auto"/>
        <w:rPr>
          <w:sz w:val="20"/>
          <w:szCs w:val="20"/>
          <w:color w:val="auto"/>
        </w:rPr>
      </w:pPr>
      <w:r>
        <w:rPr>
          <w:rFonts w:ascii="Arial" w:cs="Arial" w:eastAsia="Arial" w:hAnsi="Arial"/>
          <w:sz w:val="12"/>
          <w:szCs w:val="12"/>
          <w:color w:val="auto"/>
        </w:rPr>
        <w:t xml:space="preserve">Holders of outstanding shares of redeemable convertible preferred shares are entitled on a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basis, to participate ratably (on an as if converted to ordinary shares basis) in the payment of any dividends when, as and if declared by the board of directors on the ordinary shares. Dividends are noncumulative, and none were declared as of December 31, 2021 and September 30, 2022.</w:t>
      </w:r>
    </w:p>
    <w:p>
      <w:pPr>
        <w:spacing w:after="0" w:line="1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Liquidation</w:t>
      </w:r>
    </w:p>
    <w:p>
      <w:pPr>
        <w:spacing w:after="0" w:line="92" w:lineRule="exact"/>
        <w:rPr>
          <w:sz w:val="20"/>
          <w:szCs w:val="20"/>
          <w:color w:val="auto"/>
        </w:rPr>
      </w:pPr>
    </w:p>
    <w:p>
      <w:pPr>
        <w:ind w:left="1560" w:right="1579"/>
        <w:spacing w:after="0" w:line="276" w:lineRule="auto"/>
        <w:rPr>
          <w:sz w:val="20"/>
          <w:szCs w:val="20"/>
          <w:color w:val="auto"/>
        </w:rPr>
      </w:pPr>
      <w:r>
        <w:rPr>
          <w:rFonts w:ascii="Arial" w:cs="Arial" w:eastAsia="Arial" w:hAnsi="Arial"/>
          <w:sz w:val="12"/>
          <w:szCs w:val="12"/>
          <w:color w:val="auto"/>
        </w:rPr>
        <w:t>In the event of any liquidation, dissolution or winding up of the Company, or deemed liquidation event, either voluntary or involuntary (“Liquidation”), the holders of Series B-1 and Series B redeemable convertible preferred shares shall be entitled to receive, prior and in preference to any distribution of any of the assets of the Company to the holders of Series A+ and Series A redeemable convertible preferred shares and ordinary shares, an amount equal to $3.2386 per share and $4.0483 per share, respectively, plus all declared but unpaid dividends.</w:t>
      </w:r>
    </w:p>
    <w:p>
      <w:pPr>
        <w:spacing w:after="0" w:line="82"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If, upon the occurrence of the Liquidation, the assets and funds thus distributed among the holders of Series B-1 and Series B redeemable convertible preferred shares shall be insufficient to permit the payment to such holders of the full amounts, then the entire assets and funds of the Company legally available for distribution shall be distributed ratably among the holders of Series B-1 and Series B redeemable convertible preferred shares in proportion to the preferential amount each such holder is otherwise entitled to receive.</w:t>
      </w:r>
    </w:p>
    <w:p>
      <w:pPr>
        <w:spacing w:after="0" w:line="81" w:lineRule="exact"/>
        <w:rPr>
          <w:sz w:val="20"/>
          <w:szCs w:val="20"/>
          <w:color w:val="auto"/>
        </w:rPr>
      </w:pPr>
    </w:p>
    <w:p>
      <w:pPr>
        <w:ind w:left="1560" w:right="1579"/>
        <w:spacing w:after="0" w:line="278" w:lineRule="auto"/>
        <w:rPr>
          <w:sz w:val="20"/>
          <w:szCs w:val="20"/>
          <w:color w:val="auto"/>
        </w:rPr>
      </w:pPr>
      <w:r>
        <w:rPr>
          <w:rFonts w:ascii="Arial" w:cs="Arial" w:eastAsia="Arial" w:hAnsi="Arial"/>
          <w:sz w:val="12"/>
          <w:szCs w:val="12"/>
          <w:color w:val="auto"/>
        </w:rPr>
        <w:t>After the payment to the holders of Series B-1 and Series B redeemable convertible preferred shares of the full preferential amounts specified above, the holders of Series A+ and Series A redeemable convertible preferred shares shall be entitled to receive, prior and in preference to any distribution of any of the assets of the Company to the holders of ordinary shares, an amount equal to $2.0313 per share and $1.6667 per share, respectively, plus all declared but unpaid dividends.</w:t>
      </w:r>
    </w:p>
    <w:p>
      <w:pPr>
        <w:spacing w:after="0" w:line="71" w:lineRule="exact"/>
        <w:rPr>
          <w:sz w:val="20"/>
          <w:szCs w:val="20"/>
          <w:color w:val="auto"/>
        </w:rPr>
      </w:pPr>
    </w:p>
    <w:p>
      <w:pPr>
        <w:ind w:left="1560" w:right="1619"/>
        <w:spacing w:after="0" w:line="278" w:lineRule="auto"/>
        <w:rPr>
          <w:sz w:val="20"/>
          <w:szCs w:val="20"/>
          <w:color w:val="auto"/>
        </w:rPr>
      </w:pPr>
      <w:r>
        <w:rPr>
          <w:rFonts w:ascii="Arial" w:cs="Arial" w:eastAsia="Arial" w:hAnsi="Arial"/>
          <w:sz w:val="12"/>
          <w:szCs w:val="12"/>
          <w:color w:val="auto"/>
        </w:rPr>
        <w:t>If, upon the occurrence of the Liquidation, the assets and funds thus distributed among the holders of Series A+ and Series A redeemable convertible preferred shares shall be insufficient to permit the payment to such holders of the full amounts, then the entire assets and funds of the Company legally available for distribution shall be distributed ratably among the holders of Series A+ and Series A redeemable convertible preferred shares in proportion to the preferential amount each such holder is otherwise entitled to receive.</w:t>
      </w:r>
    </w:p>
    <w:p>
      <w:pPr>
        <w:spacing w:after="0" w:line="81" w:lineRule="exact"/>
        <w:rPr>
          <w:sz w:val="20"/>
          <w:szCs w:val="20"/>
          <w:color w:val="auto"/>
        </w:rPr>
      </w:pPr>
    </w:p>
    <w:p>
      <w:pPr>
        <w:ind w:left="1560" w:right="1659"/>
        <w:spacing w:after="0" w:line="275" w:lineRule="auto"/>
        <w:rPr>
          <w:sz w:val="20"/>
          <w:szCs w:val="20"/>
          <w:color w:val="auto"/>
        </w:rPr>
      </w:pPr>
      <w:r>
        <w:rPr>
          <w:rFonts w:ascii="Arial" w:cs="Arial" w:eastAsia="Arial" w:hAnsi="Arial"/>
          <w:sz w:val="12"/>
          <w:szCs w:val="12"/>
          <w:color w:val="auto"/>
        </w:rPr>
        <w:t>After the payment to the holders of redeemable convertible preferred shares of the full preferential amounts specified above, the remaining assets of the Company available for distribution to shareholders shall be distributed among the holders of ordinary shares and redeemable convertible preferred shares pro rata based on the number of shares held by each such holder if all shares of each such series of redeemable convertible preferred shares were converted to ordinary shares until such time as the aggregate amount distributed to the holders of redeemable convertible preferred shares is equal to three times the applicable original issue price per redeemable convertible preferred shares then held by them.</w:t>
      </w:r>
    </w:p>
    <w:p>
      <w:pPr>
        <w:spacing w:after="0" w:line="82" w:lineRule="exact"/>
        <w:rPr>
          <w:sz w:val="20"/>
          <w:szCs w:val="20"/>
          <w:color w:val="auto"/>
        </w:rPr>
      </w:pPr>
    </w:p>
    <w:p>
      <w:pPr>
        <w:ind w:left="1560" w:right="1699"/>
        <w:spacing w:after="0" w:line="282" w:lineRule="auto"/>
        <w:rPr>
          <w:sz w:val="20"/>
          <w:szCs w:val="20"/>
          <w:color w:val="auto"/>
        </w:rPr>
      </w:pPr>
      <w:r>
        <w:rPr>
          <w:rFonts w:ascii="Arial" w:cs="Arial" w:eastAsia="Arial" w:hAnsi="Arial"/>
          <w:sz w:val="12"/>
          <w:szCs w:val="12"/>
          <w:color w:val="auto"/>
        </w:rPr>
        <w:t>After the payment to the holders of ordinary shares and redeemable convertible preferred shares of the full amounts specified above, all of the remaining assets of the Company available for distribution to shareholders shall be distributed among the holders of ordinary shares pro rata based on the number of shares of ordinary shares held by each such holder.</w:t>
      </w:r>
    </w:p>
    <w:p>
      <w:pPr>
        <w:spacing w:after="0" w:line="11"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Conversion</w:t>
      </w:r>
    </w:p>
    <w:p>
      <w:pPr>
        <w:spacing w:after="0" w:line="92" w:lineRule="exact"/>
        <w:rPr>
          <w:sz w:val="20"/>
          <w:szCs w:val="20"/>
          <w:color w:val="auto"/>
        </w:rPr>
      </w:pPr>
    </w:p>
    <w:p>
      <w:pPr>
        <w:jc w:val="both"/>
        <w:ind w:left="1560" w:right="1859"/>
        <w:spacing w:after="0" w:line="288" w:lineRule="auto"/>
        <w:rPr>
          <w:sz w:val="20"/>
          <w:szCs w:val="20"/>
          <w:color w:val="auto"/>
        </w:rPr>
      </w:pPr>
      <w:r>
        <w:rPr>
          <w:rFonts w:ascii="Arial" w:cs="Arial" w:eastAsia="Arial" w:hAnsi="Arial"/>
          <w:sz w:val="12"/>
          <w:szCs w:val="12"/>
          <w:color w:val="auto"/>
        </w:rPr>
        <w:t>Each share of redeemable convertible preferred share is convertible, at the option of the holder, into the number of fully-paid and non-assessable ordinary shares that result from dividing the applicable original issue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2" w:name="page293"/>
    <w:bookmarkEnd w:id="292"/>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1799"/>
        <w:spacing w:after="0" w:line="362" w:lineRule="auto"/>
        <w:rPr>
          <w:sz w:val="20"/>
          <w:szCs w:val="20"/>
          <w:color w:val="auto"/>
        </w:rPr>
      </w:pPr>
      <w:r>
        <w:rPr>
          <w:rFonts w:ascii="Arial" w:cs="Arial" w:eastAsia="Arial" w:hAnsi="Arial"/>
          <w:sz w:val="12"/>
          <w:szCs w:val="12"/>
          <w:color w:val="auto"/>
        </w:rPr>
        <w:t>price per share by the applicable conversion price per share at the time of conversion. Redeemable convertible preferred shares are convertible into the Company’s ordinary shares on a one-for-one basis.​</w:t>
      </w:r>
    </w:p>
    <w:p>
      <w:pPr>
        <w:spacing w:after="0" w:line="164" w:lineRule="exact"/>
        <w:rPr>
          <w:sz w:val="20"/>
          <w:szCs w:val="20"/>
          <w:color w:val="auto"/>
        </w:rPr>
      </w:pPr>
    </w:p>
    <w:p>
      <w:pPr>
        <w:ind w:left="1560" w:right="1679"/>
        <w:spacing w:after="0" w:line="274" w:lineRule="auto"/>
        <w:rPr>
          <w:sz w:val="20"/>
          <w:szCs w:val="20"/>
          <w:color w:val="auto"/>
        </w:rPr>
      </w:pPr>
      <w:r>
        <w:rPr>
          <w:rFonts w:ascii="Arial" w:cs="Arial" w:eastAsia="Arial" w:hAnsi="Arial"/>
          <w:sz w:val="12"/>
          <w:szCs w:val="12"/>
          <w:color w:val="auto"/>
        </w:rPr>
        <w:t>Each share of redeemable convertible preferred share is convertible into ordinary shares automatically immediately upon the earlier of  (i) the Company’s consummation of an initial public offering of the ordinary shares on an internationally recognized stock exchange (which may include, without limitation, the Hong Kong Exchange, the New York Stock Exchange or the Nasdaq Stock Market) at a public offering price per share price that implies a market capitalization of the Company immediately prior to the offering of not less than $400.0 million, and having an aggregate offering amount of not less than $60.0 million (a “Qualified IPO”), or (ii) the Company’s receipt of a written request for such conversion from the holders of the majority of the then outstanding shares of redeemable convertible preferred shares on an as-converted to ordinary shares basis.</w:t>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Redemption</w:t>
      </w:r>
    </w:p>
    <w:p>
      <w:pPr>
        <w:spacing w:after="0" w:line="102" w:lineRule="exact"/>
        <w:rPr>
          <w:sz w:val="20"/>
          <w:szCs w:val="20"/>
          <w:color w:val="auto"/>
        </w:rPr>
      </w:pPr>
    </w:p>
    <w:p>
      <w:pPr>
        <w:ind w:left="1560" w:right="1599"/>
        <w:spacing w:after="0" w:line="276" w:lineRule="auto"/>
        <w:rPr>
          <w:sz w:val="20"/>
          <w:szCs w:val="20"/>
          <w:color w:val="auto"/>
        </w:rPr>
      </w:pPr>
      <w:r>
        <w:rPr>
          <w:rFonts w:ascii="Arial" w:cs="Arial" w:eastAsia="Arial" w:hAnsi="Arial"/>
          <w:sz w:val="12"/>
          <w:szCs w:val="12"/>
          <w:color w:val="auto"/>
        </w:rPr>
        <w:t>The redeemable convertible preferred shares are recorded within mezzanine equity because they will become redeemable at the option of the shareholders upon the occurrence of certain deemed liquidation events that are considered not solely within the Company’s control or after April 29, 2026. The Company made an accounting policy election to recognize changes in the redemption value of redeemable convertible preferred shares immediately as they occur and adjust the carrying value of redeemable convertible preferred shares to equal it to its redemption value at the end of each reporting period.</w:t>
      </w:r>
    </w:p>
    <w:p>
      <w:pPr>
        <w:spacing w:after="0" w:line="7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8. Basecamp Bio Inc.</w:t>
      </w:r>
    </w:p>
    <w:p>
      <w:pPr>
        <w:spacing w:after="0" w:line="123" w:lineRule="exact"/>
        <w:rPr>
          <w:sz w:val="20"/>
          <w:szCs w:val="20"/>
          <w:color w:val="auto"/>
        </w:rPr>
      </w:pPr>
    </w:p>
    <w:p>
      <w:pPr>
        <w:ind w:left="1560" w:right="1599"/>
        <w:spacing w:after="0" w:line="271" w:lineRule="auto"/>
        <w:rPr>
          <w:sz w:val="20"/>
          <w:szCs w:val="20"/>
          <w:color w:val="auto"/>
        </w:rPr>
      </w:pPr>
      <w:r>
        <w:rPr>
          <w:rFonts w:ascii="Arial" w:cs="Arial" w:eastAsia="Arial" w:hAnsi="Arial"/>
          <w:sz w:val="12"/>
          <w:szCs w:val="12"/>
          <w:color w:val="auto"/>
        </w:rPr>
        <w:t>In March 2021, Basecamp entered into a purchase agreement with certain investors to issue and sell 9,000,000 shares of its Series Seed redeemable convertible preferred shares of Basecamp at a price of $1.00 per share for total gross proceeds of  $9.0 million. Of the 9,000,000 shares of Series Seed redeemable convertible preferred shares, 2,000,000 shares were issued to the Company and the remaining 7,000,000 shares were issued to other existing investors of the Company. Concurrent with this financing, the Company and Basecamp entered into the License and Collaboration Agreement (the “License Agreement”) in which the Company granted Basecamp a license to use its proprietary structural biology technology platform to conduct a research program to discover, research and develop novel compounds for certain selected GPCR (G protein coupled receptor) targets and the Company received 14,000,000 ordinary shares of Basecamp in exchange. The Company shall make payments to Basecamp to fund the research program specified in the License Agreement, milestone payments if and when the certain milestones are achieved by Basecamp, and royalties related to net sales. The Company and Basecamp also executed a Services Agreement under which the Company provides research and development services, business development services, management and administrative services, operational services, intellectual property services to Basecamp in consideration for fees.</w:t>
      </w:r>
    </w:p>
    <w:p>
      <w:pPr>
        <w:spacing w:after="0" w:line="90" w:lineRule="exact"/>
        <w:rPr>
          <w:sz w:val="20"/>
          <w:szCs w:val="20"/>
          <w:color w:val="auto"/>
        </w:rPr>
      </w:pPr>
    </w:p>
    <w:p>
      <w:pPr>
        <w:ind w:left="1560" w:right="1599"/>
        <w:spacing w:after="0" w:line="274" w:lineRule="auto"/>
        <w:rPr>
          <w:sz w:val="20"/>
          <w:szCs w:val="20"/>
          <w:color w:val="auto"/>
        </w:rPr>
      </w:pPr>
      <w:r>
        <w:rPr>
          <w:rFonts w:ascii="Arial" w:cs="Arial" w:eastAsia="Arial" w:hAnsi="Arial"/>
          <w:sz w:val="12"/>
          <w:szCs w:val="12"/>
          <w:color w:val="auto"/>
        </w:rPr>
        <w:t>Basecamp was considered a variable interest entity and the Company consolidated Basecamp as it was considered the primary beneficiary. The Series Seed redeemable convertible preferred shares of Basecamp held by other investors were classified as redeemable noncontrolling interest in temporary equity because while it was not mandatorily redeemable, in the deemed liquidation event the redeemable convertible preferred shares might become redeemable at the option of the holders of at least a majority of the then outstanding shares after March 22, 2028. Losses of Basecamp were not attributed to the redeemable noncontrolling interest as the holders of Series Seed redeemable convertible preferred shares do not have a contractual obligation to share in Basecamp’s losses due to their liquidation preference right.</w:t>
      </w:r>
    </w:p>
    <w:p>
      <w:pPr>
        <w:spacing w:after="0" w:line="74" w:lineRule="exact"/>
        <w:rPr>
          <w:sz w:val="20"/>
          <w:szCs w:val="20"/>
          <w:color w:val="auto"/>
        </w:rPr>
      </w:pPr>
    </w:p>
    <w:p>
      <w:pPr>
        <w:ind w:left="1560" w:right="1619"/>
        <w:spacing w:after="0" w:line="274" w:lineRule="auto"/>
        <w:rPr>
          <w:sz w:val="20"/>
          <w:szCs w:val="20"/>
          <w:color w:val="auto"/>
        </w:rPr>
      </w:pPr>
      <w:r>
        <w:rPr>
          <w:rFonts w:ascii="Arial" w:cs="Arial" w:eastAsia="Arial" w:hAnsi="Arial"/>
          <w:sz w:val="12"/>
          <w:szCs w:val="12"/>
          <w:color w:val="auto"/>
        </w:rPr>
        <w:t>In December 2021, the Company acquired the 7,000,000 Series Seed redeemable convertible preferred shares of Basecamp held by the other investors in exchange for 2,161,402 shares of its Series B-1 redeemable convertible preferred stock with Basecamp becoming a wholly owned subsidiary of the Company. As the share exchange did not result in a change of control, the transaction was accounted as an equity transaction. Series B-1 redeemable convertible preferred shares were accounted for at fair value of $9.0 million, and $2.0 million representing the excess of the fair value over the carrying amount of noncontrolling interest on the date of share exchange of  $7.0 million was recorded in additional paid-in capital and accumulated deficit.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3" w:name="page294"/>
    <w:bookmarkEnd w:id="293"/>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9. Ordinary Shares</w:t>
      </w:r>
    </w:p>
    <w:p>
      <w:pPr>
        <w:spacing w:after="0" w:line="104" w:lineRule="exact"/>
        <w:rPr>
          <w:sz w:val="20"/>
          <w:szCs w:val="20"/>
          <w:color w:val="auto"/>
        </w:rPr>
      </w:pPr>
    </w:p>
    <w:p>
      <w:pPr>
        <w:ind w:left="1560" w:right="1759"/>
        <w:spacing w:after="0" w:line="308" w:lineRule="auto"/>
        <w:rPr>
          <w:sz w:val="20"/>
          <w:szCs w:val="20"/>
          <w:color w:val="auto"/>
        </w:rPr>
      </w:pPr>
      <w:r>
        <w:rPr>
          <w:rFonts w:ascii="Arial" w:cs="Arial" w:eastAsia="Arial" w:hAnsi="Arial"/>
          <w:sz w:val="12"/>
          <w:szCs w:val="12"/>
          <w:color w:val="auto"/>
        </w:rPr>
        <w:t>The Company’s Memorandum and Articles of Association, as amended, authorizes the Company to issue 432,981,913 ordinary shares with a par value of  $0.0001 per share, as of September 30, 2022.</w:t>
      </w:r>
    </w:p>
    <w:p>
      <w:pPr>
        <w:spacing w:after="0" w:line="42" w:lineRule="exact"/>
        <w:rPr>
          <w:sz w:val="20"/>
          <w:szCs w:val="20"/>
          <w:color w:val="auto"/>
        </w:rPr>
      </w:pPr>
    </w:p>
    <w:p>
      <w:pPr>
        <w:ind w:left="1560" w:right="1639"/>
        <w:spacing w:after="0" w:line="280" w:lineRule="auto"/>
        <w:rPr>
          <w:sz w:val="20"/>
          <w:szCs w:val="20"/>
          <w:color w:val="auto"/>
        </w:rPr>
      </w:pPr>
      <w:r>
        <w:rPr>
          <w:rFonts w:ascii="Arial" w:cs="Arial" w:eastAsia="Arial" w:hAnsi="Arial"/>
          <w:sz w:val="12"/>
          <w:szCs w:val="12"/>
          <w:color w:val="auto"/>
        </w:rPr>
        <w:t>Ordinary shareholders are entitled to dividends if and when declared by the Company’s board of directors subject to the prior rights of the preferred shareholders. As of December 31, 2021 and September 30, 2022, no dividends on ordinary shares had been declared by the board of directors.</w:t>
      </w:r>
    </w:p>
    <w:p>
      <w:pPr>
        <w:spacing w:after="0" w:line="6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Company has the following ordinary shares reserved for future issuance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3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4"/>
          </w:tcPr>
          <w:p>
            <w:pPr>
              <w:jc w:val="center"/>
              <w:spacing w:after="0"/>
              <w:rPr>
                <w:sz w:val="20"/>
                <w:szCs w:val="20"/>
                <w:color w:val="auto"/>
              </w:rPr>
            </w:pPr>
            <w:r>
              <w:rPr>
                <w:rFonts w:ascii="Arial" w:cs="Arial" w:eastAsia="Arial" w:hAnsi="Arial"/>
                <w:sz w:val="10"/>
                <w:szCs w:val="10"/>
                <w:b w:val="1"/>
                <w:bCs w:val="1"/>
                <w:color w:val="auto"/>
              </w:rPr>
              <w:t>DECEMBER 31,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rPr>
              <w:t>SEPTEMBER 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3460" w:type="dxa"/>
            <w:vAlign w:val="bottom"/>
          </w:tcPr>
          <w:p>
            <w:pPr>
              <w:spacing w:after="0"/>
              <w:rPr>
                <w:sz w:val="20"/>
                <w:szCs w:val="20"/>
                <w:color w:val="auto"/>
              </w:rPr>
            </w:pPr>
            <w:r>
              <w:rPr>
                <w:rFonts w:ascii="Arial" w:cs="Arial" w:eastAsia="Arial" w:hAnsi="Arial"/>
                <w:sz w:val="10"/>
                <w:szCs w:val="10"/>
                <w:b w:val="1"/>
                <w:bCs w:val="1"/>
                <w:color w:val="auto"/>
              </w:rPr>
              <w:t>​</w:t>
            </w:r>
          </w:p>
        </w:tc>
        <w:tc>
          <w:tcPr>
            <w:tcW w:w="540" w:type="dxa"/>
            <w:vAlign w:val="bottom"/>
          </w:tcPr>
          <w:p>
            <w:pPr>
              <w:ind w:left="460"/>
              <w:spacing w:after="0"/>
              <w:rPr>
                <w:sz w:val="20"/>
                <w:szCs w:val="20"/>
                <w:color w:val="auto"/>
              </w:rPr>
            </w:pPr>
            <w:r>
              <w:rPr>
                <w:rFonts w:ascii="Arial" w:cs="Arial" w:eastAsia="Arial" w:hAnsi="Arial"/>
                <w:sz w:val="10"/>
                <w:szCs w:val="10"/>
                <w:b w:val="1"/>
                <w:bCs w:val="1"/>
                <w:color w:val="auto"/>
              </w:rPr>
              <w:t>​ ​</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 ​</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64"/>
        </w:trPr>
        <w:tc>
          <w:tcPr>
            <w:tcW w:w="3460" w:type="dxa"/>
            <w:vAlign w:val="bottom"/>
          </w:tcPr>
          <w:p>
            <w:pPr>
              <w:spacing w:after="0"/>
              <w:rPr>
                <w:sz w:val="20"/>
                <w:szCs w:val="20"/>
                <w:color w:val="auto"/>
              </w:rPr>
            </w:pPr>
            <w:r>
              <w:rPr>
                <w:rFonts w:ascii="Arial" w:cs="Arial" w:eastAsia="Arial" w:hAnsi="Arial"/>
                <w:sz w:val="12"/>
                <w:szCs w:val="12"/>
                <w:color w:val="auto"/>
              </w:rPr>
              <w:t>Conversion of redeemable convertible preferred shares</w:t>
            </w:r>
          </w:p>
        </w:tc>
        <w:tc>
          <w:tcPr>
            <w:tcW w:w="540" w:type="dxa"/>
            <w:vAlign w:val="bottom"/>
          </w:tcPr>
          <w:p>
            <w:pPr>
              <w:ind w:left="46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58,863</w:t>
            </w:r>
          </w:p>
        </w:tc>
        <w:tc>
          <w:tcPr>
            <w:tcW w:w="240" w:type="dxa"/>
            <w:vAlign w:val="bottom"/>
            <w:gridSpan w:val="3"/>
          </w:tcPr>
          <w:p>
            <w:pPr>
              <w:jc w:val="right"/>
              <w:ind w:right="2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67,018</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460" w:type="dxa"/>
            <w:vAlign w:val="bottom"/>
          </w:tcPr>
          <w:p>
            <w:pPr>
              <w:spacing w:after="0"/>
              <w:rPr>
                <w:sz w:val="20"/>
                <w:szCs w:val="20"/>
                <w:color w:val="auto"/>
              </w:rPr>
            </w:pPr>
            <w:r>
              <w:rPr>
                <w:rFonts w:ascii="Arial" w:cs="Arial" w:eastAsia="Arial" w:hAnsi="Arial"/>
                <w:sz w:val="12"/>
                <w:szCs w:val="12"/>
                <w:color w:val="auto"/>
              </w:rPr>
              <w:t>Share options available for future grant</w:t>
            </w:r>
          </w:p>
        </w:tc>
        <w:tc>
          <w:tcPr>
            <w:tcW w:w="540" w:type="dxa"/>
            <w:vAlign w:val="bottom"/>
          </w:tcPr>
          <w:p>
            <w:pPr>
              <w:ind w:left="46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4,026</w:t>
            </w:r>
          </w:p>
        </w:tc>
        <w:tc>
          <w:tcPr>
            <w:tcW w:w="240" w:type="dxa"/>
            <w:vAlign w:val="bottom"/>
            <w:gridSpan w:val="3"/>
          </w:tcPr>
          <w:p>
            <w:pPr>
              <w:jc w:val="right"/>
              <w:ind w:right="2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1,260</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460" w:type="dxa"/>
            <w:vAlign w:val="bottom"/>
          </w:tcPr>
          <w:p>
            <w:pPr>
              <w:spacing w:after="0"/>
              <w:rPr>
                <w:sz w:val="20"/>
                <w:szCs w:val="20"/>
                <w:color w:val="auto"/>
              </w:rPr>
            </w:pPr>
            <w:r>
              <w:rPr>
                <w:rFonts w:ascii="Arial" w:cs="Arial" w:eastAsia="Arial" w:hAnsi="Arial"/>
                <w:sz w:val="12"/>
                <w:szCs w:val="12"/>
                <w:color w:val="auto"/>
              </w:rPr>
              <w:t>Share options issued and outstanding</w:t>
            </w:r>
          </w:p>
        </w:tc>
        <w:tc>
          <w:tcPr>
            <w:tcW w:w="540" w:type="dxa"/>
            <w:vAlign w:val="bottom"/>
          </w:tcPr>
          <w:p>
            <w:pPr>
              <w:ind w:left="46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4,646</w:t>
            </w:r>
          </w:p>
        </w:tc>
        <w:tc>
          <w:tcPr>
            <w:tcW w:w="240" w:type="dxa"/>
            <w:vAlign w:val="bottom"/>
            <w:gridSpan w:val="3"/>
          </w:tcPr>
          <w:p>
            <w:pPr>
              <w:jc w:val="right"/>
              <w:ind w:right="2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7,329</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460" w:type="dxa"/>
            <w:vAlign w:val="bottom"/>
          </w:tcPr>
          <w:p>
            <w:pPr>
              <w:spacing w:after="0"/>
              <w:rPr>
                <w:sz w:val="20"/>
                <w:szCs w:val="20"/>
                <w:color w:val="auto"/>
              </w:rPr>
            </w:pPr>
            <w:r>
              <w:rPr>
                <w:rFonts w:ascii="Arial" w:cs="Arial" w:eastAsia="Arial" w:hAnsi="Arial"/>
                <w:sz w:val="12"/>
                <w:szCs w:val="12"/>
                <w:color w:val="auto"/>
              </w:rPr>
              <w:t>Ordinary share warrants</w:t>
            </w:r>
          </w:p>
        </w:tc>
        <w:tc>
          <w:tcPr>
            <w:tcW w:w="540" w:type="dxa"/>
            <w:vAlign w:val="bottom"/>
          </w:tcPr>
          <w:p>
            <w:pPr>
              <w:ind w:left="46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4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135</w:t>
            </w:r>
          </w:p>
        </w:tc>
        <w:tc>
          <w:tcPr>
            <w:tcW w:w="240" w:type="dxa"/>
            <w:vAlign w:val="bottom"/>
            <w:gridSpan w:val="3"/>
          </w:tcPr>
          <w:p>
            <w:pPr>
              <w:jc w:val="right"/>
              <w:ind w:right="2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ind w:left="8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112</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460" w:type="dxa"/>
            <w:vAlign w:val="bottom"/>
          </w:tcPr>
          <w:p>
            <w:pPr>
              <w:ind w:left="120"/>
              <w:spacing w:after="0"/>
              <w:rPr>
                <w:sz w:val="20"/>
                <w:szCs w:val="20"/>
                <w:color w:val="auto"/>
              </w:rPr>
            </w:pPr>
            <w:r>
              <w:rPr>
                <w:rFonts w:ascii="Arial" w:cs="Arial" w:eastAsia="Arial" w:hAnsi="Arial"/>
                <w:sz w:val="12"/>
                <w:szCs w:val="12"/>
                <w:color w:val="auto"/>
              </w:rPr>
              <w:t>Total ordinary shares reserved</w:t>
            </w:r>
          </w:p>
        </w:tc>
        <w:tc>
          <w:tcPr>
            <w:tcW w:w="540" w:type="dxa"/>
            <w:vAlign w:val="bottom"/>
          </w:tcPr>
          <w:p>
            <w:pPr>
              <w:ind w:left="460"/>
              <w:spacing w:after="0"/>
              <w:rPr>
                <w:sz w:val="20"/>
                <w:szCs w:val="20"/>
                <w:color w:val="auto"/>
              </w:rPr>
            </w:pPr>
            <w:r>
              <w:rPr>
                <w:rFonts w:ascii="Arial" w:cs="Arial" w:eastAsia="Arial" w:hAnsi="Arial"/>
                <w:sz w:val="12"/>
                <w:szCs w:val="12"/>
                <w:color w:val="auto"/>
              </w:rPr>
              <w:t>​ ​</w:t>
            </w:r>
          </w:p>
        </w:tc>
        <w:tc>
          <w:tcPr>
            <w:tcW w:w="240" w:type="dxa"/>
            <w:vAlign w:val="bottom"/>
            <w:gridSpan w:val="2"/>
          </w:tcPr>
          <w:p>
            <w:pPr>
              <w:ind w:left="14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67,670</w:t>
            </w:r>
          </w:p>
        </w:tc>
        <w:tc>
          <w:tcPr>
            <w:tcW w:w="240" w:type="dxa"/>
            <w:vAlign w:val="bottom"/>
            <w:gridSpan w:val="3"/>
          </w:tcPr>
          <w:p>
            <w:pPr>
              <w:jc w:val="right"/>
              <w:ind w:right="2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ind w:left="80"/>
              <w:spacing w:after="0" w:line="173"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75,719</w:t>
            </w:r>
          </w:p>
        </w:tc>
        <w:tc>
          <w:tcPr>
            <w:tcW w:w="6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4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-441325</wp:posOffset>
            </wp:positionV>
            <wp:extent cx="3733165" cy="1168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3733165" cy="135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733165" cy="135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-675005</wp:posOffset>
            </wp:positionV>
            <wp:extent cx="3733165" cy="1168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733165" cy="116840"/>
                    </a:xfrm>
                    <a:prstGeom prst="rect">
                      <a:avLst/>
                    </a:prstGeom>
                    <a:noFill/>
                  </pic:spPr>
                </pic:pic>
              </a:graphicData>
            </a:graphic>
          </wp:anchor>
        </w:drawing>
      </w:r>
    </w:p>
    <w:p>
      <w:pPr>
        <w:spacing w:after="0" w:line="41" w:lineRule="exact"/>
        <w:rPr>
          <w:sz w:val="20"/>
          <w:szCs w:val="20"/>
          <w:color w:val="auto"/>
        </w:rPr>
      </w:pPr>
    </w:p>
    <w:p>
      <w:pPr>
        <w:ind w:left="1560" w:right="5459" w:firstLine="5"/>
        <w:spacing w:after="0" w:line="369" w:lineRule="auto"/>
        <w:tabs>
          <w:tab w:leader="none" w:pos="1789"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Share-Based Compensation </w:t>
      </w:r>
      <w:r>
        <w:rPr>
          <w:rFonts w:ascii="Arial" w:cs="Arial" w:eastAsia="Arial" w:hAnsi="Arial"/>
          <w:sz w:val="12"/>
          <w:szCs w:val="12"/>
          <w:i w:val="1"/>
          <w:iCs w:val="1"/>
          <w:color w:val="auto"/>
        </w:rPr>
        <w:t>Options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A summary of share option activity is set forth below (in thousands, except per share amounts and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1560" w:type="dxa"/>
        <w:tblCellMar>
          <w:top w:w="0" w:type="dxa"/>
          <w:left w:w="0" w:type="dxa"/>
          <w:bottom w:w="0" w:type="dxa"/>
          <w:right w:w="0" w:type="dxa"/>
        </w:tblCellMar>
      </w:tblPr>
      <w:tr>
        <w:trPr>
          <w:trHeight w:val="142"/>
        </w:trPr>
        <w:tc>
          <w:tcPr>
            <w:tcW w:w="1920" w:type="dxa"/>
            <w:vAlign w:val="bottom"/>
          </w:tcPr>
          <w:p>
            <w:pPr>
              <w:spacing w:after="0"/>
              <w:rPr>
                <w:sz w:val="20"/>
                <w:szCs w:val="20"/>
                <w:color w:val="auto"/>
              </w:rPr>
            </w:pPr>
            <w:r>
              <w:rPr>
                <w:rFonts w:ascii="Arial" w:cs="Arial" w:eastAsia="Arial" w:hAnsi="Arial"/>
                <w:sz w:val="10"/>
                <w:szCs w:val="10"/>
                <w:b w:val="1"/>
                <w:bCs w:val="1"/>
                <w:color w:val="auto"/>
              </w:rPr>
              <w:t>​</w:t>
            </w:r>
          </w:p>
        </w:tc>
        <w:tc>
          <w:tcPr>
            <w:tcW w:w="200" w:type="dxa"/>
            <w:vAlign w:val="bottom"/>
            <w:gridSpan w:val="2"/>
          </w:tcPr>
          <w:p>
            <w:pPr>
              <w:jc w:val="right"/>
              <w:ind w:right="24"/>
              <w:spacing w:after="0"/>
              <w:rPr>
                <w:sz w:val="20"/>
                <w:szCs w:val="20"/>
                <w:color w:val="auto"/>
              </w:rPr>
            </w:pPr>
            <w:r>
              <w:rPr>
                <w:rFonts w:ascii="Arial" w:cs="Arial" w:eastAsia="Arial" w:hAnsi="Arial"/>
                <w:sz w:val="10"/>
                <w:szCs w:val="10"/>
                <w:b w:val="1"/>
                <w:bCs w:val="1"/>
                <w:color w:val="auto"/>
              </w:rPr>
              <w:t>​ ​​</w:t>
            </w:r>
          </w:p>
        </w:tc>
        <w:tc>
          <w:tcPr>
            <w:tcW w:w="4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0"/>
                <w:szCs w:val="10"/>
                <w:b w:val="1"/>
                <w:bCs w:val="1"/>
                <w:color w:val="auto"/>
              </w:rPr>
              <w:t>​ ​​</w:t>
            </w:r>
          </w:p>
        </w:tc>
        <w:tc>
          <w:tcPr>
            <w:tcW w:w="1500" w:type="dxa"/>
            <w:vAlign w:val="bottom"/>
            <w:gridSpan w:val="8"/>
          </w:tcPr>
          <w:p>
            <w:pPr>
              <w:jc w:val="right"/>
              <w:ind w:right="59"/>
              <w:spacing w:after="0"/>
              <w:rPr>
                <w:sz w:val="20"/>
                <w:szCs w:val="20"/>
                <w:color w:val="auto"/>
              </w:rPr>
            </w:pPr>
            <w:r>
              <w:rPr>
                <w:rFonts w:ascii="Arial" w:cs="Arial" w:eastAsia="Arial" w:hAnsi="Arial"/>
                <w:sz w:val="10"/>
                <w:szCs w:val="10"/>
                <w:b w:val="1"/>
                <w:bCs w:val="1"/>
                <w:color w:val="auto"/>
              </w:rPr>
              <w:t>OUTSTANDING AWARDS</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ind w:left="260"/>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tcPr>
          <w:p>
            <w:pPr>
              <w:spacing w:after="0"/>
              <w:rPr>
                <w:sz w:val="20"/>
                <w:szCs w:val="20"/>
                <w:color w:val="auto"/>
              </w:rPr>
            </w:pPr>
            <w:r>
              <w:rPr>
                <w:rFonts w:ascii="Arial" w:cs="Arial" w:eastAsia="Arial" w:hAnsi="Arial"/>
                <w:sz w:val="10"/>
                <w:szCs w:val="10"/>
                <w:b w:val="1"/>
                <w:bCs w:val="1"/>
                <w:color w:val="auto"/>
              </w:rPr>
              <w:t>​ ​ ​</w:t>
            </w: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b w:val="1"/>
                <w:bCs w:val="1"/>
                <w:color w:val="auto"/>
              </w:rPr>
              <w:t>​ ​​</w:t>
            </w: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rPr>
              <w:t>NUMBER OF</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center"/>
              <w:ind w:right="1"/>
              <w:spacing w:after="0"/>
              <w:rPr>
                <w:sz w:val="20"/>
                <w:szCs w:val="20"/>
                <w:color w:val="auto"/>
              </w:rPr>
            </w:pPr>
            <w:r>
              <w:rPr>
                <w:rFonts w:ascii="Arial" w:cs="Arial" w:eastAsia="Arial" w:hAnsi="Arial"/>
                <w:sz w:val="10"/>
                <w:szCs w:val="10"/>
                <w:b w:val="1"/>
                <w:bCs w:val="1"/>
                <w:color w:val="auto"/>
              </w:rPr>
              <w:t>WEIGHTED-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740" w:type="dxa"/>
            <w:vAlign w:val="bottom"/>
            <w:gridSpan w:val="5"/>
          </w:tcPr>
          <w:p>
            <w:pPr>
              <w:spacing w:after="0"/>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11"/>
                <w:szCs w:val="11"/>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1"/>
                <w:szCs w:val="11"/>
                <w:color w:val="auto"/>
              </w:rPr>
            </w:pPr>
          </w:p>
        </w:tc>
        <w:tc>
          <w:tcPr>
            <w:tcW w:w="640" w:type="dxa"/>
            <w:vAlign w:val="bottom"/>
            <w:gridSpan w:val="3"/>
          </w:tcPr>
          <w:p>
            <w:pPr>
              <w:jc w:val="center"/>
              <w:spacing w:after="0"/>
              <w:rPr>
                <w:sz w:val="20"/>
                <w:szCs w:val="20"/>
                <w:color w:val="auto"/>
              </w:rPr>
            </w:pPr>
            <w:r>
              <w:rPr>
                <w:rFonts w:ascii="Arial" w:cs="Arial" w:eastAsia="Arial" w:hAnsi="Arial"/>
                <w:sz w:val="10"/>
                <w:szCs w:val="10"/>
                <w:b w:val="1"/>
                <w:bCs w:val="1"/>
                <w:color w:val="auto"/>
              </w:rPr>
              <w:t>WEIGHTED-</w:t>
            </w:r>
          </w:p>
        </w:tc>
        <w:tc>
          <w:tcPr>
            <w:tcW w:w="40" w:type="dxa"/>
            <w:vAlign w:val="bottom"/>
          </w:tcPr>
          <w:p>
            <w:pPr>
              <w:spacing w:after="0"/>
              <w:rPr>
                <w:sz w:val="11"/>
                <w:szCs w:val="11"/>
                <w:color w:val="auto"/>
              </w:rPr>
            </w:pPr>
          </w:p>
        </w:tc>
        <w:tc>
          <w:tcPr>
            <w:tcW w:w="920" w:type="dxa"/>
            <w:vAlign w:val="bottom"/>
            <w:gridSpan w:val="2"/>
          </w:tcPr>
          <w:p>
            <w:pPr>
              <w:jc w:val="center"/>
              <w:ind w:right="1"/>
              <w:spacing w:after="0"/>
              <w:rPr>
                <w:sz w:val="20"/>
                <w:szCs w:val="20"/>
                <w:color w:val="auto"/>
              </w:rPr>
            </w:pPr>
            <w:r>
              <w:rPr>
                <w:rFonts w:ascii="Arial" w:cs="Arial" w:eastAsia="Arial" w:hAnsi="Arial"/>
                <w:sz w:val="10"/>
                <w:szCs w:val="10"/>
                <w:b w:val="1"/>
                <w:bCs w:val="1"/>
                <w:color w:val="auto"/>
              </w:rPr>
              <w:t>AVERAGE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rPr>
              <w:t>UNDERLYING</w:t>
            </w:r>
          </w:p>
        </w:tc>
        <w:tc>
          <w:tcPr>
            <w:tcW w:w="60" w:type="dxa"/>
            <w:vAlign w:val="bottom"/>
          </w:tcPr>
          <w:p>
            <w:pPr>
              <w:spacing w:after="0"/>
              <w:rPr>
                <w:sz w:val="11"/>
                <w:szCs w:val="11"/>
                <w:color w:val="auto"/>
              </w:rPr>
            </w:pPr>
          </w:p>
        </w:tc>
        <w:tc>
          <w:tcPr>
            <w:tcW w:w="640" w:type="dxa"/>
            <w:vAlign w:val="bottom"/>
            <w:gridSpan w:val="3"/>
          </w:tcPr>
          <w:p>
            <w:pPr>
              <w:jc w:val="center"/>
              <w:ind w:right="19"/>
              <w:spacing w:after="0"/>
              <w:rPr>
                <w:sz w:val="20"/>
                <w:szCs w:val="20"/>
                <w:color w:val="auto"/>
              </w:rPr>
            </w:pPr>
            <w:r>
              <w:rPr>
                <w:rFonts w:ascii="Arial" w:cs="Arial" w:eastAsia="Arial" w:hAnsi="Arial"/>
                <w:sz w:val="10"/>
                <w:szCs w:val="10"/>
                <w:b w:val="1"/>
                <w:bCs w:val="1"/>
                <w:color w:val="auto"/>
              </w:rPr>
              <w:t>AVERAGE</w:t>
            </w:r>
          </w:p>
        </w:tc>
        <w:tc>
          <w:tcPr>
            <w:tcW w:w="40" w:type="dxa"/>
            <w:vAlign w:val="bottom"/>
          </w:tcPr>
          <w:p>
            <w:pPr>
              <w:spacing w:after="0"/>
              <w:rPr>
                <w:sz w:val="11"/>
                <w:szCs w:val="11"/>
                <w:color w:val="auto"/>
              </w:rPr>
            </w:pPr>
          </w:p>
        </w:tc>
        <w:tc>
          <w:tcPr>
            <w:tcW w:w="920" w:type="dxa"/>
            <w:vAlign w:val="bottom"/>
            <w:gridSpan w:val="2"/>
          </w:tcPr>
          <w:p>
            <w:pPr>
              <w:jc w:val="center"/>
              <w:ind w:right="1"/>
              <w:spacing w:after="0"/>
              <w:rPr>
                <w:sz w:val="20"/>
                <w:szCs w:val="20"/>
                <w:color w:val="auto"/>
              </w:rPr>
            </w:pPr>
            <w:r>
              <w:rPr>
                <w:rFonts w:ascii="Arial" w:cs="Arial" w:eastAsia="Arial" w:hAnsi="Arial"/>
                <w:sz w:val="10"/>
                <w:szCs w:val="10"/>
                <w:b w:val="1"/>
                <w:bCs w:val="1"/>
                <w:color w:val="auto"/>
              </w:rPr>
              <w:t>REMAINING</w:t>
            </w:r>
          </w:p>
        </w:tc>
        <w:tc>
          <w:tcPr>
            <w:tcW w:w="20" w:type="dxa"/>
            <w:vAlign w:val="bottom"/>
          </w:tcPr>
          <w:p>
            <w:pPr>
              <w:spacing w:after="0"/>
              <w:rPr>
                <w:sz w:val="11"/>
                <w:szCs w:val="11"/>
                <w:color w:val="auto"/>
              </w:rPr>
            </w:pPr>
          </w:p>
        </w:tc>
        <w:tc>
          <w:tcPr>
            <w:tcW w:w="780" w:type="dxa"/>
            <w:vAlign w:val="bottom"/>
            <w:gridSpan w:val="5"/>
          </w:tcPr>
          <w:p>
            <w:pPr>
              <w:jc w:val="right"/>
              <w:ind w:right="28"/>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540" w:type="dxa"/>
            <w:vAlign w:val="bottom"/>
            <w:gridSpan w:val="9"/>
          </w:tcPr>
          <w:p>
            <w:pPr>
              <w:ind w:left="20"/>
              <w:spacing w:after="0"/>
              <w:rPr>
                <w:sz w:val="20"/>
                <w:szCs w:val="20"/>
                <w:color w:val="auto"/>
              </w:rPr>
            </w:pPr>
            <w:r>
              <w:rPr>
                <w:rFonts w:ascii="Arial" w:cs="Arial" w:eastAsia="Arial" w:hAnsi="Arial"/>
                <w:sz w:val="10"/>
                <w:szCs w:val="10"/>
                <w:b w:val="1"/>
                <w:bCs w:val="1"/>
                <w:color w:val="auto"/>
              </w:rPr>
              <w:t>AVAILABLE OUTSTANDING</w:t>
            </w:r>
          </w:p>
        </w:tc>
        <w:tc>
          <w:tcPr>
            <w:tcW w:w="60" w:type="dxa"/>
            <w:vAlign w:val="bottom"/>
          </w:tcPr>
          <w:p>
            <w:pPr>
              <w:spacing w:after="0"/>
              <w:rPr>
                <w:sz w:val="11"/>
                <w:szCs w:val="11"/>
                <w:color w:val="auto"/>
              </w:rPr>
            </w:pPr>
          </w:p>
        </w:tc>
        <w:tc>
          <w:tcPr>
            <w:tcW w:w="640" w:type="dxa"/>
            <w:vAlign w:val="bottom"/>
            <w:gridSpan w:val="3"/>
          </w:tcPr>
          <w:p>
            <w:pPr>
              <w:jc w:val="center"/>
              <w:ind w:right="19"/>
              <w:spacing w:after="0"/>
              <w:rPr>
                <w:sz w:val="20"/>
                <w:szCs w:val="20"/>
                <w:color w:val="auto"/>
              </w:rPr>
            </w:pPr>
            <w:r>
              <w:rPr>
                <w:rFonts w:ascii="Arial" w:cs="Arial" w:eastAsia="Arial" w:hAnsi="Arial"/>
                <w:sz w:val="10"/>
                <w:szCs w:val="10"/>
                <w:b w:val="1"/>
                <w:bCs w:val="1"/>
                <w:color w:val="auto"/>
              </w:rPr>
              <w:t>EXERCISE</w:t>
            </w:r>
          </w:p>
        </w:tc>
        <w:tc>
          <w:tcPr>
            <w:tcW w:w="40" w:type="dxa"/>
            <w:vAlign w:val="bottom"/>
          </w:tcPr>
          <w:p>
            <w:pPr>
              <w:spacing w:after="0"/>
              <w:rPr>
                <w:sz w:val="11"/>
                <w:szCs w:val="11"/>
                <w:color w:val="auto"/>
              </w:rPr>
            </w:pPr>
          </w:p>
        </w:tc>
        <w:tc>
          <w:tcPr>
            <w:tcW w:w="920" w:type="dxa"/>
            <w:vAlign w:val="bottom"/>
            <w:gridSpan w:val="2"/>
          </w:tcPr>
          <w:p>
            <w:pPr>
              <w:jc w:val="center"/>
              <w:spacing w:after="0"/>
              <w:rPr>
                <w:sz w:val="20"/>
                <w:szCs w:val="20"/>
                <w:color w:val="auto"/>
              </w:rPr>
            </w:pPr>
            <w:r>
              <w:rPr>
                <w:rFonts w:ascii="Arial" w:cs="Arial" w:eastAsia="Arial" w:hAnsi="Arial"/>
                <w:sz w:val="10"/>
                <w:szCs w:val="10"/>
                <w:b w:val="1"/>
                <w:bCs w:val="1"/>
                <w:color w:val="auto"/>
              </w:rPr>
              <w:t>CONTRACTUAL</w:t>
            </w:r>
          </w:p>
        </w:tc>
        <w:tc>
          <w:tcPr>
            <w:tcW w:w="2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INTRINSIC</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20" w:type="dxa"/>
            <w:vAlign w:val="bottom"/>
          </w:tcPr>
          <w:p>
            <w:pPr>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5"/>
          </w:tcPr>
          <w:p>
            <w:pPr>
              <w:spacing w:after="0"/>
              <w:rPr>
                <w:sz w:val="20"/>
                <w:szCs w:val="20"/>
                <w:color w:val="auto"/>
              </w:rPr>
            </w:pPr>
            <w:r>
              <w:rPr>
                <w:rFonts w:ascii="Arial" w:cs="Arial" w:eastAsia="Arial" w:hAnsi="Arial"/>
                <w:sz w:val="10"/>
                <w:szCs w:val="10"/>
                <w:b w:val="1"/>
                <w:bCs w:val="1"/>
                <w:color w:val="auto"/>
              </w:rPr>
              <w:t>​FOR GRANT ​</w:t>
            </w:r>
          </w:p>
        </w:tc>
        <w:tc>
          <w:tcPr>
            <w:tcW w:w="120" w:type="dxa"/>
            <w:vAlign w:val="bottom"/>
          </w:tcPr>
          <w:p>
            <w:pPr>
              <w:spacing w:after="0"/>
              <w:rPr>
                <w:sz w:val="11"/>
                <w:szCs w:val="11"/>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rPr>
              <w:t>OPTIONS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540" w:type="dxa"/>
            <w:vAlign w:val="bottom"/>
            <w:gridSpan w:val="2"/>
          </w:tcPr>
          <w:p>
            <w:pPr>
              <w:jc w:val="center"/>
              <w:ind w:right="99"/>
              <w:spacing w:after="0"/>
              <w:rPr>
                <w:sz w:val="20"/>
                <w:szCs w:val="20"/>
                <w:color w:val="auto"/>
              </w:rPr>
            </w:pPr>
            <w:r>
              <w:rPr>
                <w:rFonts w:ascii="Arial" w:cs="Arial" w:eastAsia="Arial" w:hAnsi="Arial"/>
                <w:sz w:val="10"/>
                <w:szCs w:val="10"/>
                <w:b w:val="1"/>
                <w:bCs w:val="1"/>
                <w:color w:val="auto"/>
              </w:rPr>
              <w:t>PRICE</w:t>
            </w:r>
          </w:p>
        </w:tc>
        <w:tc>
          <w:tcPr>
            <w:tcW w:w="1180" w:type="dxa"/>
            <w:vAlign w:val="bottom"/>
            <w:gridSpan w:val="5"/>
          </w:tcPr>
          <w:p>
            <w:pPr>
              <w:spacing w:after="0"/>
              <w:rPr>
                <w:sz w:val="20"/>
                <w:szCs w:val="20"/>
                <w:color w:val="auto"/>
              </w:rPr>
            </w:pPr>
            <w:r>
              <w:rPr>
                <w:rFonts w:ascii="Arial" w:cs="Arial" w:eastAsia="Arial" w:hAnsi="Arial"/>
                <w:sz w:val="10"/>
                <w:szCs w:val="10"/>
                <w:b w:val="1"/>
                <w:bCs w:val="1"/>
                <w:color w:val="auto"/>
              </w:rPr>
              <w:t>​TERM (IN YEARS) ​</w:t>
            </w:r>
          </w:p>
        </w:tc>
        <w:tc>
          <w:tcPr>
            <w:tcW w:w="460" w:type="dxa"/>
            <w:vAlign w:val="bottom"/>
            <w:gridSpan w:val="2"/>
          </w:tcPr>
          <w:p>
            <w:pPr>
              <w:spacing w:after="0"/>
              <w:rPr>
                <w:sz w:val="20"/>
                <w:szCs w:val="20"/>
                <w:color w:val="auto"/>
              </w:rPr>
            </w:pPr>
            <w:r>
              <w:rPr>
                <w:rFonts w:ascii="Arial" w:cs="Arial" w:eastAsia="Arial" w:hAnsi="Arial"/>
                <w:sz w:val="10"/>
                <w:szCs w:val="10"/>
                <w:b w:val="1"/>
                <w:bCs w:val="1"/>
                <w:color w:val="auto"/>
              </w:rPr>
              <w:t>VALUE</w:t>
            </w:r>
          </w:p>
        </w:tc>
        <w:tc>
          <w:tcPr>
            <w:tcW w:w="8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2"/>
                <w:szCs w:val="12"/>
                <w:b w:val="1"/>
                <w:bCs w:val="1"/>
                <w:color w:val="auto"/>
              </w:rPr>
              <w:t>As of December 31, 2021</w:t>
            </w:r>
          </w:p>
        </w:tc>
        <w:tc>
          <w:tcPr>
            <w:tcW w:w="2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20" w:type="dxa"/>
            <w:vAlign w:val="bottom"/>
            <w:vMerge w:val="continue"/>
          </w:tcPr>
          <w:p>
            <w:pPr>
              <w:spacing w:after="0"/>
              <w:rPr>
                <w:sz w:val="11"/>
                <w:szCs w:val="11"/>
                <w:color w:val="auto"/>
              </w:rPr>
            </w:pPr>
          </w:p>
        </w:tc>
        <w:tc>
          <w:tcPr>
            <w:tcW w:w="200" w:type="dxa"/>
            <w:vAlign w:val="bottom"/>
            <w:gridSpan w:val="2"/>
          </w:tcPr>
          <w:p>
            <w:pPr>
              <w:jc w:val="right"/>
              <w:ind w:right="4"/>
              <w:spacing w:after="0" w:line="135" w:lineRule="exact"/>
              <w:rPr>
                <w:sz w:val="20"/>
                <w:szCs w:val="20"/>
                <w:color w:val="auto"/>
              </w:rPr>
            </w:pPr>
            <w:r>
              <w:rPr>
                <w:rFonts w:ascii="Arial" w:cs="Arial" w:eastAsia="Arial" w:hAnsi="Arial"/>
                <w:sz w:val="12"/>
                <w:szCs w:val="12"/>
                <w:color w:val="auto"/>
              </w:rPr>
              <w:t>​ ​​</w:t>
            </w: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4,026</w:t>
            </w:r>
          </w:p>
        </w:tc>
        <w:tc>
          <w:tcPr>
            <w:tcW w:w="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5"/>
              <w:spacing w:after="0" w:line="135"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4,646</w:t>
            </w:r>
          </w:p>
        </w:tc>
        <w:tc>
          <w:tcPr>
            <w:tcW w:w="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 $</w:t>
            </w:r>
          </w:p>
        </w:tc>
        <w:tc>
          <w:tcPr>
            <w:tcW w:w="400" w:type="dxa"/>
            <w:vAlign w:val="bottom"/>
          </w:tcPr>
          <w:p>
            <w:pPr>
              <w:jc w:val="right"/>
              <w:ind w:right="59"/>
              <w:spacing w:after="0" w:line="135" w:lineRule="exact"/>
              <w:rPr>
                <w:sz w:val="20"/>
                <w:szCs w:val="20"/>
                <w:color w:val="auto"/>
              </w:rPr>
            </w:pPr>
            <w:r>
              <w:rPr>
                <w:rFonts w:ascii="Arial" w:cs="Arial" w:eastAsia="Arial" w:hAnsi="Arial"/>
                <w:sz w:val="12"/>
                <w:szCs w:val="12"/>
                <w:color w:val="auto"/>
              </w:rPr>
              <w:t>0.83</w:t>
            </w:r>
          </w:p>
        </w:tc>
        <w:tc>
          <w:tcPr>
            <w:tcW w:w="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260"/>
              <w:spacing w:after="0" w:line="135" w:lineRule="exact"/>
              <w:rPr>
                <w:sz w:val="20"/>
                <w:szCs w:val="20"/>
                <w:color w:val="auto"/>
              </w:rPr>
            </w:pPr>
            <w:r>
              <w:rPr>
                <w:rFonts w:ascii="Arial" w:cs="Arial" w:eastAsia="Arial" w:hAnsi="Arial"/>
                <w:sz w:val="12"/>
                <w:szCs w:val="12"/>
                <w:color w:val="auto"/>
              </w:rPr>
              <w:t>​​ 8.96</w:t>
            </w:r>
          </w:p>
        </w:tc>
        <w:tc>
          <w:tcPr>
            <w:tcW w:w="300" w:type="dxa"/>
            <w:vAlign w:val="bottom"/>
          </w:tcPr>
          <w:p>
            <w:pPr>
              <w:spacing w:after="0"/>
              <w:rPr>
                <w:sz w:val="11"/>
                <w:szCs w:val="11"/>
                <w:color w:val="auto"/>
              </w:rPr>
            </w:pPr>
          </w:p>
        </w:tc>
        <w:tc>
          <w:tcPr>
            <w:tcW w:w="220" w:type="dxa"/>
            <w:vAlign w:val="bottom"/>
            <w:gridSpan w:val="2"/>
          </w:tcPr>
          <w:p>
            <w:pPr>
              <w:spacing w:after="0" w:line="135" w:lineRule="exact"/>
              <w:rPr>
                <w:sz w:val="20"/>
                <w:szCs w:val="20"/>
                <w:color w:val="auto"/>
              </w:rPr>
            </w:pPr>
            <w:r>
              <w:rPr>
                <w:rFonts w:ascii="Arial" w:cs="Arial" w:eastAsia="Arial" w:hAnsi="Arial"/>
                <w:sz w:val="12"/>
                <w:szCs w:val="12"/>
                <w:color w:val="auto"/>
              </w:rPr>
              <w:t>​​ ​ $</w:t>
            </w: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rPr>
              <w:t>7,911</w:t>
            </w:r>
          </w:p>
        </w:tc>
        <w:tc>
          <w:tcPr>
            <w:tcW w:w="1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20"/>
                <w:szCs w:val="20"/>
                <w:color w:val="auto"/>
              </w:rPr>
            </w:pPr>
            <w:r>
              <w:rPr>
                <w:rFonts w:ascii="Arial" w:cs="Arial" w:eastAsia="Arial" w:hAnsi="Arial"/>
                <w:sz w:val="12"/>
                <w:szCs w:val="12"/>
                <w:color w:val="auto"/>
              </w:rPr>
              <w:t>Granted</w:t>
            </w:r>
          </w:p>
        </w:tc>
        <w:tc>
          <w:tcPr>
            <w:tcW w:w="200" w:type="dxa"/>
            <w:vAlign w:val="bottom"/>
            <w:gridSpan w:val="2"/>
          </w:tcPr>
          <w:p>
            <w:pPr>
              <w:jc w:val="right"/>
              <w:ind w:right="4"/>
              <w:spacing w:after="0"/>
              <w:rPr>
                <w:sz w:val="20"/>
                <w:szCs w:val="20"/>
                <w:color w:val="auto"/>
              </w:rPr>
            </w:pPr>
            <w:r>
              <w:rPr>
                <w:rFonts w:ascii="Arial" w:cs="Arial" w:eastAsia="Arial" w:hAnsi="Arial"/>
                <w:sz w:val="12"/>
                <w:szCs w:val="12"/>
                <w:color w:val="auto"/>
              </w:rPr>
              <w:t>​ ​​</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(3,821) ​​</w:t>
            </w:r>
          </w:p>
        </w:tc>
        <w:tc>
          <w:tcPr>
            <w:tcW w:w="220" w:type="dxa"/>
            <w:vAlign w:val="bottom"/>
            <w:gridSpan w:val="2"/>
          </w:tcPr>
          <w:p>
            <w:pPr>
              <w:jc w:val="right"/>
              <w:ind w:right="5"/>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3,821</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59"/>
              <w:spacing w:after="0"/>
              <w:rPr>
                <w:sz w:val="20"/>
                <w:szCs w:val="20"/>
                <w:color w:val="auto"/>
              </w:rPr>
            </w:pPr>
            <w:r>
              <w:rPr>
                <w:rFonts w:ascii="Arial" w:cs="Arial" w:eastAsia="Arial" w:hAnsi="Arial"/>
                <w:sz w:val="12"/>
                <w:szCs w:val="12"/>
                <w:color w:val="auto"/>
              </w:rPr>
              <w:t>2.62</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20"/>
                <w:szCs w:val="20"/>
                <w:color w:val="auto"/>
              </w:rPr>
            </w:pPr>
            <w:r>
              <w:rPr>
                <w:rFonts w:ascii="Arial" w:cs="Arial" w:eastAsia="Arial" w:hAnsi="Arial"/>
                <w:sz w:val="12"/>
                <w:szCs w:val="12"/>
                <w:color w:val="auto"/>
              </w:rPr>
              <w:t>Exercised</w:t>
            </w:r>
          </w:p>
        </w:tc>
        <w:tc>
          <w:tcPr>
            <w:tcW w:w="200" w:type="dxa"/>
            <w:vAlign w:val="bottom"/>
            <w:gridSpan w:val="2"/>
          </w:tcPr>
          <w:p>
            <w:pPr>
              <w:jc w:val="right"/>
              <w:ind w:right="4"/>
              <w:spacing w:after="0"/>
              <w:rPr>
                <w:sz w:val="20"/>
                <w:szCs w:val="20"/>
                <w:color w:val="auto"/>
              </w:rPr>
            </w:pPr>
            <w:r>
              <w:rPr>
                <w:rFonts w:ascii="Arial" w:cs="Arial" w:eastAsia="Arial" w:hAnsi="Arial"/>
                <w:sz w:val="12"/>
                <w:szCs w:val="12"/>
                <w:color w:val="auto"/>
              </w:rPr>
              <w:t>​ ​​</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5"/>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(83)</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59"/>
              <w:spacing w:after="0"/>
              <w:rPr>
                <w:sz w:val="20"/>
                <w:szCs w:val="20"/>
                <w:color w:val="auto"/>
              </w:rPr>
            </w:pPr>
            <w:r>
              <w:rPr>
                <w:rFonts w:ascii="Arial" w:cs="Arial" w:eastAsia="Arial" w:hAnsi="Arial"/>
                <w:sz w:val="12"/>
                <w:szCs w:val="12"/>
                <w:color w:val="auto"/>
              </w:rPr>
              <w:t>0.40</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20"/>
                <w:szCs w:val="20"/>
                <w:color w:val="auto"/>
              </w:rPr>
            </w:pPr>
            <w:r>
              <w:rPr>
                <w:rFonts w:ascii="Arial" w:cs="Arial" w:eastAsia="Arial" w:hAnsi="Arial"/>
                <w:sz w:val="12"/>
                <w:szCs w:val="12"/>
                <w:color w:val="auto"/>
              </w:rPr>
              <w:t>Forfeited</w:t>
            </w:r>
          </w:p>
        </w:tc>
        <w:tc>
          <w:tcPr>
            <w:tcW w:w="200" w:type="dxa"/>
            <w:vAlign w:val="bottom"/>
            <w:gridSpan w:val="2"/>
          </w:tcPr>
          <w:p>
            <w:pPr>
              <w:jc w:val="right"/>
              <w:ind w:right="4"/>
              <w:spacing w:after="0"/>
              <w:rPr>
                <w:sz w:val="20"/>
                <w:szCs w:val="20"/>
                <w:color w:val="auto"/>
              </w:rPr>
            </w:pPr>
            <w:r>
              <w:rPr>
                <w:rFonts w:ascii="Arial" w:cs="Arial" w:eastAsia="Arial" w:hAnsi="Arial"/>
                <w:sz w:val="12"/>
                <w:szCs w:val="12"/>
                <w:color w:val="auto"/>
              </w:rPr>
              <w:t>​ ​​</w:t>
            </w:r>
          </w:p>
        </w:tc>
        <w:tc>
          <w:tcPr>
            <w:tcW w:w="400" w:type="dxa"/>
            <w:vAlign w:val="bottom"/>
          </w:tcPr>
          <w:p>
            <w:pPr>
              <w:jc w:val="right"/>
              <w:spacing w:after="0"/>
              <w:rPr>
                <w:sz w:val="20"/>
                <w:szCs w:val="20"/>
                <w:color w:val="auto"/>
              </w:rPr>
            </w:pPr>
            <w:r>
              <w:rPr>
                <w:rFonts w:ascii="Arial" w:cs="Arial" w:eastAsia="Arial" w:hAnsi="Arial"/>
                <w:sz w:val="12"/>
                <w:szCs w:val="12"/>
                <w:color w:val="auto"/>
              </w:rPr>
              <w:t>1,055</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5"/>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(1,055)</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59"/>
              <w:spacing w:after="0"/>
              <w:rPr>
                <w:sz w:val="20"/>
                <w:szCs w:val="20"/>
                <w:color w:val="auto"/>
              </w:rPr>
            </w:pPr>
            <w:r>
              <w:rPr>
                <w:rFonts w:ascii="Arial" w:cs="Arial" w:eastAsia="Arial" w:hAnsi="Arial"/>
                <w:sz w:val="12"/>
                <w:szCs w:val="12"/>
                <w:color w:val="auto"/>
              </w:rPr>
              <w:t>2.36</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920" w:type="dxa"/>
            <w:vAlign w:val="bottom"/>
          </w:tcPr>
          <w:p>
            <w:pPr>
              <w:spacing w:after="0"/>
              <w:rPr>
                <w:sz w:val="20"/>
                <w:szCs w:val="20"/>
                <w:color w:val="auto"/>
              </w:rPr>
            </w:pPr>
            <w:r>
              <w:rPr>
                <w:rFonts w:ascii="Arial" w:cs="Arial" w:eastAsia="Arial" w:hAnsi="Arial"/>
                <w:sz w:val="12"/>
                <w:szCs w:val="12"/>
                <w:b w:val="1"/>
                <w:bCs w:val="1"/>
                <w:color w:val="auto"/>
              </w:rPr>
              <w:t>As of September 30, 2022</w:t>
            </w:r>
          </w:p>
        </w:tc>
        <w:tc>
          <w:tcPr>
            <w:tcW w:w="200" w:type="dxa"/>
            <w:vAlign w:val="bottom"/>
            <w:gridSpan w:val="2"/>
          </w:tcPr>
          <w:p>
            <w:pPr>
              <w:jc w:val="right"/>
              <w:ind w:right="4"/>
              <w:spacing w:after="0" w:line="145" w:lineRule="exact"/>
              <w:rPr>
                <w:sz w:val="20"/>
                <w:szCs w:val="20"/>
                <w:color w:val="auto"/>
              </w:rPr>
            </w:pPr>
            <w:r>
              <w:rPr>
                <w:rFonts w:ascii="Arial" w:cs="Arial" w:eastAsia="Arial" w:hAnsi="Arial"/>
                <w:sz w:val="9"/>
                <w:szCs w:val="9"/>
                <w:color w:val="auto"/>
              </w:rPr>
              <w:t>​ ​</w:t>
            </w:r>
            <w:r>
              <w:rPr>
                <w:rFonts w:ascii="Arial" w:cs="Arial" w:eastAsia="Arial" w:hAnsi="Arial"/>
                <w:sz w:val="16"/>
                <w:szCs w:val="16"/>
                <w:color w:val="auto"/>
                <w:vertAlign w:val="superscript"/>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1,260</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5"/>
              <w:spacing w:after="0" w:line="145"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perscript"/>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7,329</w:t>
            </w:r>
          </w:p>
        </w:tc>
        <w:tc>
          <w:tcPr>
            <w:tcW w:w="1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59"/>
              <w:spacing w:after="0"/>
              <w:rPr>
                <w:sz w:val="20"/>
                <w:szCs w:val="20"/>
                <w:color w:val="auto"/>
              </w:rPr>
            </w:pPr>
            <w:r>
              <w:rPr>
                <w:rFonts w:ascii="Arial" w:cs="Arial" w:eastAsia="Arial" w:hAnsi="Arial"/>
                <w:sz w:val="12"/>
                <w:szCs w:val="12"/>
                <w:color w:val="auto"/>
              </w:rPr>
              <w:t>1.55</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ind w:left="260"/>
              <w:spacing w:after="0"/>
              <w:rPr>
                <w:sz w:val="20"/>
                <w:szCs w:val="20"/>
                <w:color w:val="auto"/>
              </w:rPr>
            </w:pPr>
            <w:r>
              <w:rPr>
                <w:rFonts w:ascii="Arial" w:cs="Arial" w:eastAsia="Arial" w:hAnsi="Arial"/>
                <w:sz w:val="12"/>
                <w:szCs w:val="12"/>
                <w:color w:val="auto"/>
              </w:rPr>
              <w:t>​​ 8.76</w:t>
            </w:r>
          </w:p>
        </w:tc>
        <w:tc>
          <w:tcPr>
            <w:tcW w:w="30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9,551</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ind w:right="59"/>
              <w:spacing w:after="0"/>
              <w:rPr>
                <w:sz w:val="20"/>
                <w:szCs w:val="20"/>
                <w:color w:val="auto"/>
              </w:rPr>
            </w:pPr>
            <w:r>
              <w:rPr>
                <w:rFonts w:ascii="Arial" w:cs="Arial" w:eastAsia="Arial" w:hAnsi="Arial"/>
                <w:sz w:val="12"/>
                <w:szCs w:val="12"/>
                <w:color w:val="auto"/>
              </w:rPr>
              <w:t>0.96</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ind w:left="260"/>
              <w:spacing w:after="0"/>
              <w:rPr>
                <w:sz w:val="20"/>
                <w:szCs w:val="20"/>
                <w:color w:val="auto"/>
              </w:rPr>
            </w:pPr>
            <w:r>
              <w:rPr>
                <w:rFonts w:ascii="Arial" w:cs="Arial" w:eastAsia="Arial" w:hAnsi="Arial"/>
                <w:sz w:val="12"/>
                <w:szCs w:val="12"/>
                <w:color w:val="auto"/>
              </w:rPr>
              <w:t>​​ 8.22</w:t>
            </w:r>
          </w:p>
        </w:tc>
        <w:tc>
          <w:tcPr>
            <w:tcW w:w="300" w:type="dxa"/>
            <w:vAlign w:val="bottom"/>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4,402</w:t>
            </w:r>
          </w:p>
        </w:tc>
        <w:tc>
          <w:tcPr>
            <w:tcW w:w="1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25"/>
        </w:trPr>
        <w:tc>
          <w:tcPr>
            <w:tcW w:w="2120" w:type="dxa"/>
            <w:vAlign w:val="bottom"/>
            <w:gridSpan w:val="3"/>
          </w:tcPr>
          <w:p>
            <w:pPr>
              <w:spacing w:after="0" w:line="125" w:lineRule="exact"/>
              <w:rPr>
                <w:sz w:val="20"/>
                <w:szCs w:val="20"/>
                <w:color w:val="auto"/>
              </w:rPr>
            </w:pPr>
            <w:r>
              <w:rPr>
                <w:rFonts w:ascii="Arial" w:cs="Arial" w:eastAsia="Arial" w:hAnsi="Arial"/>
                <w:sz w:val="12"/>
                <w:szCs w:val="12"/>
                <w:color w:val="auto"/>
              </w:rPr>
              <w:t>Exercisable at September 30, 2022​ ​​</w:t>
            </w:r>
          </w:p>
        </w:tc>
        <w:tc>
          <w:tcPr>
            <w:tcW w:w="40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220" w:type="dxa"/>
            <w:vAlign w:val="bottom"/>
            <w:gridSpan w:val="2"/>
          </w:tcPr>
          <w:p>
            <w:pPr>
              <w:jc w:val="right"/>
              <w:ind w:right="5"/>
              <w:spacing w:after="0" w:line="125"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25" w:lineRule="exact"/>
              <w:rPr>
                <w:sz w:val="20"/>
                <w:szCs w:val="20"/>
                <w:color w:val="auto"/>
              </w:rPr>
            </w:pPr>
            <w:r>
              <w:rPr>
                <w:rFonts w:ascii="Arial" w:cs="Arial" w:eastAsia="Arial" w:hAnsi="Arial"/>
                <w:sz w:val="12"/>
                <w:szCs w:val="12"/>
                <w:color w:val="auto"/>
              </w:rPr>
              <w:t>2,328</w:t>
            </w:r>
          </w:p>
        </w:tc>
        <w:tc>
          <w:tcPr>
            <w:tcW w:w="1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20"/>
                <w:szCs w:val="20"/>
                <w:color w:val="auto"/>
              </w:rPr>
            </w:pPr>
            <w:r>
              <w:rPr>
                <w:rFonts w:ascii="Arial" w:cs="Arial" w:eastAsia="Arial" w:hAnsi="Arial"/>
                <w:sz w:val="12"/>
                <w:szCs w:val="12"/>
                <w:color w:val="auto"/>
              </w:rPr>
              <w:t>Vested and expected to vest at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20" w:type="dxa"/>
            <w:vAlign w:val="bottom"/>
          </w:tcPr>
          <w:p>
            <w:pPr>
              <w:ind w:left="120"/>
              <w:spacing w:after="0"/>
              <w:rPr>
                <w:sz w:val="20"/>
                <w:szCs w:val="20"/>
                <w:color w:val="auto"/>
              </w:rPr>
            </w:pPr>
            <w:r>
              <w:rPr>
                <w:rFonts w:ascii="Arial" w:cs="Arial" w:eastAsia="Arial" w:hAnsi="Arial"/>
                <w:sz w:val="12"/>
                <w:szCs w:val="12"/>
                <w:color w:val="auto"/>
              </w:rPr>
              <w:t>September 30, 2022</w:t>
            </w:r>
          </w:p>
        </w:tc>
        <w:tc>
          <w:tcPr>
            <w:tcW w:w="100" w:type="dxa"/>
            <w:vAlign w:val="bottom"/>
          </w:tcPr>
          <w:p>
            <w:pPr>
              <w:spacing w:after="0"/>
              <w:rPr>
                <w:sz w:val="13"/>
                <w:szCs w:val="13"/>
                <w:color w:val="auto"/>
              </w:rPr>
            </w:pPr>
          </w:p>
        </w:tc>
        <w:tc>
          <w:tcPr>
            <w:tcW w:w="10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7,329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59"/>
              <w:spacing w:after="0"/>
              <w:rPr>
                <w:sz w:val="20"/>
                <w:szCs w:val="20"/>
                <w:color w:val="auto"/>
              </w:rPr>
            </w:pPr>
            <w:r>
              <w:rPr>
                <w:rFonts w:ascii="Arial" w:cs="Arial" w:eastAsia="Arial" w:hAnsi="Arial"/>
                <w:sz w:val="12"/>
                <w:szCs w:val="12"/>
                <w:color w:val="auto"/>
              </w:rPr>
              <w:t>1.55</w:t>
            </w:r>
          </w:p>
        </w:tc>
        <w:tc>
          <w:tcPr>
            <w:tcW w:w="40" w:type="dxa"/>
            <w:vAlign w:val="bottom"/>
          </w:tcPr>
          <w:p>
            <w:pPr>
              <w:spacing w:after="0"/>
              <w:rPr>
                <w:sz w:val="13"/>
                <w:szCs w:val="13"/>
                <w:color w:val="auto"/>
              </w:rPr>
            </w:pPr>
          </w:p>
        </w:tc>
        <w:tc>
          <w:tcPr>
            <w:tcW w:w="620" w:type="dxa"/>
            <w:vAlign w:val="bottom"/>
          </w:tcPr>
          <w:p>
            <w:pPr>
              <w:jc w:val="center"/>
              <w:ind w:left="243"/>
              <w:spacing w:after="0"/>
              <w:rPr>
                <w:sz w:val="20"/>
                <w:szCs w:val="20"/>
                <w:color w:val="auto"/>
              </w:rPr>
            </w:pPr>
            <w:r>
              <w:rPr>
                <w:rFonts w:ascii="Arial" w:cs="Arial" w:eastAsia="Arial" w:hAnsi="Arial"/>
                <w:sz w:val="12"/>
                <w:szCs w:val="12"/>
                <w:color w:val="auto"/>
              </w:rPr>
              <w:t>​ 8.76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9,551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200" w:type="dxa"/>
            <w:vAlign w:val="bottom"/>
            <w:gridSpan w:val="2"/>
          </w:tcPr>
          <w:p>
            <w:pPr>
              <w:spacing w:after="0"/>
              <w:rPr>
                <w:sz w:val="20"/>
                <w:szCs w:val="20"/>
                <w:color w:val="auto"/>
              </w:rPr>
            </w:pPr>
            <w:r>
              <w:rPr>
                <w:rFonts w:ascii="Arial" w:cs="Arial" w:eastAsia="Arial" w:hAnsi="Arial"/>
                <w:sz w:val="12"/>
                <w:szCs w:val="12"/>
                <w:color w:val="auto"/>
              </w:rPr>
              <w:t>​ ​</w:t>
            </w:r>
          </w:p>
        </w:tc>
        <w:tc>
          <w:tcPr>
            <w:tcW w:w="4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25"/>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ind w:lef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-705485</wp:posOffset>
            </wp:positionV>
            <wp:extent cx="3733165" cy="9207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733165" cy="9207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-300355</wp:posOffset>
            </wp:positionV>
            <wp:extent cx="3733165" cy="2946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733165" cy="2946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-514985</wp:posOffset>
            </wp:positionV>
            <wp:extent cx="3733165" cy="1168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733165" cy="11684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-895985</wp:posOffset>
            </wp:positionV>
            <wp:extent cx="3733165" cy="9842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733165" cy="98425"/>
                    </a:xfrm>
                    <a:prstGeom prst="rect">
                      <a:avLst/>
                    </a:prstGeom>
                    <a:noFill/>
                  </pic:spPr>
                </pic:pic>
              </a:graphicData>
            </a:graphic>
          </wp:anchor>
        </w:drawing>
      </w:r>
    </w:p>
    <w:p>
      <w:pPr>
        <w:spacing w:after="0" w:line="31" w:lineRule="exact"/>
        <w:rPr>
          <w:sz w:val="20"/>
          <w:szCs w:val="20"/>
          <w:color w:val="auto"/>
        </w:rPr>
      </w:pPr>
    </w:p>
    <w:p>
      <w:pPr>
        <w:ind w:left="1560" w:right="2199"/>
        <w:spacing w:after="0" w:line="308" w:lineRule="auto"/>
        <w:rPr>
          <w:sz w:val="20"/>
          <w:szCs w:val="20"/>
          <w:color w:val="auto"/>
        </w:rPr>
      </w:pPr>
      <w:r>
        <w:rPr>
          <w:rFonts w:ascii="Arial" w:cs="Arial" w:eastAsia="Arial" w:hAnsi="Arial"/>
          <w:sz w:val="12"/>
          <w:szCs w:val="12"/>
          <w:color w:val="auto"/>
        </w:rPr>
        <w:t>The total fair value of options that vested during the nine months ended September 30, 2022 was $1.1 million.</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i w:val="1"/>
          <w:iCs w:val="1"/>
          <w:color w:val="auto"/>
        </w:rPr>
        <w:t>Restricted Shares</w:t>
      </w:r>
    </w:p>
    <w:p>
      <w:pPr>
        <w:spacing w:after="0" w:line="92"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Activity with respect to restricted shares was as follows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100965</wp:posOffset>
            </wp:positionV>
            <wp:extent cx="3733165" cy="63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rPr>
              <w:t>NUMBER OF SHARES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gridSpan w:val="4"/>
          </w:tcPr>
          <w:p>
            <w:pPr>
              <w:jc w:val="center"/>
              <w:ind w:left="45"/>
              <w:spacing w:after="0"/>
              <w:rPr>
                <w:sz w:val="20"/>
                <w:szCs w:val="20"/>
                <w:color w:val="auto"/>
              </w:rPr>
            </w:pPr>
            <w:r>
              <w:rPr>
                <w:rFonts w:ascii="Arial" w:cs="Arial" w:eastAsia="Arial" w:hAnsi="Arial"/>
                <w:sz w:val="10"/>
                <w:szCs w:val="10"/>
                <w:b w:val="1"/>
                <w:bCs w:val="1"/>
                <w:color w:val="auto"/>
              </w:rPr>
              <w:t>UNDERLYING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5"/>
          </w:tcPr>
          <w:p>
            <w:pPr>
              <w:jc w:val="center"/>
              <w:ind w:right="882"/>
              <w:spacing w:after="0"/>
              <w:rPr>
                <w:sz w:val="20"/>
                <w:szCs w:val="20"/>
                <w:color w:val="auto"/>
              </w:rPr>
            </w:pPr>
            <w:r>
              <w:rPr>
                <w:rFonts w:ascii="Arial" w:cs="Arial" w:eastAsia="Arial" w:hAnsi="Arial"/>
                <w:sz w:val="10"/>
                <w:szCs w:val="10"/>
                <w:b w:val="1"/>
                <w:bCs w:val="1"/>
                <w:color w:val="auto"/>
              </w:rPr>
              <w:t>WEIGHTED-AVERAGE</w:t>
            </w:r>
          </w:p>
        </w:tc>
      </w:tr>
      <w:tr>
        <w:trPr>
          <w:trHeight w:val="135"/>
        </w:trPr>
        <w:tc>
          <w:tcPr>
            <w:tcW w:w="9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gridSpan w:val="4"/>
          </w:tcPr>
          <w:p>
            <w:pPr>
              <w:jc w:val="center"/>
              <w:ind w:left="45"/>
              <w:spacing w:after="0"/>
              <w:rPr>
                <w:sz w:val="20"/>
                <w:szCs w:val="20"/>
                <w:color w:val="auto"/>
              </w:rPr>
            </w:pPr>
            <w:r>
              <w:rPr>
                <w:rFonts w:ascii="Arial" w:cs="Arial" w:eastAsia="Arial" w:hAnsi="Arial"/>
                <w:sz w:val="10"/>
                <w:szCs w:val="10"/>
                <w:b w:val="1"/>
                <w:bCs w:val="1"/>
                <w:color w:val="auto"/>
              </w:rPr>
              <w:t>OUTSTANDING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spacing w:after="0"/>
              <w:rPr>
                <w:sz w:val="20"/>
                <w:szCs w:val="20"/>
                <w:color w:val="auto"/>
              </w:rPr>
            </w:pPr>
            <w:r>
              <w:rPr>
                <w:rFonts w:ascii="Arial" w:cs="Arial" w:eastAsia="Arial" w:hAnsi="Arial"/>
                <w:sz w:val="10"/>
                <w:szCs w:val="10"/>
                <w:b w:val="1"/>
                <w:bCs w:val="1"/>
                <w:color w:val="auto"/>
              </w:rPr>
              <w:t>GRANT DATE FAIR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2"/>
        </w:trPr>
        <w:tc>
          <w:tcPr>
            <w:tcW w:w="90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0"/>
                <w:szCs w:val="10"/>
                <w:b w:val="1"/>
                <w:bCs w:val="1"/>
                <w:color w:val="auto"/>
              </w:rPr>
              <w:t>​</w:t>
            </w:r>
          </w:p>
        </w:tc>
        <w:tc>
          <w:tcPr>
            <w:tcW w:w="2420" w:type="dxa"/>
            <w:vAlign w:val="bottom"/>
            <w:gridSpan w:val="7"/>
          </w:tcPr>
          <w:p>
            <w:pPr>
              <w:ind w:left="1000"/>
              <w:spacing w:after="0" w:line="152"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RESTRICTED SHARES </w:t>
            </w:r>
            <w:r>
              <w:rPr>
                <w:rFonts w:ascii="Arial" w:cs="Arial" w:eastAsia="Arial" w:hAnsi="Arial"/>
                <w:sz w:val="17"/>
                <w:szCs w:val="17"/>
                <w:b w:val="1"/>
                <w:bCs w:val="1"/>
                <w:color w:val="auto"/>
                <w:vertAlign w:val="subscript"/>
              </w:rPr>
              <w:t>​ ​</w:t>
            </w:r>
          </w:p>
        </w:tc>
        <w:tc>
          <w:tcPr>
            <w:tcW w:w="1120" w:type="dxa"/>
            <w:vAlign w:val="bottom"/>
            <w:gridSpan w:val="3"/>
          </w:tcPr>
          <w:p>
            <w:pPr>
              <w:jc w:val="center"/>
              <w:ind w:left="24"/>
              <w:spacing w:after="0"/>
              <w:rPr>
                <w:sz w:val="20"/>
                <w:szCs w:val="20"/>
                <w:color w:val="auto"/>
              </w:rPr>
            </w:pPr>
            <w:r>
              <w:rPr>
                <w:rFonts w:ascii="Arial" w:cs="Arial" w:eastAsia="Arial" w:hAnsi="Arial"/>
                <w:sz w:val="10"/>
                <w:szCs w:val="10"/>
                <w:b w:val="1"/>
                <w:bCs w:val="1"/>
                <w:color w:val="auto"/>
              </w:rPr>
              <w:t>VALUE</w:t>
            </w:r>
          </w:p>
        </w:tc>
        <w:tc>
          <w:tcPr>
            <w:tcW w:w="80" w:type="dxa"/>
            <w:vAlign w:val="bottom"/>
          </w:tcPr>
          <w:p>
            <w:pPr>
              <w:spacing w:after="0"/>
              <w:rPr>
                <w:sz w:val="13"/>
                <w:szCs w:val="13"/>
                <w:color w:val="auto"/>
              </w:rPr>
            </w:pPr>
          </w:p>
        </w:tc>
        <w:tc>
          <w:tcPr>
            <w:tcW w:w="900" w:type="dxa"/>
            <w:vAlign w:val="bottom"/>
          </w:tcPr>
          <w:p>
            <w:pPr>
              <w:jc w:val="right"/>
              <w:ind w:right="802"/>
              <w:spacing w:after="0"/>
              <w:rPr>
                <w:sz w:val="20"/>
                <w:szCs w:val="20"/>
                <w:color w:val="auto"/>
              </w:rPr>
            </w:pPr>
            <w:r>
              <w:rPr>
                <w:rFonts w:ascii="Arial" w:cs="Arial" w:eastAsia="Arial" w:hAnsi="Arial"/>
                <w:sz w:val="10"/>
                <w:szCs w:val="10"/>
                <w:b w:val="1"/>
                <w:bCs w:val="1"/>
                <w:color w:val="auto"/>
              </w:rPr>
              <w:t>​</w:t>
            </w:r>
          </w:p>
        </w:tc>
      </w:tr>
      <w:tr>
        <w:trPr>
          <w:trHeight w:val="20"/>
        </w:trPr>
        <w:tc>
          <w:tcPr>
            <w:tcW w:w="900" w:type="dxa"/>
            <w:vAlign w:val="bottom"/>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4"/>
        </w:trPr>
        <w:tc>
          <w:tcPr>
            <w:tcW w:w="90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Unvested, December 31, 2021</w:t>
            </w:r>
          </w:p>
        </w:tc>
        <w:tc>
          <w:tcPr>
            <w:tcW w:w="110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 ​</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 ​</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1,513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 ​ ​</w:t>
            </w: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0.33</w:t>
            </w:r>
          </w:p>
        </w:tc>
        <w:tc>
          <w:tcPr>
            <w:tcW w:w="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2"/>
              <w:spacing w:after="0"/>
              <w:rPr>
                <w:sz w:val="20"/>
                <w:szCs w:val="20"/>
                <w:color w:val="auto"/>
              </w:rPr>
            </w:pPr>
            <w:r>
              <w:rPr>
                <w:rFonts w:ascii="Arial" w:cs="Arial" w:eastAsia="Arial" w:hAnsi="Arial"/>
                <w:sz w:val="12"/>
                <w:szCs w:val="12"/>
                <w:color w:val="auto"/>
              </w:rPr>
              <w:t>​</w:t>
            </w:r>
          </w:p>
        </w:tc>
      </w:tr>
      <w:tr>
        <w:trPr>
          <w:trHeight w:val="193"/>
        </w:trPr>
        <w:tc>
          <w:tcPr>
            <w:tcW w:w="90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Arial" w:cs="Arial" w:eastAsia="Arial" w:hAnsi="Arial"/>
                <w:sz w:val="12"/>
                <w:szCs w:val="12"/>
                <w:color w:val="auto"/>
              </w:rPr>
              <w:t>Vested</w:t>
            </w:r>
          </w:p>
        </w:tc>
        <w:tc>
          <w:tcPr>
            <w:tcW w:w="1100" w:type="dxa"/>
            <w:vAlign w:val="bottom"/>
          </w:tcPr>
          <w:p>
            <w:pPr>
              <w:ind w:left="1000"/>
              <w:spacing w:after="0"/>
              <w:rPr>
                <w:sz w:val="20"/>
                <w:szCs w:val="20"/>
                <w:color w:val="auto"/>
              </w:rPr>
            </w:pPr>
            <w:r>
              <w:rPr>
                <w:rFonts w:ascii="Arial" w:cs="Arial" w:eastAsia="Arial" w:hAnsi="Arial"/>
                <w:sz w:val="12"/>
                <w:szCs w:val="12"/>
                <w:color w:val="auto"/>
              </w:rPr>
              <w:t>​ ​</w:t>
            </w:r>
          </w:p>
        </w:tc>
        <w:tc>
          <w:tcPr>
            <w:tcW w:w="460" w:type="dxa"/>
            <w:vAlign w:val="bottom"/>
            <w:gridSpan w:val="2"/>
          </w:tcPr>
          <w:p>
            <w:pPr>
              <w:ind w:left="32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(940)</w:t>
            </w: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 ​ ​</w:t>
            </w: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39"/>
              <w:spacing w:after="0"/>
              <w:rPr>
                <w:sz w:val="20"/>
                <w:szCs w:val="20"/>
                <w:color w:val="auto"/>
              </w:rPr>
            </w:pPr>
            <w:r>
              <w:rPr>
                <w:rFonts w:ascii="Arial" w:cs="Arial" w:eastAsia="Arial" w:hAnsi="Arial"/>
                <w:sz w:val="12"/>
                <w:szCs w:val="12"/>
                <w:color w:val="auto"/>
              </w:rPr>
              <w:t>0.33</w:t>
            </w:r>
          </w:p>
        </w:tc>
        <w:tc>
          <w:tcPr>
            <w:tcW w:w="980" w:type="dxa"/>
            <w:vAlign w:val="bottom"/>
            <w:gridSpan w:val="2"/>
          </w:tcPr>
          <w:p>
            <w:pPr>
              <w:jc w:val="right"/>
              <w:ind w:right="802"/>
              <w:spacing w:after="0"/>
              <w:rPr>
                <w:sz w:val="20"/>
                <w:szCs w:val="20"/>
                <w:color w:val="auto"/>
              </w:rPr>
            </w:pPr>
            <w:r>
              <w:rPr>
                <w:rFonts w:ascii="Arial" w:cs="Arial" w:eastAsia="Arial" w:hAnsi="Arial"/>
                <w:sz w:val="12"/>
                <w:szCs w:val="12"/>
                <w:color w:val="auto"/>
              </w:rPr>
              <w:t>​ ​</w:t>
            </w:r>
          </w:p>
        </w:tc>
      </w:tr>
      <w:tr>
        <w:trPr>
          <w:trHeight w:val="20"/>
        </w:trPr>
        <w:tc>
          <w:tcPr>
            <w:tcW w:w="900" w:type="dxa"/>
            <w:vAlign w:val="bottom"/>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900" w:type="dxa"/>
            <w:vAlign w:val="bottom"/>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Unvested, September 30, 2022</w:t>
            </w:r>
          </w:p>
        </w:tc>
        <w:tc>
          <w:tcPr>
            <w:tcW w:w="110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 ​</w:t>
            </w:r>
          </w:p>
        </w:tc>
        <w:tc>
          <w:tcPr>
            <w:tcW w:w="460" w:type="dxa"/>
            <w:vAlign w:val="bottom"/>
            <w:gridSpan w:val="2"/>
            <w:shd w:val="clear" w:color="auto" w:fill="CCEEFF"/>
          </w:tcPr>
          <w:p>
            <w:pPr>
              <w:ind w:left="320"/>
              <w:spacing w:after="0" w:line="173"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perscript"/>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573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 ​ ​</w:t>
            </w: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0.33</w:t>
            </w:r>
          </w:p>
        </w:tc>
        <w:tc>
          <w:tcPr>
            <w:tcW w:w="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2"/>
              <w:spacing w:after="0"/>
              <w:rPr>
                <w:sz w:val="20"/>
                <w:szCs w:val="20"/>
                <w:color w:val="auto"/>
              </w:rPr>
            </w:pPr>
            <w:r>
              <w:rPr>
                <w:rFonts w:ascii="Arial" w:cs="Arial" w:eastAsia="Arial" w:hAnsi="Arial"/>
                <w:sz w:val="12"/>
                <w:szCs w:val="12"/>
                <w:color w:val="auto"/>
              </w:rPr>
              <w:t>​</w:t>
            </w:r>
          </w:p>
        </w:tc>
      </w:tr>
      <w:tr>
        <w:trPr>
          <w:trHeight w:val="77"/>
        </w:trPr>
        <w:tc>
          <w:tcPr>
            <w:tcW w:w="900" w:type="dxa"/>
            <w:vAlign w:val="bottom"/>
          </w:tcPr>
          <w:p>
            <w:pPr>
              <w:spacing w:after="0"/>
              <w:rPr>
                <w:sz w:val="6"/>
                <w:szCs w:val="6"/>
                <w:color w:val="auto"/>
              </w:rPr>
            </w:pPr>
          </w:p>
        </w:tc>
        <w:tc>
          <w:tcPr>
            <w:tcW w:w="2260" w:type="dxa"/>
            <w:vAlign w:val="bottom"/>
            <w:tcBorders>
              <w:top w:val="single" w:sz="8" w:color="CCEEFF"/>
              <w:bottom w:val="single" w:sz="8" w:color="auto"/>
            </w:tcBorders>
          </w:tcPr>
          <w:p>
            <w:pPr>
              <w:spacing w:after="0"/>
              <w:rPr>
                <w:sz w:val="6"/>
                <w:szCs w:val="6"/>
                <w:color w:val="auto"/>
              </w:rPr>
            </w:pPr>
          </w:p>
        </w:tc>
        <w:tc>
          <w:tcPr>
            <w:tcW w:w="1100" w:type="dxa"/>
            <w:vAlign w:val="bottom"/>
            <w:tcBorders>
              <w:top w:val="single" w:sz="8" w:color="CCEEFF"/>
              <w:bottom w:val="single" w:sz="8" w:color="auto"/>
            </w:tcBorders>
          </w:tcPr>
          <w:p>
            <w:pPr>
              <w:spacing w:after="0"/>
              <w:rPr>
                <w:sz w:val="6"/>
                <w:szCs w:val="6"/>
                <w:color w:val="auto"/>
              </w:rPr>
            </w:pPr>
          </w:p>
        </w:tc>
        <w:tc>
          <w:tcPr>
            <w:tcW w:w="3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CCEEFF"/>
              <w:bottom w:val="single" w:sz="8" w:color="auto"/>
            </w:tcBorders>
          </w:tcPr>
          <w:p>
            <w:pPr>
              <w:spacing w:after="0"/>
              <w:rPr>
                <w:sz w:val="6"/>
                <w:szCs w:val="6"/>
                <w:color w:val="auto"/>
              </w:rPr>
            </w:pPr>
          </w:p>
        </w:tc>
        <w:tc>
          <w:tcPr>
            <w:tcW w:w="14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48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58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CCEEFF"/>
              <w:bottom w:val="single" w:sz="8" w:color="auto"/>
            </w:tcBorders>
          </w:tcPr>
          <w:p>
            <w:pPr>
              <w:spacing w:after="0"/>
              <w:rPr>
                <w:sz w:val="6"/>
                <w:szCs w:val="6"/>
                <w:color w:val="auto"/>
              </w:rPr>
            </w:pPr>
          </w:p>
        </w:tc>
        <w:tc>
          <w:tcPr>
            <w:tcW w:w="900" w:type="dxa"/>
            <w:vAlign w:val="bottom"/>
          </w:tcPr>
          <w:p>
            <w:pPr>
              <w:spacing w:after="0"/>
              <w:rPr>
                <w:sz w:val="6"/>
                <w:szCs w:val="6"/>
                <w:color w:val="auto"/>
              </w:rPr>
            </w:pPr>
          </w:p>
        </w:tc>
      </w:tr>
      <w:tr>
        <w:trPr>
          <w:trHeight w:val="441"/>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00" w:type="dxa"/>
            <w:vAlign w:val="bottom"/>
          </w:tcPr>
          <w:p>
            <w:pPr>
              <w:ind w:left="560"/>
              <w:spacing w:after="0"/>
              <w:rPr>
                <w:sz w:val="20"/>
                <w:szCs w:val="20"/>
                <w:color w:val="auto"/>
              </w:rPr>
            </w:pPr>
            <w:r>
              <w:rPr>
                <w:rFonts w:ascii="Arial" w:cs="Arial" w:eastAsia="Arial" w:hAnsi="Arial"/>
                <w:sz w:val="12"/>
                <w:szCs w:val="12"/>
                <w:color w:val="auto"/>
              </w:rPr>
              <w:t>F-45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3"/>
        </w:trPr>
        <w:tc>
          <w:tcPr>
            <w:tcW w:w="9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-680720</wp:posOffset>
            </wp:positionV>
            <wp:extent cx="3733165"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-920115</wp:posOffset>
            </wp:positionV>
            <wp:extent cx="2965450"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965450" cy="635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-24130</wp:posOffset>
            </wp:positionV>
            <wp:extent cx="31750"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-24130</wp:posOffset>
            </wp:positionV>
            <wp:extent cx="31750"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4" w:name="page295"/>
    <w:bookmarkEnd w:id="294"/>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2199"/>
        <w:spacing w:after="0" w:line="308" w:lineRule="auto"/>
        <w:rPr>
          <w:sz w:val="20"/>
          <w:szCs w:val="20"/>
          <w:color w:val="auto"/>
        </w:rPr>
      </w:pPr>
      <w:r>
        <w:rPr>
          <w:rFonts w:ascii="Arial" w:cs="Arial" w:eastAsia="Arial" w:hAnsi="Arial"/>
          <w:sz w:val="12"/>
          <w:szCs w:val="12"/>
          <w:color w:val="auto"/>
        </w:rPr>
        <w:t>The fair value of restricted shares vested during the nine months ended September 30, 2022 was $0.3 million.</w:t>
      </w:r>
    </w:p>
    <w:p>
      <w:pPr>
        <w:spacing w:after="0" w:line="6" w:lineRule="exact"/>
        <w:rPr>
          <w:sz w:val="20"/>
          <w:szCs w:val="20"/>
          <w:color w:val="auto"/>
        </w:rPr>
      </w:pPr>
    </w:p>
    <w:p>
      <w:pPr>
        <w:ind w:left="1560" w:right="2679"/>
        <w:spacing w:after="0" w:line="422" w:lineRule="auto"/>
        <w:rPr>
          <w:sz w:val="20"/>
          <w:szCs w:val="20"/>
          <w:color w:val="auto"/>
        </w:rPr>
      </w:pPr>
      <w:r>
        <w:rPr>
          <w:rFonts w:ascii="Arial" w:cs="Arial" w:eastAsia="Arial" w:hAnsi="Arial"/>
          <w:sz w:val="12"/>
          <w:szCs w:val="12"/>
          <w:i w:val="1"/>
          <w:iCs w:val="1"/>
          <w:color w:val="auto"/>
        </w:rPr>
        <w:t xml:space="preserve">Share-Based Compensation Associated with Awards to Employees and Non-Employees </w:t>
      </w:r>
      <w:r>
        <w:rPr>
          <w:rFonts w:ascii="Arial" w:cs="Arial" w:eastAsia="Arial" w:hAnsi="Arial"/>
          <w:sz w:val="12"/>
          <w:szCs w:val="12"/>
          <w:color w:val="auto"/>
        </w:rPr>
        <w:t>The Company recognized share-based compensation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20320</wp:posOffset>
            </wp:positionV>
            <wp:extent cx="3733165"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50"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9"/>
          </w:tcPr>
          <w:p>
            <w:pPr>
              <w:spacing w:after="0"/>
              <w:rPr>
                <w:sz w:val="20"/>
                <w:szCs w:val="20"/>
                <w:color w:val="auto"/>
              </w:rPr>
            </w:pPr>
            <w:r>
              <w:rPr>
                <w:rFonts w:ascii="Arial" w:cs="Arial" w:eastAsia="Arial" w:hAnsi="Arial"/>
                <w:sz w:val="10"/>
                <w:szCs w:val="10"/>
                <w:b w:val="1"/>
                <w:bCs w:val="1"/>
                <w:color w:val="auto"/>
              </w:rPr>
              <w:t>NINE MONTHS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0"/>
                <w:szCs w:val="10"/>
                <w:b w:val="1"/>
                <w:bCs w:val="1"/>
                <w:color w:val="auto"/>
              </w:rPr>
              <w:t>​ ​</w:t>
            </w:r>
          </w:p>
        </w:tc>
        <w:tc>
          <w:tcPr>
            <w:tcW w:w="10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center"/>
              <w:ind w:right="81"/>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44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b w:val="1"/>
                <w:bCs w:val="1"/>
                <w:color w:val="auto"/>
              </w:rPr>
              <w:t>​ ​</w:t>
            </w:r>
          </w:p>
        </w:tc>
        <w:tc>
          <w:tcPr>
            <w:tcW w:w="10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98"/>
              </w:rPr>
              <w:t>2021</w:t>
            </w:r>
          </w:p>
        </w:tc>
        <w:tc>
          <w:tcPr>
            <w:tcW w:w="1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0"/>
                <w:szCs w:val="10"/>
                <w:b w:val="1"/>
                <w:bCs w:val="1"/>
                <w:color w:val="auto"/>
              </w:rPr>
              <w:t>​ ​</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320" w:type="dxa"/>
            <w:vAlign w:val="bottom"/>
            <w:gridSpan w:val="5"/>
            <w:shd w:val="clear" w:color="auto" w:fill="CCEEFF"/>
          </w:tcPr>
          <w:p>
            <w:pPr>
              <w:jc w:val="right"/>
              <w:ind w:right="15"/>
              <w:spacing w:after="0"/>
              <w:rPr>
                <w:sz w:val="20"/>
                <w:szCs w:val="20"/>
                <w:color w:val="auto"/>
              </w:rPr>
            </w:pPr>
            <w:r>
              <w:rPr>
                <w:rFonts w:ascii="Arial" w:cs="Arial" w:eastAsia="Arial" w:hAnsi="Arial"/>
                <w:sz w:val="12"/>
                <w:szCs w:val="12"/>
                <w:color w:val="auto"/>
              </w:rPr>
              <w:t>​ ​ ​$</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   194 ​​ ​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692</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93"/>
        </w:trPr>
        <w:tc>
          <w:tcPr>
            <w:tcW w:w="446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1020" w:type="dxa"/>
            <w:vAlign w:val="bottom"/>
            <w:gridSpan w:val="10"/>
          </w:tcPr>
          <w:p>
            <w:pPr>
              <w:jc w:val="right"/>
              <w:spacing w:after="0" w:line="193"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2"/>
                <w:szCs w:val="22"/>
                <w:color w:val="auto"/>
                <w:vertAlign w:val="superscript"/>
              </w:rPr>
              <w:t>​  356</w:t>
            </w:r>
            <w:r>
              <w:rPr>
                <w:rFonts w:ascii="Arial" w:cs="Arial" w:eastAsia="Arial" w:hAnsi="Arial"/>
                <w:sz w:val="12"/>
                <w:szCs w:val="12"/>
                <w:color w:val="auto"/>
              </w:rPr>
              <w:t xml:space="preserve"> ​​ ​ ​ </w:t>
            </w:r>
            <w:r>
              <w:rPr>
                <w:rFonts w:ascii="Arial" w:cs="Arial" w:eastAsia="Arial" w:hAnsi="Arial"/>
                <w:sz w:val="22"/>
                <w:szCs w:val="22"/>
                <w:color w:val="auto"/>
                <w:vertAlign w:val="superscript"/>
              </w:rPr>
              <w:t>​</w:t>
            </w:r>
          </w:p>
        </w:tc>
        <w:tc>
          <w:tcPr>
            <w:tcW w:w="44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 xml:space="preserve">1,199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Total share-based compensation</w:t>
            </w:r>
          </w:p>
        </w:tc>
        <w:tc>
          <w:tcPr>
            <w:tcW w:w="320" w:type="dxa"/>
            <w:vAlign w:val="bottom"/>
            <w:gridSpan w:val="5"/>
            <w:shd w:val="clear" w:color="auto" w:fill="CCEEFF"/>
          </w:tcPr>
          <w:p>
            <w:pPr>
              <w:jc w:val="right"/>
              <w:ind w:right="15"/>
              <w:spacing w:after="0" w:line="173" w:lineRule="exact"/>
              <w:rPr>
                <w:sz w:val="20"/>
                <w:szCs w:val="20"/>
                <w:color w:val="auto"/>
              </w:rPr>
            </w:pPr>
            <w:r>
              <w:rPr>
                <w:rFonts w:ascii="Arial" w:cs="Arial" w:eastAsia="Arial" w:hAnsi="Arial"/>
                <w:sz w:val="11"/>
                <w:szCs w:val="11"/>
                <w:color w:val="auto"/>
              </w:rPr>
              <w:t>​ ​ ​</w:t>
            </w:r>
            <w:r>
              <w:rPr>
                <w:rFonts w:ascii="Arial" w:cs="Arial" w:eastAsia="Arial" w:hAnsi="Arial"/>
                <w:sz w:val="20"/>
                <w:szCs w:val="20"/>
                <w:color w:val="auto"/>
                <w:vertAlign w:val="superscript"/>
              </w:rPr>
              <w:t>$</w:t>
            </w:r>
          </w:p>
        </w:tc>
        <w:tc>
          <w:tcPr>
            <w:tcW w:w="700" w:type="dxa"/>
            <w:vAlign w:val="bottom"/>
            <w:gridSpan w:val="5"/>
            <w:shd w:val="clear" w:color="auto" w:fill="CCEEFF"/>
          </w:tcPr>
          <w:p>
            <w:pPr>
              <w:jc w:val="right"/>
              <w:spacing w:after="0" w:line="173" w:lineRule="exact"/>
              <w:rPr>
                <w:sz w:val="20"/>
                <w:szCs w:val="20"/>
                <w:color w:val="auto"/>
              </w:rPr>
            </w:pPr>
            <w:r>
              <w:rPr>
                <w:rFonts w:ascii="Arial" w:cs="Arial" w:eastAsia="Arial" w:hAnsi="Arial"/>
                <w:sz w:val="11"/>
                <w:szCs w:val="11"/>
                <w:color w:val="auto"/>
              </w:rPr>
              <w:t xml:space="preserve">550 </w:t>
            </w:r>
            <w:r>
              <w:rPr>
                <w:rFonts w:ascii="Arial" w:cs="Arial" w:eastAsia="Arial" w:hAnsi="Arial"/>
                <w:sz w:val="20"/>
                <w:szCs w:val="20"/>
                <w:color w:val="auto"/>
                <w:vertAlign w:val="subscript"/>
              </w:rPr>
              <w:t>​​ ​ ​</w:t>
            </w:r>
            <w:r>
              <w:rPr>
                <w:rFonts w:ascii="Arial" w:cs="Arial" w:eastAsia="Arial" w:hAnsi="Arial"/>
                <w:sz w:val="11"/>
                <w:szCs w:val="1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1,891</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77"/>
        </w:trPr>
        <w:tc>
          <w:tcPr>
            <w:tcW w:w="446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4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880" w:type="dxa"/>
            <w:vAlign w:val="bottom"/>
            <w:gridSpan w:val="12"/>
          </w:tcPr>
          <w:p>
            <w:pPr>
              <w:spacing w:after="0"/>
              <w:rPr>
                <w:sz w:val="20"/>
                <w:szCs w:val="20"/>
                <w:color w:val="auto"/>
              </w:rPr>
            </w:pPr>
            <w:r>
              <w:rPr>
                <w:rFonts w:ascii="Arial" w:cs="Arial" w:eastAsia="Arial" w:hAnsi="Arial"/>
                <w:sz w:val="12"/>
                <w:szCs w:val="12"/>
                <w:color w:val="auto"/>
              </w:rPr>
              <w:t>As of September 30, 2022, the total unrecognized share-based compensation expense related to unvested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880" w:type="dxa"/>
            <w:vAlign w:val="bottom"/>
            <w:gridSpan w:val="12"/>
          </w:tcPr>
          <w:p>
            <w:pPr>
              <w:spacing w:after="0"/>
              <w:rPr>
                <w:sz w:val="20"/>
                <w:szCs w:val="20"/>
                <w:color w:val="auto"/>
              </w:rPr>
            </w:pPr>
            <w:r>
              <w:rPr>
                <w:rFonts w:ascii="Arial" w:cs="Arial" w:eastAsia="Arial" w:hAnsi="Arial"/>
                <w:sz w:val="12"/>
                <w:szCs w:val="12"/>
                <w:color w:val="auto"/>
              </w:rPr>
              <w:t>share options was $7.1 million, which is expected to be recognized over the remaining weighted-average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20"/>
                <w:szCs w:val="20"/>
                <w:color w:val="auto"/>
              </w:rPr>
            </w:pPr>
            <w:r>
              <w:rPr>
                <w:rFonts w:ascii="Arial" w:cs="Arial" w:eastAsia="Arial" w:hAnsi="Arial"/>
                <w:sz w:val="12"/>
                <w:szCs w:val="12"/>
                <w:color w:val="auto"/>
              </w:rPr>
              <w:t>vesting period of 2.6 years.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5880" w:type="dxa"/>
            <w:vAlign w:val="bottom"/>
            <w:gridSpan w:val="12"/>
          </w:tcPr>
          <w:p>
            <w:pPr>
              <w:spacing w:after="0"/>
              <w:rPr>
                <w:sz w:val="20"/>
                <w:szCs w:val="20"/>
                <w:color w:val="auto"/>
              </w:rPr>
            </w:pPr>
            <w:r>
              <w:rPr>
                <w:rFonts w:ascii="Arial" w:cs="Arial" w:eastAsia="Arial" w:hAnsi="Arial"/>
                <w:sz w:val="12"/>
                <w:szCs w:val="12"/>
                <w:color w:val="auto"/>
              </w:rPr>
              <w:t>As of September 30, 2022, the total unrecognized compensation expense related to unvested restricted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5880" w:type="dxa"/>
            <w:vAlign w:val="bottom"/>
            <w:gridSpan w:val="12"/>
          </w:tcPr>
          <w:p>
            <w:pPr>
              <w:spacing w:after="0"/>
              <w:rPr>
                <w:sz w:val="20"/>
                <w:szCs w:val="20"/>
                <w:color w:val="auto"/>
              </w:rPr>
            </w:pPr>
            <w:r>
              <w:rPr>
                <w:rFonts w:ascii="Arial" w:cs="Arial" w:eastAsia="Arial" w:hAnsi="Arial"/>
                <w:sz w:val="12"/>
                <w:szCs w:val="12"/>
                <w:color w:val="auto"/>
              </w:rPr>
              <w:t>shares was $0.2 million, which is expected to be recognized over the remaining weighted-average vesting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tcPr>
          <w:p>
            <w:pPr>
              <w:spacing w:after="0"/>
              <w:rPr>
                <w:sz w:val="20"/>
                <w:szCs w:val="20"/>
                <w:color w:val="auto"/>
              </w:rPr>
            </w:pPr>
            <w:r>
              <w:rPr>
                <w:rFonts w:ascii="Arial" w:cs="Arial" w:eastAsia="Arial" w:hAnsi="Arial"/>
                <w:sz w:val="12"/>
                <w:szCs w:val="12"/>
                <w:color w:val="auto"/>
              </w:rPr>
              <w:t>period of 0.6 years.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460" w:type="dxa"/>
            <w:vAlign w:val="bottom"/>
          </w:tcPr>
          <w:p>
            <w:pPr>
              <w:spacing w:after="0"/>
              <w:rPr>
                <w:sz w:val="20"/>
                <w:szCs w:val="20"/>
                <w:color w:val="auto"/>
              </w:rPr>
            </w:pPr>
            <w:r>
              <w:rPr>
                <w:rFonts w:ascii="Arial" w:cs="Arial" w:eastAsia="Arial" w:hAnsi="Arial"/>
                <w:sz w:val="12"/>
                <w:szCs w:val="12"/>
                <w:b w:val="1"/>
                <w:bCs w:val="1"/>
                <w:color w:val="auto"/>
              </w:rPr>
              <w:t>11. Net Loss Per Share</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880" w:type="dxa"/>
            <w:vAlign w:val="bottom"/>
            <w:gridSpan w:val="12"/>
          </w:tcPr>
          <w:p>
            <w:pPr>
              <w:spacing w:after="0"/>
              <w:rPr>
                <w:sz w:val="20"/>
                <w:szCs w:val="20"/>
                <w:color w:val="auto"/>
              </w:rPr>
            </w:pPr>
            <w:r>
              <w:rPr>
                <w:rFonts w:ascii="Arial" w:cs="Arial" w:eastAsia="Arial" w:hAnsi="Arial"/>
                <w:sz w:val="12"/>
                <w:szCs w:val="12"/>
                <w:color w:val="auto"/>
              </w:rPr>
              <w:t>The following table sets forth the computation of basic and diluted net loss per share attributable to ordinary</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5880" w:type="dxa"/>
            <w:vAlign w:val="bottom"/>
            <w:gridSpan w:val="12"/>
          </w:tcPr>
          <w:p>
            <w:pPr>
              <w:spacing w:after="0"/>
              <w:rPr>
                <w:sz w:val="20"/>
                <w:szCs w:val="20"/>
                <w:color w:val="auto"/>
              </w:rPr>
            </w:pPr>
            <w:r>
              <w:rPr>
                <w:rFonts w:ascii="Arial" w:cs="Arial" w:eastAsia="Arial" w:hAnsi="Arial"/>
                <w:sz w:val="12"/>
                <w:szCs w:val="12"/>
                <w:color w:val="auto"/>
              </w:rPr>
              <w:t>shareholders, which excludes unvested restricted shares and shares which are legally outstanding, but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20"/>
                <w:szCs w:val="20"/>
                <w:color w:val="auto"/>
              </w:rPr>
            </w:pPr>
            <w:r>
              <w:rPr>
                <w:rFonts w:ascii="Arial" w:cs="Arial" w:eastAsia="Arial" w:hAnsi="Arial"/>
                <w:sz w:val="12"/>
                <w:szCs w:val="12"/>
                <w:color w:val="auto"/>
              </w:rPr>
              <w:t>subject to repurchase by the Company (in thousands, except per share amounts):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9"/>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9"/>
          </w:tcPr>
          <w:p>
            <w:pPr>
              <w:spacing w:after="0"/>
              <w:rPr>
                <w:sz w:val="20"/>
                <w:szCs w:val="20"/>
                <w:color w:val="auto"/>
              </w:rPr>
            </w:pPr>
            <w:r>
              <w:rPr>
                <w:rFonts w:ascii="Arial" w:cs="Arial" w:eastAsia="Arial" w:hAnsi="Arial"/>
                <w:sz w:val="10"/>
                <w:szCs w:val="10"/>
                <w:b w:val="1"/>
                <w:bCs w:val="1"/>
                <w:color w:val="auto"/>
              </w:rPr>
              <w:t>NINE MONTHS ENDED</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center"/>
              <w:ind w:right="81"/>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54"/>
        </w:trPr>
        <w:tc>
          <w:tcPr>
            <w:tcW w:w="4460" w:type="dxa"/>
            <w:vAlign w:val="bottom"/>
          </w:tcPr>
          <w:p>
            <w:pPr>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3"/>
                <w:szCs w:val="13"/>
                <w:color w:val="auto"/>
              </w:rPr>
            </w:pPr>
          </w:p>
        </w:tc>
        <w:tc>
          <w:tcPr>
            <w:tcW w:w="160" w:type="dxa"/>
            <w:vAlign w:val="bottom"/>
            <w:gridSpan w:val="3"/>
          </w:tcPr>
          <w:p>
            <w:pPr>
              <w:ind w:left="20"/>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3"/>
                <w:szCs w:val="13"/>
                <w:color w:val="auto"/>
              </w:rPr>
            </w:pPr>
          </w:p>
        </w:tc>
        <w:tc>
          <w:tcPr>
            <w:tcW w:w="400" w:type="dxa"/>
            <w:vAlign w:val="bottom"/>
          </w:tcPr>
          <w:p>
            <w:pPr>
              <w:jc w:val="right"/>
              <w:ind w:right="83"/>
              <w:spacing w:after="0"/>
              <w:rPr>
                <w:sz w:val="20"/>
                <w:szCs w:val="20"/>
                <w:color w:val="auto"/>
              </w:rPr>
            </w:pPr>
            <w:r>
              <w:rPr>
                <w:rFonts w:ascii="Arial" w:cs="Arial" w:eastAsia="Arial" w:hAnsi="Arial"/>
                <w:sz w:val="10"/>
                <w:szCs w:val="10"/>
                <w:b w:val="1"/>
                <w:bCs w:val="1"/>
                <w:color w:val="auto"/>
              </w:rPr>
              <w:t>2021</w:t>
            </w:r>
          </w:p>
        </w:tc>
        <w:tc>
          <w:tcPr>
            <w:tcW w:w="24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rPr>
              <w:t>​ ​</w:t>
            </w: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Numerator:</w:t>
            </w: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00" w:type="dxa"/>
            <w:vAlign w:val="bottom"/>
            <w:tcBorders>
              <w:right w:val="single" w:sz="8" w:color="CCEEFF"/>
            </w:tcBorders>
            <w:shd w:val="clear" w:color="auto" w:fill="CCEEFF"/>
          </w:tcPr>
          <w:p>
            <w:pPr>
              <w:spacing w:after="0"/>
              <w:rPr>
                <w:sz w:val="14"/>
                <w:szCs w:val="14"/>
                <w:color w:val="auto"/>
              </w:rPr>
            </w:pPr>
          </w:p>
        </w:tc>
        <w:tc>
          <w:tcPr>
            <w:tcW w:w="3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 ​</w:t>
            </w:r>
          </w:p>
        </w:tc>
        <w:tc>
          <w:tcPr>
            <w:tcW w:w="40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4"/>
        </w:trPr>
        <w:tc>
          <w:tcPr>
            <w:tcW w:w="4460" w:type="dxa"/>
            <w:vAlign w:val="bottom"/>
          </w:tcPr>
          <w:p>
            <w:pPr>
              <w:ind w:left="120"/>
              <w:spacing w:after="0"/>
              <w:rPr>
                <w:sz w:val="20"/>
                <w:szCs w:val="20"/>
                <w:color w:val="auto"/>
              </w:rPr>
            </w:pPr>
            <w:r>
              <w:rPr>
                <w:rFonts w:ascii="Arial" w:cs="Arial" w:eastAsia="Arial" w:hAnsi="Arial"/>
                <w:sz w:val="12"/>
                <w:szCs w:val="12"/>
                <w:color w:val="auto"/>
              </w:rPr>
              <w:t>Net loss attributable to ordinary shareholders</w:t>
            </w:r>
          </w:p>
        </w:tc>
        <w:tc>
          <w:tcPr>
            <w:tcW w:w="120" w:type="dxa"/>
            <w:vAlign w:val="bottom"/>
          </w:tcPr>
          <w:p>
            <w:pPr>
              <w:spacing w:after="0"/>
              <w:rPr>
                <w:sz w:val="15"/>
                <w:szCs w:val="15"/>
                <w:color w:val="auto"/>
              </w:rPr>
            </w:pPr>
          </w:p>
        </w:tc>
        <w:tc>
          <w:tcPr>
            <w:tcW w:w="700" w:type="dxa"/>
            <w:vAlign w:val="bottom"/>
            <w:gridSpan w:val="6"/>
          </w:tcPr>
          <w:p>
            <w:pPr>
              <w:ind w:left="20"/>
              <w:spacing w:after="0"/>
              <w:rPr>
                <w:sz w:val="20"/>
                <w:szCs w:val="20"/>
                <w:color w:val="auto"/>
              </w:rPr>
            </w:pPr>
            <w:r>
              <w:rPr>
                <w:rFonts w:ascii="Arial" w:cs="Arial" w:eastAsia="Arial" w:hAnsi="Arial"/>
                <w:sz w:val="12"/>
                <w:szCs w:val="12"/>
                <w:color w:val="auto"/>
              </w:rPr>
              <w:t>​​​$ (24,693​​)</w:t>
            </w:r>
          </w:p>
        </w:tc>
        <w:tc>
          <w:tcPr>
            <w:tcW w:w="640" w:type="dxa"/>
            <w:vAlign w:val="bottom"/>
            <w:gridSpan w:val="5"/>
          </w:tcPr>
          <w:p>
            <w:pPr>
              <w:jc w:val="right"/>
              <w:spacing w:after="0"/>
              <w:rPr>
                <w:sz w:val="20"/>
                <w:szCs w:val="20"/>
                <w:color w:val="auto"/>
              </w:rPr>
            </w:pPr>
            <w:r>
              <w:rPr>
                <w:rFonts w:ascii="Arial" w:cs="Arial" w:eastAsia="Arial" w:hAnsi="Arial"/>
                <w:sz w:val="12"/>
                <w:szCs w:val="12"/>
                <w:color w:val="auto"/>
              </w:rPr>
              <w:t>​​$ (39,446)​</w:t>
            </w: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Accretion of redeemable convertible preferred shares to their redemption value</w:t>
            </w:r>
          </w:p>
        </w:tc>
        <w:tc>
          <w:tcPr>
            <w:tcW w:w="120" w:type="dxa"/>
            <w:vAlign w:val="bottom"/>
            <w:shd w:val="clear" w:color="auto" w:fill="CCEEFF"/>
          </w:tcPr>
          <w:p>
            <w:pPr>
              <w:spacing w:after="0"/>
              <w:rPr>
                <w:sz w:val="11"/>
                <w:szCs w:val="11"/>
                <w:color w:val="auto"/>
              </w:rPr>
            </w:pP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500" w:type="dxa"/>
            <w:vAlign w:val="bottom"/>
            <w:gridSpan w:val="2"/>
            <w:shd w:val="clear" w:color="auto" w:fill="CCEEFF"/>
          </w:tcPr>
          <w:p>
            <w:pPr>
              <w:jc w:val="right"/>
              <w:ind w:right="18"/>
              <w:spacing w:after="0" w:line="136" w:lineRule="exact"/>
              <w:rPr>
                <w:sz w:val="20"/>
                <w:szCs w:val="20"/>
                <w:color w:val="auto"/>
              </w:rPr>
            </w:pPr>
            <w:r>
              <w:rPr>
                <w:rFonts w:ascii="Arial" w:cs="Arial" w:eastAsia="Arial" w:hAnsi="Arial"/>
                <w:sz w:val="12"/>
                <w:szCs w:val="12"/>
                <w:color w:val="auto"/>
              </w:rPr>
              <w:t>(3,642)</w:t>
            </w:r>
          </w:p>
        </w:tc>
        <w:tc>
          <w:tcPr>
            <w:tcW w:w="1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(1,515)</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line="58" w:lineRule="exact"/>
              <w:rPr>
                <w:sz w:val="20"/>
                <w:szCs w:val="20"/>
                <w:color w:val="auto"/>
              </w:rPr>
            </w:pPr>
            <w:r>
              <w:rPr>
                <w:rFonts w:ascii="Arial" w:cs="Arial" w:eastAsia="Arial" w:hAnsi="Arial"/>
                <w:sz w:val="6"/>
                <w:szCs w:val="6"/>
                <w:color w:val="auto"/>
              </w:rPr>
              <w:t>​​</w:t>
            </w:r>
          </w:p>
        </w:tc>
        <w:tc>
          <w:tcPr>
            <w:tcW w:w="1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60" w:type="dxa"/>
            <w:vAlign w:val="bottom"/>
          </w:tcPr>
          <w:p>
            <w:pPr>
              <w:ind w:left="120"/>
              <w:spacing w:after="0" w:line="125" w:lineRule="exact"/>
              <w:rPr>
                <w:sz w:val="20"/>
                <w:szCs w:val="20"/>
                <w:color w:val="auto"/>
              </w:rPr>
            </w:pPr>
            <w:r>
              <w:rPr>
                <w:rFonts w:ascii="Arial" w:cs="Arial" w:eastAsia="Arial" w:hAnsi="Arial"/>
                <w:sz w:val="12"/>
                <w:szCs w:val="12"/>
                <w:color w:val="auto"/>
              </w:rPr>
              <w:t>Net loss attributable to ordinary shareholders</w:t>
            </w:r>
          </w:p>
        </w:tc>
        <w:tc>
          <w:tcPr>
            <w:tcW w:w="1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00" w:type="dxa"/>
            <w:vAlign w:val="bottom"/>
            <w:gridSpan w:val="4"/>
          </w:tcPr>
          <w:p>
            <w:pPr>
              <w:jc w:val="right"/>
              <w:ind w:right="18"/>
              <w:spacing w:after="0" w:line="125" w:lineRule="exact"/>
              <w:rPr>
                <w:sz w:val="20"/>
                <w:szCs w:val="20"/>
                <w:color w:val="auto"/>
              </w:rPr>
            </w:pPr>
            <w:r>
              <w:rPr>
                <w:rFonts w:ascii="Arial" w:cs="Arial" w:eastAsia="Arial" w:hAnsi="Arial"/>
                <w:sz w:val="12"/>
                <w:szCs w:val="12"/>
                <w:color w:val="auto"/>
                <w:w w:val="94"/>
              </w:rPr>
              <w:t>$ (28,335)</w:t>
            </w:r>
          </w:p>
        </w:tc>
        <w:tc>
          <w:tcPr>
            <w:tcW w:w="640" w:type="dxa"/>
            <w:vAlign w:val="bottom"/>
            <w:gridSpan w:val="5"/>
          </w:tcPr>
          <w:p>
            <w:pPr>
              <w:jc w:val="right"/>
              <w:spacing w:after="0" w:line="125" w:lineRule="exact"/>
              <w:rPr>
                <w:sz w:val="20"/>
                <w:szCs w:val="20"/>
                <w:color w:val="auto"/>
              </w:rPr>
            </w:pPr>
            <w:r>
              <w:rPr>
                <w:rFonts w:ascii="Arial" w:cs="Arial" w:eastAsia="Arial" w:hAnsi="Arial"/>
                <w:sz w:val="12"/>
                <w:szCs w:val="12"/>
                <w:color w:val="auto"/>
              </w:rPr>
              <w:t>$ (40,961)</w:t>
            </w:r>
          </w:p>
        </w:tc>
        <w:tc>
          <w:tcPr>
            <w:tcW w:w="0" w:type="dxa"/>
            <w:vAlign w:val="bottom"/>
          </w:tcPr>
          <w:p>
            <w:pPr>
              <w:spacing w:after="0"/>
              <w:rPr>
                <w:sz w:val="1"/>
                <w:szCs w:val="1"/>
                <w:color w:val="auto"/>
              </w:rPr>
            </w:pPr>
          </w:p>
        </w:tc>
      </w:tr>
      <w:tr>
        <w:trPr>
          <w:trHeight w:val="57"/>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gridSpan w:val="3"/>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line="49" w:lineRule="exact"/>
              <w:rPr>
                <w:sz w:val="20"/>
                <w:szCs w:val="20"/>
                <w:color w:val="auto"/>
              </w:rPr>
            </w:pPr>
            <w:r>
              <w:rPr>
                <w:rFonts w:ascii="Arial" w:cs="Arial" w:eastAsia="Arial" w:hAnsi="Arial"/>
                <w:sz w:val="5"/>
                <w:szCs w:val="5"/>
                <w:color w:val="auto"/>
              </w:rPr>
              <w:t>​​</w:t>
            </w:r>
          </w:p>
        </w:tc>
        <w:tc>
          <w:tcPr>
            <w:tcW w:w="140" w:type="dxa"/>
            <w:vAlign w:val="bottom"/>
            <w:gridSpan w:val="2"/>
          </w:tcPr>
          <w:p>
            <w:pPr>
              <w:ind w:left="20"/>
              <w:spacing w:after="0" w:line="49" w:lineRule="exact"/>
              <w:rPr>
                <w:sz w:val="20"/>
                <w:szCs w:val="20"/>
                <w:color w:val="auto"/>
              </w:rPr>
            </w:pPr>
            <w:r>
              <w:rPr>
                <w:rFonts w:ascii="Arial" w:cs="Arial" w:eastAsia="Arial" w:hAnsi="Arial"/>
                <w:sz w:val="5"/>
                <w:szCs w:val="5"/>
                <w:color w:val="auto"/>
              </w:rPr>
              <w:t>​​</w:t>
            </w: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Denominator:</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gridSpan w:val="2"/>
            <w:shd w:val="clear" w:color="auto" w:fill="CCEEFF"/>
          </w:tcPr>
          <w:p>
            <w:pPr>
              <w:spacing w:after="0" w:line="20" w:lineRule="exact"/>
              <w:rPr>
                <w:sz w:val="1"/>
                <w:szCs w:val="1"/>
                <w:color w:val="auto"/>
              </w:rPr>
            </w:pPr>
          </w:p>
        </w:tc>
        <w:tc>
          <w:tcPr>
            <w:tcW w:w="100" w:type="dxa"/>
            <w:vAlign w:val="bottom"/>
            <w:tcBorders>
              <w:top w:val="single" w:sz="8" w:color="CCEEFF"/>
            </w:tcBorders>
            <w:gridSpan w:val="2"/>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40" w:type="dxa"/>
            <w:vAlign w:val="bottom"/>
            <w:tcBorders>
              <w:top w:val="single" w:sz="8" w:color="auto"/>
            </w:tcBorders>
            <w:gridSpan w:val="2"/>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44"/>
        </w:trPr>
        <w:tc>
          <w:tcPr>
            <w:tcW w:w="4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400" w:type="dxa"/>
            <w:vAlign w:val="bottom"/>
            <w:tcBorders>
              <w:right w:val="single" w:sz="8" w:color="CCEEFF"/>
            </w:tcBorders>
            <w:shd w:val="clear" w:color="auto" w:fill="CCEEFF"/>
          </w:tcPr>
          <w:p>
            <w:pPr>
              <w:spacing w:after="0"/>
              <w:rPr>
                <w:sz w:val="12"/>
                <w:szCs w:val="12"/>
                <w:color w:val="auto"/>
              </w:rPr>
            </w:pPr>
          </w:p>
        </w:tc>
        <w:tc>
          <w:tcPr>
            <w:tcW w:w="3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 ​</w:t>
            </w:r>
          </w:p>
        </w:tc>
        <w:tc>
          <w:tcPr>
            <w:tcW w:w="400" w:type="dxa"/>
            <w:vAlign w:val="bottom"/>
            <w:tcBorders>
              <w:right w:val="single" w:sz="8" w:color="CCEEFF"/>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60" w:type="dxa"/>
            <w:vAlign w:val="bottom"/>
          </w:tcPr>
          <w:p>
            <w:pPr>
              <w:ind w:left="120"/>
              <w:spacing w:after="0"/>
              <w:rPr>
                <w:sz w:val="20"/>
                <w:szCs w:val="20"/>
                <w:color w:val="auto"/>
              </w:rPr>
            </w:pPr>
            <w:r>
              <w:rPr>
                <w:rFonts w:ascii="Arial" w:cs="Arial" w:eastAsia="Arial" w:hAnsi="Arial"/>
                <w:sz w:val="12"/>
                <w:szCs w:val="12"/>
                <w:color w:val="auto"/>
              </w:rPr>
              <w:t>Weighted-average ordinary shares outstanding</w:t>
            </w:r>
          </w:p>
        </w:tc>
        <w:tc>
          <w:tcPr>
            <w:tcW w:w="120" w:type="dxa"/>
            <w:vAlign w:val="bottom"/>
          </w:tcPr>
          <w:p>
            <w:pPr>
              <w:spacing w:after="0"/>
              <w:rPr>
                <w:sz w:val="15"/>
                <w:szCs w:val="15"/>
                <w:color w:val="auto"/>
              </w:rPr>
            </w:pPr>
          </w:p>
        </w:tc>
        <w:tc>
          <w:tcPr>
            <w:tcW w:w="1340" w:type="dxa"/>
            <w:vAlign w:val="bottom"/>
            <w:gridSpan w:val="11"/>
          </w:tcPr>
          <w:p>
            <w:pPr>
              <w:jc w:val="right"/>
              <w:spacing w:after="0"/>
              <w:rPr>
                <w:sz w:val="20"/>
                <w:szCs w:val="20"/>
                <w:color w:val="auto"/>
              </w:rPr>
            </w:pPr>
            <w:r>
              <w:rPr>
                <w:rFonts w:ascii="Arial" w:cs="Arial" w:eastAsia="Arial" w:hAnsi="Arial"/>
                <w:sz w:val="12"/>
                <w:szCs w:val="12"/>
                <w:color w:val="auto"/>
              </w:rPr>
              <w:t>​​​ ​ 10,888​​ ​​ ​ 10,918​</w:t>
            </w:r>
          </w:p>
        </w:tc>
        <w:tc>
          <w:tcPr>
            <w:tcW w:w="0" w:type="dxa"/>
            <w:vAlign w:val="bottom"/>
          </w:tcPr>
          <w:p>
            <w:pPr>
              <w:spacing w:after="0"/>
              <w:rPr>
                <w:sz w:val="1"/>
                <w:szCs w:val="1"/>
                <w:color w:val="auto"/>
              </w:rPr>
            </w:pPr>
          </w:p>
        </w:tc>
      </w:tr>
      <w:tr>
        <w:trPr>
          <w:trHeight w:val="135"/>
        </w:trPr>
        <w:tc>
          <w:tcPr>
            <w:tcW w:w="45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Less: weighted-average unvested restricted ordinary shares subject to repurchase</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42296"/>
              </w:rPr>
              <w:t>​</w:t>
            </w:r>
          </w:p>
        </w:tc>
        <w:tc>
          <w:tcPr>
            <w:tcW w:w="500" w:type="dxa"/>
            <w:vAlign w:val="bottom"/>
            <w:gridSpan w:val="2"/>
            <w:shd w:val="clear" w:color="auto" w:fill="CCEEFF"/>
          </w:tcPr>
          <w:p>
            <w:pPr>
              <w:jc w:val="right"/>
              <w:ind w:right="18"/>
              <w:spacing w:after="0" w:line="136" w:lineRule="exact"/>
              <w:rPr>
                <w:sz w:val="20"/>
                <w:szCs w:val="20"/>
                <w:color w:val="auto"/>
              </w:rPr>
            </w:pPr>
            <w:r>
              <w:rPr>
                <w:rFonts w:ascii="Arial" w:cs="Arial" w:eastAsia="Arial" w:hAnsi="Arial"/>
                <w:sz w:val="12"/>
                <w:szCs w:val="12"/>
                <w:color w:val="auto"/>
              </w:rPr>
              <w:t>(2,933)</w:t>
            </w:r>
          </w:p>
        </w:tc>
        <w:tc>
          <w:tcPr>
            <w:tcW w:w="1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(1,490)</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8"/>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line="58" w:lineRule="exact"/>
              <w:rPr>
                <w:sz w:val="20"/>
                <w:szCs w:val="20"/>
                <w:color w:val="auto"/>
              </w:rPr>
            </w:pPr>
            <w:r>
              <w:rPr>
                <w:rFonts w:ascii="Arial" w:cs="Arial" w:eastAsia="Arial" w:hAnsi="Arial"/>
                <w:sz w:val="6"/>
                <w:szCs w:val="6"/>
                <w:color w:val="auto"/>
              </w:rPr>
              <w:t>​​</w:t>
            </w:r>
          </w:p>
        </w:tc>
        <w:tc>
          <w:tcPr>
            <w:tcW w:w="1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6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Weighted-average ordinary shares used in computing net loss per share</w:t>
            </w: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240"/>
              <w:spacing w:after="0"/>
              <w:rPr>
                <w:sz w:val="20"/>
                <w:szCs w:val="20"/>
                <w:color w:val="auto"/>
              </w:rPr>
            </w:pPr>
            <w:r>
              <w:rPr>
                <w:rFonts w:ascii="Arial" w:cs="Arial" w:eastAsia="Arial" w:hAnsi="Arial"/>
                <w:sz w:val="12"/>
                <w:szCs w:val="12"/>
                <w:color w:val="auto"/>
              </w:rPr>
              <w:t>attributable to ordinary shareholders, basic and diluted</w:t>
            </w:r>
          </w:p>
        </w:tc>
        <w:tc>
          <w:tcPr>
            <w:tcW w:w="120" w:type="dxa"/>
            <w:vAlign w:val="bottom"/>
          </w:tcPr>
          <w:p>
            <w:pPr>
              <w:spacing w:after="0"/>
              <w:rPr>
                <w:sz w:val="14"/>
                <w:szCs w:val="14"/>
                <w:color w:val="auto"/>
              </w:rPr>
            </w:pPr>
          </w:p>
        </w:tc>
        <w:tc>
          <w:tcPr>
            <w:tcW w:w="200" w:type="dxa"/>
            <w:vAlign w:val="bottom"/>
            <w:gridSpan w:val="4"/>
          </w:tcPr>
          <w:p>
            <w:pPr>
              <w:ind w:left="20"/>
              <w:spacing w:after="0"/>
              <w:rPr>
                <w:sz w:val="20"/>
                <w:szCs w:val="20"/>
                <w:color w:val="auto"/>
              </w:rPr>
            </w:pPr>
            <w:r>
              <w:rPr>
                <w:rFonts w:ascii="Arial" w:cs="Arial" w:eastAsia="Arial" w:hAnsi="Arial"/>
                <w:sz w:val="12"/>
                <w:szCs w:val="12"/>
                <w:color w:val="auto"/>
              </w:rPr>
              <w:t>​​​ ​</w:t>
            </w:r>
          </w:p>
        </w:tc>
        <w:tc>
          <w:tcPr>
            <w:tcW w:w="700" w:type="dxa"/>
            <w:vAlign w:val="bottom"/>
            <w:gridSpan w:val="5"/>
          </w:tcPr>
          <w:p>
            <w:pPr>
              <w:jc w:val="right"/>
              <w:spacing w:after="0"/>
              <w:rPr>
                <w:sz w:val="20"/>
                <w:szCs w:val="20"/>
                <w:color w:val="auto"/>
              </w:rPr>
            </w:pPr>
            <w:r>
              <w:rPr>
                <w:rFonts w:ascii="Arial" w:cs="Arial" w:eastAsia="Arial" w:hAnsi="Arial"/>
                <w:sz w:val="12"/>
                <w:szCs w:val="12"/>
                <w:color w:val="auto"/>
              </w:rPr>
              <w:t>7,955​​ ​​ ​</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9,428​</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Net loss per share attributable to ordinary shareholders, basic and diluted</w:t>
            </w: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(3.56)</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(4.34)</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gridSpan w:val="3"/>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4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140" w:type="dxa"/>
            <w:vAlign w:val="bottom"/>
            <w:gridSpan w:val="2"/>
            <w:shd w:val="clear" w:color="auto" w:fill="CCEEFF"/>
          </w:tcPr>
          <w:p>
            <w:pPr>
              <w:ind w:left="20"/>
              <w:spacing w:after="0" w:line="49" w:lineRule="exact"/>
              <w:rPr>
                <w:sz w:val="20"/>
                <w:szCs w:val="20"/>
                <w:color w:val="auto"/>
              </w:rPr>
            </w:pPr>
            <w:r>
              <w:rPr>
                <w:rFonts w:ascii="Arial" w:cs="Arial" w:eastAsia="Arial" w:hAnsi="Arial"/>
                <w:sz w:val="5"/>
                <w:szCs w:val="5"/>
                <w:color w:val="auto"/>
              </w:rPr>
              <w:t>​​</w:t>
            </w:r>
          </w:p>
        </w:tc>
        <w:tc>
          <w:tcPr>
            <w:tcW w:w="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46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4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CCEEFF"/>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-3210560</wp:posOffset>
            </wp:positionV>
            <wp:extent cx="3733165"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73316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-3449955</wp:posOffset>
            </wp:positionV>
            <wp:extent cx="3370580"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37058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-201930</wp:posOffset>
            </wp:positionV>
            <wp:extent cx="3388995" cy="63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8899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-1257935</wp:posOffset>
            </wp:positionV>
            <wp:extent cx="3383280"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3832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5" w:name="page296"/>
    <w:bookmarkEnd w:id="295"/>
    <w:p>
      <w:pPr>
        <w:ind w:left="6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STRUCTURE THERAPEUTICS INC.</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NOTES TO UNAUDITED INTERIM CONDENSED CONSOLIDATED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STATEMENTS (CONTINUED)</w:t>
      </w:r>
    </w:p>
    <w:p>
      <w:pPr>
        <w:spacing w:after="0" w:line="163" w:lineRule="exact"/>
        <w:rPr>
          <w:sz w:val="20"/>
          <w:szCs w:val="20"/>
          <w:color w:val="auto"/>
        </w:rPr>
      </w:pPr>
    </w:p>
    <w:p>
      <w:pPr>
        <w:ind w:left="1560" w:right="1679"/>
        <w:spacing w:after="0" w:line="288" w:lineRule="auto"/>
        <w:rPr>
          <w:sz w:val="20"/>
          <w:szCs w:val="20"/>
          <w:color w:val="auto"/>
        </w:rPr>
      </w:pPr>
      <w:r>
        <w:rPr>
          <w:rFonts w:ascii="Arial" w:cs="Arial" w:eastAsia="Arial" w:hAnsi="Arial"/>
          <w:sz w:val="12"/>
          <w:szCs w:val="12"/>
          <w:color w:val="auto"/>
        </w:rPr>
        <w:t>The following outstanding shares of potentially dilutive securities were excluded from the computation of diluted net loss per share attributable to ordinary shareholders for the periods presented because including them would have been antidilutive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69215</wp:posOffset>
            </wp:positionV>
            <wp:extent cx="3733165"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117" w:lineRule="exact"/>
        <w:rPr>
          <w:sz w:val="20"/>
          <w:szCs w:val="20"/>
          <w:color w:val="auto"/>
        </w:rPr>
      </w:pPr>
    </w:p>
    <w:tbl>
      <w:tblPr>
        <w:tblLayout w:type="fixed"/>
        <w:tblInd w:w="1560" w:type="dxa"/>
        <w:tblCellMar>
          <w:top w:w="0" w:type="dxa"/>
          <w:left w:w="0" w:type="dxa"/>
          <w:bottom w:w="0" w:type="dxa"/>
          <w:right w:w="0" w:type="dxa"/>
        </w:tblCellMar>
      </w:tblPr>
      <w:tr>
        <w:trPr>
          <w:trHeight w:val="263"/>
        </w:trPr>
        <w:tc>
          <w:tcPr>
            <w:tcW w:w="3520" w:type="dxa"/>
            <w:vAlign w:val="bottom"/>
          </w:tcPr>
          <w:p>
            <w:pPr>
              <w:spacing w:after="0"/>
              <w:rPr>
                <w:sz w:val="20"/>
                <w:szCs w:val="20"/>
                <w:color w:val="auto"/>
              </w:rPr>
            </w:pPr>
            <w:r>
              <w:rPr>
                <w:rFonts w:ascii="Arial" w:cs="Arial" w:eastAsia="Arial" w:hAnsi="Arial"/>
                <w:sz w:val="10"/>
                <w:szCs w:val="10"/>
                <w:b w:val="1"/>
                <w:bCs w:val="1"/>
                <w:color w:val="auto"/>
              </w:rPr>
              <w:t>​</w:t>
            </w:r>
          </w:p>
        </w:tc>
        <w:tc>
          <w:tcPr>
            <w:tcW w:w="1420" w:type="dxa"/>
            <w:vAlign w:val="bottom"/>
          </w:tcPr>
          <w:p>
            <w:pPr>
              <w:ind w:left="1220"/>
              <w:spacing w:after="0"/>
              <w:rPr>
                <w:sz w:val="20"/>
                <w:szCs w:val="20"/>
                <w:color w:val="auto"/>
              </w:rPr>
            </w:pPr>
            <w:r>
              <w:rPr>
                <w:rFonts w:ascii="Arial" w:cs="Arial" w:eastAsia="Arial" w:hAnsi="Arial"/>
                <w:sz w:val="10"/>
                <w:szCs w:val="10"/>
                <w:b w:val="1"/>
                <w:bCs w:val="1"/>
                <w:color w:val="auto"/>
              </w:rPr>
              <w:t>​ ​</w:t>
            </w:r>
          </w:p>
        </w:tc>
        <w:tc>
          <w:tcPr>
            <w:tcW w:w="980" w:type="dxa"/>
            <w:vAlign w:val="bottom"/>
            <w:gridSpan w:val="5"/>
          </w:tcPr>
          <w:p>
            <w:pPr>
              <w:jc w:val="right"/>
              <w:spacing w:after="0"/>
              <w:rPr>
                <w:sz w:val="20"/>
                <w:szCs w:val="20"/>
                <w:color w:val="auto"/>
              </w:rPr>
            </w:pPr>
            <w:r>
              <w:rPr>
                <w:rFonts w:ascii="Arial" w:cs="Arial" w:eastAsia="Arial" w:hAnsi="Arial"/>
                <w:sz w:val="10"/>
                <w:szCs w:val="10"/>
                <w:b w:val="1"/>
                <w:bCs w:val="1"/>
                <w:color w:val="auto"/>
              </w:rPr>
              <w:t xml:space="preserve">SEPTEMBER 30, </w:t>
            </w:r>
            <w:r>
              <w:rPr>
                <w:rFonts w:ascii="Arial" w:cs="Arial" w:eastAsia="Arial" w:hAnsi="Arial"/>
                <w:sz w:val="20"/>
                <w:szCs w:val="20"/>
                <w:b w:val="1"/>
                <w:bCs w:val="1"/>
                <w:color w:val="auto"/>
                <w:vertAlign w:val="subscript"/>
              </w:rPr>
              <w:t>​</w:t>
            </w:r>
          </w:p>
        </w:tc>
      </w:tr>
      <w:tr>
        <w:trPr>
          <w:trHeight w:val="20"/>
        </w:trPr>
        <w:tc>
          <w:tcPr>
            <w:tcW w:w="35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3520" w:type="dxa"/>
            <w:vAlign w:val="bottom"/>
          </w:tcPr>
          <w:p>
            <w:pPr>
              <w:spacing w:after="0"/>
              <w:rPr>
                <w:sz w:val="20"/>
                <w:szCs w:val="20"/>
                <w:color w:val="auto"/>
              </w:rPr>
            </w:pPr>
            <w:r>
              <w:rPr>
                <w:rFonts w:ascii="Arial" w:cs="Arial" w:eastAsia="Arial" w:hAnsi="Arial"/>
                <w:sz w:val="10"/>
                <w:szCs w:val="10"/>
                <w:b w:val="1"/>
                <w:bCs w:val="1"/>
                <w:color w:val="auto"/>
              </w:rPr>
              <w:t>​</w:t>
            </w:r>
          </w:p>
        </w:tc>
        <w:tc>
          <w:tcPr>
            <w:tcW w:w="1420" w:type="dxa"/>
            <w:vAlign w:val="bottom"/>
          </w:tcPr>
          <w:p>
            <w:pPr>
              <w:ind w:left="1260"/>
              <w:spacing w:after="0"/>
              <w:rPr>
                <w:sz w:val="20"/>
                <w:szCs w:val="20"/>
                <w:color w:val="auto"/>
              </w:rPr>
            </w:pPr>
            <w:r>
              <w:rPr>
                <w:rFonts w:ascii="Arial" w:cs="Arial" w:eastAsia="Arial" w:hAnsi="Arial"/>
                <w:sz w:val="10"/>
                <w:szCs w:val="10"/>
                <w:b w:val="1"/>
                <w:bCs w:val="1"/>
                <w:color w:val="auto"/>
              </w:rPr>
              <w:t>​ ​</w:t>
            </w:r>
          </w:p>
        </w:tc>
        <w:tc>
          <w:tcPr>
            <w:tcW w:w="580" w:type="dxa"/>
            <w:vAlign w:val="bottom"/>
            <w:gridSpan w:val="3"/>
          </w:tcPr>
          <w:p>
            <w:pPr>
              <w:ind w:left="40"/>
              <w:spacing w:after="0" w:line="154" w:lineRule="exact"/>
              <w:rPr>
                <w:sz w:val="20"/>
                <w:szCs w:val="20"/>
                <w:color w:val="auto"/>
              </w:rPr>
            </w:pPr>
            <w:r>
              <w:rPr>
                <w:rFonts w:ascii="Arial" w:cs="Arial" w:eastAsia="Arial" w:hAnsi="Arial"/>
                <w:sz w:val="9"/>
                <w:szCs w:val="9"/>
                <w:b w:val="1"/>
                <w:bCs w:val="1"/>
                <w:color w:val="auto"/>
              </w:rPr>
              <w:t xml:space="preserve">2021  </w:t>
            </w:r>
            <w:r>
              <w:rPr>
                <w:rFonts w:ascii="Arial" w:cs="Arial" w:eastAsia="Arial" w:hAnsi="Arial"/>
                <w:sz w:val="17"/>
                <w:szCs w:val="17"/>
                <w:b w:val="1"/>
                <w:bCs w:val="1"/>
                <w:color w:val="auto"/>
                <w:vertAlign w:val="subscript"/>
              </w:rPr>
              <w:t>​ ​</w:t>
            </w:r>
          </w:p>
        </w:tc>
        <w:tc>
          <w:tcPr>
            <w:tcW w:w="400" w:type="dxa"/>
            <w:vAlign w:val="bottom"/>
            <w:gridSpan w:val="2"/>
          </w:tcPr>
          <w:p>
            <w:pPr>
              <w:jc w:val="right"/>
              <w:spacing w:after="0" w:line="154" w:lineRule="exact"/>
              <w:rPr>
                <w:sz w:val="20"/>
                <w:szCs w:val="20"/>
                <w:color w:val="auto"/>
              </w:rPr>
            </w:pPr>
            <w:r>
              <w:rPr>
                <w:rFonts w:ascii="Arial" w:cs="Arial" w:eastAsia="Arial" w:hAnsi="Arial"/>
                <w:sz w:val="9"/>
                <w:szCs w:val="9"/>
                <w:b w:val="1"/>
                <w:bCs w:val="1"/>
                <w:color w:val="auto"/>
              </w:rPr>
              <w:t xml:space="preserve">2022  </w:t>
            </w:r>
            <w:r>
              <w:rPr>
                <w:rFonts w:ascii="Arial" w:cs="Arial" w:eastAsia="Arial" w:hAnsi="Arial"/>
                <w:sz w:val="17"/>
                <w:szCs w:val="17"/>
                <w:b w:val="1"/>
                <w:bCs w:val="1"/>
                <w:color w:val="auto"/>
                <w:vertAlign w:val="subscript"/>
              </w:rPr>
              <w:t>​</w:t>
            </w:r>
          </w:p>
        </w:tc>
      </w:tr>
      <w:tr>
        <w:trPr>
          <w:trHeight w:val="20"/>
        </w:trPr>
        <w:tc>
          <w:tcPr>
            <w:tcW w:w="3520" w:type="dxa"/>
            <w:vAlign w:val="bottom"/>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shares</w:t>
            </w:r>
          </w:p>
        </w:tc>
        <w:tc>
          <w:tcPr>
            <w:tcW w:w="2360" w:type="dxa"/>
            <w:vAlign w:val="bottom"/>
            <w:gridSpan w:val="5"/>
            <w:shd w:val="clear" w:color="auto" w:fill="CCEEFF"/>
          </w:tcPr>
          <w:p>
            <w:pPr>
              <w:ind w:left="1260"/>
              <w:spacing w:after="0"/>
              <w:rPr>
                <w:sz w:val="20"/>
                <w:szCs w:val="20"/>
                <w:color w:val="auto"/>
              </w:rPr>
            </w:pPr>
            <w:r>
              <w:rPr>
                <w:rFonts w:ascii="Arial" w:cs="Arial" w:eastAsia="Arial" w:hAnsi="Arial"/>
                <w:sz w:val="12"/>
                <w:szCs w:val="12"/>
                <w:color w:val="auto"/>
              </w:rPr>
              <w:t>​ ​​56,702​​ ​​67,018</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3520" w:type="dxa"/>
            <w:vAlign w:val="bottom"/>
          </w:tcPr>
          <w:p>
            <w:pPr>
              <w:spacing w:after="0"/>
              <w:rPr>
                <w:sz w:val="20"/>
                <w:szCs w:val="20"/>
                <w:color w:val="auto"/>
              </w:rPr>
            </w:pPr>
            <w:r>
              <w:rPr>
                <w:rFonts w:ascii="Arial" w:cs="Arial" w:eastAsia="Arial" w:hAnsi="Arial"/>
                <w:sz w:val="12"/>
                <w:szCs w:val="12"/>
                <w:color w:val="auto"/>
              </w:rPr>
              <w:t>Options to purchase ordinary shares</w:t>
            </w:r>
          </w:p>
        </w:tc>
        <w:tc>
          <w:tcPr>
            <w:tcW w:w="2000" w:type="dxa"/>
            <w:vAlign w:val="bottom"/>
            <w:gridSpan w:val="4"/>
          </w:tcPr>
          <w:p>
            <w:pPr>
              <w:ind w:left="1260"/>
              <w:spacing w:after="0"/>
              <w:rPr>
                <w:sz w:val="20"/>
                <w:szCs w:val="20"/>
                <w:color w:val="auto"/>
              </w:rPr>
            </w:pPr>
            <w:r>
              <w:rPr>
                <w:rFonts w:ascii="Arial" w:cs="Arial" w:eastAsia="Arial" w:hAnsi="Arial"/>
                <w:sz w:val="12"/>
                <w:szCs w:val="12"/>
                <w:color w:val="auto"/>
              </w:rPr>
              <w:t>​ ​​ 4,693​​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7,329​</w:t>
            </w: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Ordinary share warrants</w:t>
            </w:r>
          </w:p>
        </w:tc>
        <w:tc>
          <w:tcPr>
            <w:tcW w:w="1420" w:type="dxa"/>
            <w:vAlign w:val="bottom"/>
            <w:tcBorders>
              <w:right w:val="single" w:sz="8" w:color="CCEEFF"/>
            </w:tcBorders>
            <w:shd w:val="clear" w:color="auto" w:fill="CCEEFF"/>
          </w:tcPr>
          <w:p>
            <w:pPr>
              <w:ind w:left="1260"/>
              <w:spacing w:after="0"/>
              <w:rPr>
                <w:sz w:val="20"/>
                <w:szCs w:val="20"/>
                <w:color w:val="auto"/>
              </w:rPr>
            </w:pPr>
            <w:r>
              <w:rPr>
                <w:rFonts w:ascii="Arial" w:cs="Arial" w:eastAsia="Arial" w:hAnsi="Arial"/>
                <w:sz w:val="12"/>
                <w:szCs w:val="12"/>
                <w:color w:val="auto"/>
              </w:rPr>
              <w:t>​ ​​</w:t>
            </w: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135​​ ​​</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3520" w:type="dxa"/>
            <w:vAlign w:val="bottom"/>
          </w:tcPr>
          <w:p>
            <w:pPr>
              <w:spacing w:after="0"/>
              <w:rPr>
                <w:sz w:val="20"/>
                <w:szCs w:val="20"/>
                <w:color w:val="auto"/>
              </w:rPr>
            </w:pPr>
            <w:r>
              <w:rPr>
                <w:rFonts w:ascii="Arial" w:cs="Arial" w:eastAsia="Arial" w:hAnsi="Arial"/>
                <w:sz w:val="12"/>
                <w:szCs w:val="12"/>
                <w:color w:val="auto"/>
              </w:rPr>
              <w:t>Unvested restricted ordinary share awards</w:t>
            </w:r>
          </w:p>
        </w:tc>
        <w:tc>
          <w:tcPr>
            <w:tcW w:w="2000" w:type="dxa"/>
            <w:vAlign w:val="bottom"/>
            <w:gridSpan w:val="4"/>
          </w:tcPr>
          <w:p>
            <w:pPr>
              <w:ind w:left="12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perscript"/>
              </w:rPr>
              <w:t>​ 2,332</w:t>
            </w:r>
            <w:r>
              <w:rPr>
                <w:rFonts w:ascii="Arial" w:cs="Arial" w:eastAsia="Arial" w:hAnsi="Arial"/>
                <w:sz w:val="12"/>
                <w:szCs w:val="12"/>
                <w:color w:val="auto"/>
              </w:rPr>
              <w:t>​​ ​​</w:t>
            </w:r>
            <w:r>
              <w:rPr>
                <w:rFonts w:ascii="Arial" w:cs="Arial" w:eastAsia="Arial" w:hAnsi="Arial"/>
                <w:sz w:val="22"/>
                <w:szCs w:val="22"/>
                <w:color w:val="auto"/>
                <w:vertAlign w:val="superscript"/>
              </w:rPr>
              <w:t>​</w:t>
            </w:r>
          </w:p>
        </w:tc>
        <w:tc>
          <w:tcPr>
            <w:tcW w:w="40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573</w:t>
            </w:r>
            <w:r>
              <w:rPr>
                <w:rFonts w:ascii="Arial" w:cs="Arial" w:eastAsia="Arial" w:hAnsi="Arial"/>
                <w:sz w:val="22"/>
                <w:szCs w:val="22"/>
                <w:color w:val="auto"/>
                <w:vertAlign w:val="subscript"/>
              </w:rPr>
              <w:t>​</w:t>
            </w:r>
          </w:p>
        </w:tc>
      </w:tr>
      <w:tr>
        <w:trPr>
          <w:trHeight w:val="20"/>
        </w:trPr>
        <w:tc>
          <w:tcPr>
            <w:tcW w:w="3520" w:type="dxa"/>
            <w:vAlign w:val="bottom"/>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360" w:type="dxa"/>
            <w:vAlign w:val="bottom"/>
            <w:gridSpan w:val="5"/>
            <w:shd w:val="clear" w:color="auto" w:fill="CCEEFF"/>
          </w:tcPr>
          <w:p>
            <w:pPr>
              <w:ind w:left="1260"/>
              <w:spacing w:after="0" w:line="173"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color w:val="auto"/>
              </w:rPr>
              <w:t>​63,862</w:t>
            </w:r>
            <w:r>
              <w:rPr>
                <w:rFonts w:ascii="Arial" w:cs="Arial" w:eastAsia="Arial" w:hAnsi="Arial"/>
                <w:sz w:val="20"/>
                <w:szCs w:val="20"/>
                <w:color w:val="auto"/>
                <w:vertAlign w:val="subscript"/>
              </w:rPr>
              <w:t>​​ ​​</w:t>
            </w:r>
            <w:r>
              <w:rPr>
                <w:rFonts w:ascii="Arial" w:cs="Arial" w:eastAsia="Arial" w:hAnsi="Arial"/>
                <w:sz w:val="11"/>
                <w:szCs w:val="11"/>
                <w:color w:val="auto"/>
              </w:rPr>
              <w:t>​75,032</w:t>
            </w: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520" w:type="dxa"/>
            <w:vAlign w:val="bottom"/>
            <w:tcBorders>
              <w:top w:val="single" w:sz="8" w:color="CCEEFF"/>
              <w:bottom w:val="single" w:sz="8" w:color="auto"/>
            </w:tcBorders>
          </w:tcPr>
          <w:p>
            <w:pPr>
              <w:spacing w:after="0"/>
              <w:rPr>
                <w:sz w:val="6"/>
                <w:szCs w:val="6"/>
                <w:color w:val="auto"/>
              </w:rPr>
            </w:pPr>
          </w:p>
        </w:tc>
        <w:tc>
          <w:tcPr>
            <w:tcW w:w="1420" w:type="dxa"/>
            <w:vAlign w:val="bottom"/>
            <w:tcBorders>
              <w:top w:val="single" w:sz="8" w:color="CCEEFF"/>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CEEFF"/>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-201930</wp:posOffset>
            </wp:positionV>
            <wp:extent cx="3469005"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469005"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-675005</wp:posOffset>
            </wp:positionV>
            <wp:extent cx="3462655"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62655" cy="6350"/>
                    </a:xfrm>
                    <a:prstGeom prst="rect">
                      <a:avLst/>
                    </a:prstGeom>
                    <a:noFill/>
                  </pic:spPr>
                </pic:pic>
              </a:graphicData>
            </a:graphic>
          </wp:anchor>
        </w:drawing>
      </w:r>
    </w:p>
    <w:p>
      <w:pPr>
        <w:spacing w:after="0" w:line="70"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12. Related Party Transactions</w:t>
      </w:r>
    </w:p>
    <w:p>
      <w:pPr>
        <w:spacing w:after="0" w:line="123" w:lineRule="exact"/>
        <w:rPr>
          <w:sz w:val="20"/>
          <w:szCs w:val="20"/>
          <w:color w:val="auto"/>
        </w:rPr>
      </w:pPr>
    </w:p>
    <w:p>
      <w:pPr>
        <w:ind w:left="1560" w:right="1659"/>
        <w:spacing w:after="0" w:line="276" w:lineRule="auto"/>
        <w:rPr>
          <w:sz w:val="20"/>
          <w:szCs w:val="20"/>
          <w:color w:val="auto"/>
        </w:rPr>
      </w:pPr>
      <w:r>
        <w:rPr>
          <w:rFonts w:ascii="Arial" w:cs="Arial" w:eastAsia="Arial" w:hAnsi="Arial"/>
          <w:sz w:val="12"/>
          <w:szCs w:val="12"/>
          <w:color w:val="auto"/>
        </w:rPr>
        <w:t>Ramy Farid, the President and Chief Executive Officer of Schrödinger, Inc. (“Schrödinger”) is a member of the Company’s board of directors. During the nine months ended September 30, 2021 and 2022, the Company had an existing collaboration agreement to use the results provided by Schrodinger’s software platform for its research purposes. During the nine months ended September 30, 2021 and 2022, the Company paid $0.7 million and $0.2 million to Schrödinger, respectively, and had less than $0.1 million and $0.3 million payable balance to Schrödinger as of December 31, 2021 and September 30, 2022, respectively.</w:t>
      </w:r>
    </w:p>
    <w:p>
      <w:pPr>
        <w:spacing w:after="0" w:line="237" w:lineRule="exact"/>
        <w:rPr>
          <w:sz w:val="20"/>
          <w:szCs w:val="20"/>
          <w:color w:val="auto"/>
        </w:rPr>
      </w:pPr>
    </w:p>
    <w:p>
      <w:pPr>
        <w:ind w:left="1560" w:right="1599"/>
        <w:spacing w:after="0" w:line="288" w:lineRule="auto"/>
        <w:rPr>
          <w:sz w:val="20"/>
          <w:szCs w:val="20"/>
          <w:color w:val="auto"/>
        </w:rPr>
      </w:pPr>
      <w:r>
        <w:rPr>
          <w:rFonts w:ascii="Arial" w:cs="Arial" w:eastAsia="Arial" w:hAnsi="Arial"/>
          <w:sz w:val="12"/>
          <w:szCs w:val="12"/>
          <w:color w:val="auto"/>
        </w:rPr>
        <w:t>As discussed in Note 8 during the year ended December 31, 2021, existing Company shareholders acquired a redeemable noncontrolling interest in Basecamp and ultimately exchanged that interest for Series B-1 redeemable convertible preferred shares of the Company.</w:t>
      </w:r>
    </w:p>
    <w:p>
      <w:pPr>
        <w:spacing w:after="0" w:line="64"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13. Subsequent Events</w:t>
      </w:r>
    </w:p>
    <w:p>
      <w:pPr>
        <w:spacing w:after="0" w:line="123" w:lineRule="exact"/>
        <w:rPr>
          <w:sz w:val="20"/>
          <w:szCs w:val="20"/>
          <w:color w:val="auto"/>
        </w:rPr>
      </w:pPr>
    </w:p>
    <w:p>
      <w:pPr>
        <w:ind w:left="1560" w:right="1859"/>
        <w:spacing w:after="0" w:line="308" w:lineRule="auto"/>
        <w:rPr>
          <w:sz w:val="20"/>
          <w:szCs w:val="20"/>
          <w:color w:val="auto"/>
        </w:rPr>
      </w:pPr>
      <w:r>
        <w:rPr>
          <w:rFonts w:ascii="Arial" w:cs="Arial" w:eastAsia="Arial" w:hAnsi="Arial"/>
          <w:sz w:val="12"/>
          <w:szCs w:val="12"/>
          <w:color w:val="auto"/>
        </w:rPr>
        <w:t>The Company has evaluated subsequent events through the date the condensed consolidated financial statements were available to be issued on December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175260</wp:posOffset>
            </wp:positionV>
            <wp:extent cx="4900295"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6" w:name="page297"/>
    <w:bookmarkEnd w:id="296"/>
    <w:p>
      <w:pPr>
        <w:ind w:left="660"/>
        <w:spacing w:after="0"/>
        <w:rPr>
          <w:sz w:val="20"/>
          <w:szCs w:val="20"/>
          <w:color w:val="auto"/>
        </w:rPr>
      </w:pPr>
      <w:r>
        <w:rPr>
          <w:rFonts w:ascii="Calibri" w:cs="Calibri" w:eastAsia="Calibri" w:hAnsi="Calibri"/>
          <w:sz w:val="10"/>
          <w:szCs w:val="10"/>
          <w:color w:val="003366"/>
        </w:rPr>
        <w:t>TABLE OF CONTENTS</w:t>
      </w:r>
    </w:p>
    <w:p>
      <w:pPr>
        <w:spacing w:after="0" w:line="346" w:lineRule="exact"/>
        <w:rPr>
          <w:sz w:val="20"/>
          <w:szCs w:val="20"/>
          <w:color w:val="auto"/>
        </w:rPr>
      </w:pPr>
    </w:p>
    <w:p>
      <w:pPr>
        <w:ind w:left="15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-4445</wp:posOffset>
            </wp:positionV>
            <wp:extent cx="3733165" cy="120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733165" cy="1206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38100</wp:posOffset>
            </wp:positionV>
            <wp:extent cx="3733165"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60"/>
        <w:spacing w:after="0"/>
        <w:rPr>
          <w:sz w:val="20"/>
          <w:szCs w:val="20"/>
          <w:color w:val="auto"/>
        </w:rPr>
      </w:pPr>
      <w:r>
        <w:rPr>
          <w:rFonts w:ascii="Arial" w:cs="Arial" w:eastAsia="Arial" w:hAnsi="Arial"/>
          <w:sz w:val="21"/>
          <w:szCs w:val="21"/>
          <w:b w:val="1"/>
          <w:bCs w:val="1"/>
          <w:color w:val="auto"/>
        </w:rPr>
        <w:t>10,740,000 American Depositary Shares</w:t>
      </w:r>
      <w:r>
        <w:rPr>
          <w:rFonts w:ascii="Times New Roman" w:cs="Times New Roman" w:eastAsia="Times New Roman" w:hAnsi="Times New Roman"/>
          <w:sz w:val="12"/>
          <w:szCs w:val="12"/>
          <w:color w:val="auto"/>
        </w:rPr>
        <w:t>​</w:t>
      </w:r>
    </w:p>
    <w:p>
      <w:pPr>
        <w:spacing w:after="0" w:line="184" w:lineRule="exact"/>
        <w:rPr>
          <w:sz w:val="20"/>
          <w:szCs w:val="20"/>
          <w:color w:val="auto"/>
        </w:rPr>
      </w:pPr>
    </w:p>
    <w:p>
      <w:pPr>
        <w:jc w:val="right"/>
        <w:ind w:right="2299"/>
        <w:spacing w:after="0"/>
        <w:rPr>
          <w:sz w:val="20"/>
          <w:szCs w:val="20"/>
          <w:color w:val="auto"/>
        </w:rPr>
      </w:pPr>
      <w:r>
        <w:rPr>
          <w:rFonts w:ascii="Arial" w:cs="Arial" w:eastAsia="Arial" w:hAnsi="Arial"/>
          <w:sz w:val="21"/>
          <w:szCs w:val="21"/>
          <w:b w:val="1"/>
          <w:bCs w:val="1"/>
          <w:color w:val="auto"/>
        </w:rPr>
        <w:t>Representing 32,220,000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229870</wp:posOffset>
            </wp:positionV>
            <wp:extent cx="1510665" cy="27622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510665" cy="27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Structure Therapeutics Inc.</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395605</wp:posOffset>
            </wp:positionV>
            <wp:extent cx="1375410"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54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130810</wp:posOffset>
            </wp:positionV>
            <wp:extent cx="1375410" cy="63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54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Jefferies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SVB Securities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Guggenheim Securities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BMO Capital Markets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February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528320</wp:posOffset>
            </wp:positionV>
            <wp:extent cx="3733165"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7331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1270</wp:posOffset>
            </wp:positionV>
            <wp:extent cx="3733165" cy="120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733165" cy="1206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405765</wp:posOffset>
            </wp:positionV>
            <wp:extent cx="4900295"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900295" cy="37465"/>
                    </a:xfrm>
                    <a:prstGeom prst="rect">
                      <a:avLst/>
                    </a:prstGeom>
                    <a:noFill/>
                  </pic:spPr>
                </pic:pic>
              </a:graphicData>
            </a:graphic>
          </wp:anchor>
        </w:drawing>
      </w:r>
    </w:p>
    <w:sectPr>
      <w:pgSz w:w="11900" w:h="16838" w:orient="portrait"/>
      <w:cols w:equalWidth="0" w:num="1">
        <w:col w:w="9019"/>
      </w:cols>
      <w:pgMar w:left="1440" w:top="1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lvl w:ilvl="1">
      <w:lvlJc w:val="left"/>
      <w:lvlText w:val="​"/>
      <w:numFmt w:val="bullet"/>
      <w:start w:val="1"/>
    </w:lvl>
  </w:abstractNum>
  <w:abstractNum w:abstractNumId="3">
    <w:nsid w:val="51D9C564"/>
    <w:multiLevelType w:val="hybridMultilevel"/>
    <w:lvl w:ilvl="0">
      <w:lvlJc w:val="left"/>
      <w:lvlText w:val="(%1)"/>
      <w:numFmt w:val="lowerRoman"/>
      <w:start w:val="4"/>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1)"/>
      <w:numFmt w:val="decimal"/>
      <w:start w:val="1"/>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1)"/>
      <w:numFmt w:val="lowerRoman"/>
      <w:start w:val="3"/>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lowerRoman"/>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1)"/>
      <w:numFmt w:val="decimal"/>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1)"/>
      <w:numFmt w:val="lowerRoman"/>
      <w:start w:val="4"/>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A"/>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1)"/>
      <w:numFmt w:val="decimal"/>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1)"/>
      <w:numFmt w:val="decimal"/>
      <w:start w:val="1"/>
    </w:lvl>
  </w:abstractNum>
  <w:abstractNum w:abstractNumId="90">
    <w:nsid w:val="4C9B0904"/>
    <w:multiLevelType w:val="hybridMultilevel"/>
    <w:lvl w:ilvl="0">
      <w:lvlJc w:val="left"/>
      <w:lvlText w:val="(%1)"/>
      <w:numFmt w:val="decimal"/>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1)"/>
      <w:numFmt w:val="lowerRoman"/>
      <w:start w:val="1"/>
    </w:lvl>
  </w:abstractNum>
  <w:abstractNum w:abstractNumId="94">
    <w:nsid w:val="3DD15094"/>
    <w:multiLevelType w:val="hybridMultilevel"/>
    <w:lvl w:ilvl="0">
      <w:lvlJc w:val="left"/>
      <w:lvlText w:val="(%1)"/>
      <w:numFmt w:val="lowerRoman"/>
      <w:start w:val="3"/>
    </w:lvl>
  </w:abstractNum>
  <w:abstractNum w:abstractNumId="95">
    <w:nsid w:val="3DB012B3"/>
    <w:multiLevelType w:val="hybridMultilevel"/>
    <w:lvl w:ilvl="0">
      <w:lvlJc w:val="left"/>
      <w:lvlText w:val="(%1)"/>
      <w:numFmt w:val="lowerRoman"/>
      <w:start w:val="5"/>
    </w:lvl>
  </w:abstractNum>
  <w:abstractNum w:abstractNumId="96">
    <w:nsid w:val="2708C9AF"/>
    <w:multiLevelType w:val="hybridMultilevel"/>
    <w:lvl w:ilvl="0">
      <w:lvlJc w:val="left"/>
      <w:lvlText w:val="(%1)"/>
      <w:numFmt w:val="lowerRoman"/>
      <w:start w:val="8"/>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1)"/>
      <w:numFmt w:val="lowerRoman"/>
      <w:start w:val="1"/>
    </w:lvl>
  </w:abstractNum>
  <w:abstractNum w:abstractNumId="100">
    <w:nsid w:val="53B0A9E"/>
    <w:multiLevelType w:val="hybridMultilevel"/>
    <w:lvl w:ilvl="0">
      <w:lvlJc w:val="left"/>
      <w:lvlText w:val="(%1)"/>
      <w:numFmt w:val="lowerRoman"/>
      <w:start w:val="3"/>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1)"/>
      <w:numFmt w:val="lowerRoman"/>
      <w:start w:val="3"/>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5"/>
    </w:lvl>
  </w:abstractNum>
  <w:abstractNum w:abstractNumId="110">
    <w:nsid w:val="2A082C70"/>
    <w:multiLevelType w:val="hybridMultilevel"/>
    <w:lvl w:ilvl="0">
      <w:lvlJc w:val="left"/>
      <w:lvlText w:val="(%1)"/>
      <w:numFmt w:val="lowerRoman"/>
      <w:start w:val="2"/>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1)"/>
      <w:numFmt w:val="lowerRoman"/>
      <w:start w:val="3"/>
    </w:lvl>
  </w:abstractNum>
  <w:abstractNum w:abstractNumId="118">
    <w:nsid w:val="B37E80A"/>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1)"/>
      <w:numFmt w:val="lowerRoman"/>
      <w:start w:val="2"/>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1)"/>
      <w:numFmt w:val="lowerRoman"/>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lowerRoman"/>
      <w:start w:val="1"/>
    </w:lvl>
  </w:abstractNum>
  <w:abstractNum w:abstractNumId="136">
    <w:nsid w:val="2A6DE806"/>
    <w:multiLevelType w:val="hybridMultilevel"/>
    <w:lvl w:ilvl="0">
      <w:lvlJc w:val="left"/>
      <w:lvlText w:val="(%1)"/>
      <w:numFmt w:val="lowerRoman"/>
      <w:start w:val="6"/>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1)"/>
      <w:numFmt w:val="lowerRoman"/>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lowerRoman"/>
      <w:start w:val="2"/>
    </w:lvl>
  </w:abstractNum>
  <w:abstractNum w:abstractNumId="144">
    <w:nsid w:val="57C7D42D"/>
    <w:multiLevelType w:val="hybridMultilevel"/>
    <w:lvl w:ilvl="0">
      <w:lvlJc w:val="left"/>
      <w:lvlText w:val="(%1)"/>
      <w:numFmt w:val="lowerRoman"/>
      <w:start w:val="2"/>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2023-02-06T05:34:23Z</dcterms:created>
  <dcterms:modified xsi:type="dcterms:W3CDTF">2023-02-06T05:34:23Z</dcterms:modified>
</cp:coreProperties>
</file>