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Farid Ramy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Structure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GPCR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C/O STRUCTURE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 GATEWAY BLVD., SUITE 223</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2,618,250</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tcBorders>
              <w:bottom w:val="single" w:sz="8" w:color="2C2C2C"/>
            </w:tcBorders>
            <w:gridSpan w:val="4"/>
          </w:tcPr>
          <w:p>
            <w:pPr>
              <w:ind w:left="620"/>
              <w:spacing w:after="0"/>
              <w:rPr>
                <w:sz w:val="20"/>
                <w:szCs w:val="20"/>
                <w:color w:val="auto"/>
              </w:rPr>
            </w:pPr>
            <w:r>
              <w:rPr>
                <w:rFonts w:ascii="Times New Roman" w:cs="Times New Roman" w:eastAsia="Times New Roman" w:hAnsi="Times New Roman"/>
                <w:sz w:val="20"/>
                <w:szCs w:val="20"/>
                <w:color w:val="0000FF"/>
              </w:rPr>
              <w:t>By Schrodinger, Inc.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7"/>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Shares</w:t>
            </w:r>
          </w:p>
        </w:tc>
        <w:tc>
          <w:tcPr>
            <w:tcW w:w="12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w w:val="98"/>
              </w:rPr>
              <w:t>642,245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Schrodinger,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Inc.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President, Chief Executive Officer and a member of the board of directors of Schrodinger, Inc. ("Schrodinger") and may be deemed to share voting and dispositive power over the shares held by Schrodinger. The Reporting Person disclaims beneficial ownership of the shares held by Schrodinger.</w:t>
      </w:r>
    </w:p>
    <w:p>
      <w:pPr>
        <w:spacing w:after="0" w:line="17"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outstanding Preferred Shares will automatically convert into Ordinary Shares immediately upon the closing of Issuer's initial public offering, for no additional consideration at a rate of one Ordinary Share for each one Preferred Share, based on the conversion price currently in effect. The Preferred Shares have no expiration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Jun Yoon, Attorney-in-</w:t>
            </w:r>
          </w:p>
        </w:tc>
        <w:tc>
          <w:tcPr>
            <w:tcW w:w="3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Raymond Stevens and Jun Yoon of Structure Therapeutics, Inc. (the "Company"), signing individually, the undersigned's true and lawful attorney-in-fact and agent to:</w:t>
      </w:r>
    </w:p>
    <w:p>
      <w:pPr>
        <w:spacing w:after="0" w:line="87" w:lineRule="exact"/>
        <w:rPr>
          <w:sz w:val="20"/>
          <w:szCs w:val="20"/>
          <w:color w:val="auto"/>
        </w:rPr>
      </w:pPr>
    </w:p>
    <w:p>
      <w:pPr>
        <w:ind w:right="61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87" w:lineRule="exact"/>
        <w:rPr>
          <w:rFonts w:ascii="Courier New" w:cs="Courier New" w:eastAsia="Courier New" w:hAnsi="Courier New"/>
          <w:sz w:val="20"/>
          <w:szCs w:val="20"/>
          <w:color w:val="auto"/>
        </w:rPr>
      </w:pPr>
    </w:p>
    <w:p>
      <w:pPr>
        <w:ind w:right="83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17" w:lineRule="exact"/>
        <w:rPr>
          <w:sz w:val="20"/>
          <w:szCs w:val="20"/>
          <w:color w:val="auto"/>
        </w:rPr>
      </w:pPr>
    </w:p>
    <w:p>
      <w:pPr>
        <w:ind w:right="73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103"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January, 2023.</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Ramy Farid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7707" TargetMode="External"/><Relationship Id="rId11"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2023-02-02T17:27:05Z</dcterms:created>
  <dcterms:modified xsi:type="dcterms:W3CDTF">2023-02-02T17:27:05Z</dcterms:modified>
</cp:coreProperties>
</file>