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18415</wp:posOffset>
            </wp:positionV>
            <wp:extent cx="7047865" cy="898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898969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FMR LLC</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3"/>
        </w:trPr>
        <w:tc>
          <w:tcPr>
            <w:tcW w:w="2080" w:type="dxa"/>
            <w:vAlign w:val="bottom"/>
            <w:gridSpan w:val="2"/>
          </w:tcPr>
          <w:p>
            <w:pPr>
              <w:ind w:left="40"/>
              <w:spacing w:after="0"/>
              <w:rPr>
                <w:sz w:val="20"/>
                <w:szCs w:val="20"/>
                <w:color w:val="auto"/>
              </w:rPr>
            </w:pPr>
            <w:r>
              <w:rPr>
                <w:rFonts w:ascii="Arial" w:cs="Arial" w:eastAsia="Arial" w:hAnsi="Arial"/>
                <w:sz w:val="16"/>
                <w:szCs w:val="16"/>
                <w:color w:val="0000FF"/>
              </w:rPr>
              <w:t>245 SUMMER STREET</w:t>
            </w:r>
          </w:p>
        </w:tc>
        <w:tc>
          <w:tcPr>
            <w:tcW w:w="860" w:type="dxa"/>
            <w:vAlign w:val="bottom"/>
          </w:tcPr>
          <w:p>
            <w:pPr>
              <w:spacing w:after="0"/>
              <w:rPr>
                <w:sz w:val="22"/>
                <w:szCs w:val="22"/>
                <w:color w:val="auto"/>
              </w:rPr>
            </w:pPr>
          </w:p>
        </w:tc>
      </w:tr>
      <w:tr>
        <w:trPr>
          <w:trHeight w:val="471"/>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5"/>
        </w:trPr>
        <w:tc>
          <w:tcPr>
            <w:tcW w:w="980" w:type="dxa"/>
            <w:vAlign w:val="bottom"/>
          </w:tcPr>
          <w:p>
            <w:pPr>
              <w:ind w:left="40"/>
              <w:spacing w:after="0"/>
              <w:rPr>
                <w:sz w:val="20"/>
                <w:szCs w:val="20"/>
                <w:color w:val="auto"/>
              </w:rPr>
            </w:pPr>
            <w:r>
              <w:rPr>
                <w:rFonts w:ascii="Arial" w:cs="Arial" w:eastAsia="Arial" w:hAnsi="Arial"/>
                <w:sz w:val="16"/>
                <w:szCs w:val="16"/>
                <w:color w:val="0000FF"/>
              </w:rPr>
              <w:t>BOSTON</w:t>
            </w:r>
          </w:p>
        </w:tc>
        <w:tc>
          <w:tcPr>
            <w:tcW w:w="1100" w:type="dxa"/>
            <w:vAlign w:val="bottom"/>
          </w:tcPr>
          <w:p>
            <w:pPr>
              <w:ind w:left="280"/>
              <w:spacing w:after="0"/>
              <w:rPr>
                <w:sz w:val="20"/>
                <w:szCs w:val="20"/>
                <w:color w:val="auto"/>
              </w:rPr>
            </w:pPr>
            <w:r>
              <w:rPr>
                <w:rFonts w:ascii="Arial" w:cs="Arial" w:eastAsia="Arial" w:hAnsi="Arial"/>
                <w:sz w:val="16"/>
                <w:szCs w:val="16"/>
                <w:color w:val="0000FF"/>
              </w:rPr>
              <w:t>MA</w:t>
            </w:r>
          </w:p>
        </w:tc>
        <w:tc>
          <w:tcPr>
            <w:tcW w:w="860" w:type="dxa"/>
            <w:vAlign w:val="bottom"/>
          </w:tcPr>
          <w:p>
            <w:pPr>
              <w:ind w:left="400"/>
              <w:spacing w:after="0"/>
              <w:rPr>
                <w:sz w:val="20"/>
                <w:szCs w:val="20"/>
                <w:color w:val="auto"/>
              </w:rPr>
            </w:pPr>
            <w:r>
              <w:rPr>
                <w:rFonts w:ascii="Arial" w:cs="Arial" w:eastAsia="Arial" w:hAnsi="Arial"/>
                <w:sz w:val="16"/>
                <w:szCs w:val="16"/>
                <w:color w:val="0000FF"/>
                <w:w w:val="98"/>
              </w:rPr>
              <w:t>02210</w:t>
            </w:r>
          </w:p>
        </w:tc>
      </w:tr>
      <w:tr>
        <w:trPr>
          <w:trHeight w:val="458"/>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Structure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GPCR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620" w:type="dxa"/>
            <w:vAlign w:val="bottom"/>
            <w:gridSpan w:val="2"/>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260" w:type="dxa"/>
            <w:vAlign w:val="bottom"/>
            <w:gridSpan w:val="3"/>
            <w:vMerge w:val="restart"/>
          </w:tcPr>
          <w:p>
            <w:pPr>
              <w:ind w:left="60"/>
              <w:spacing w:after="0"/>
              <w:rPr>
                <w:sz w:val="20"/>
                <w:szCs w:val="20"/>
                <w:color w:val="auto"/>
              </w:rPr>
            </w:pPr>
            <w:r>
              <w:rPr>
                <w:rFonts w:ascii="Arial" w:cs="Arial" w:eastAsia="Arial" w:hAnsi="Arial"/>
                <w:sz w:val="16"/>
                <w:szCs w:val="16"/>
                <w:color w:val="0000FF"/>
              </w:rPr>
              <w:t>10/18/2023</w:t>
            </w:r>
          </w:p>
        </w:tc>
        <w:tc>
          <w:tcPr>
            <w:tcW w:w="15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2140" w:type="dxa"/>
            <w:vAlign w:val="bottom"/>
            <w:gridSpan w:val="2"/>
            <w:vMerge w:val="restart"/>
          </w:tcPr>
          <w:p>
            <w:pPr>
              <w:ind w:left="1200"/>
              <w:spacing w:after="0"/>
              <w:rPr>
                <w:sz w:val="20"/>
                <w:szCs w:val="20"/>
                <w:color w:val="auto"/>
              </w:rPr>
            </w:pPr>
            <w:r>
              <w:rPr>
                <w:rFonts w:ascii="Arial" w:cs="Arial" w:eastAsia="Arial" w:hAnsi="Arial"/>
                <w:sz w:val="16"/>
                <w:szCs w:val="16"/>
                <w:color w:val="0000FF"/>
                <w:w w:val="89"/>
              </w:rPr>
              <w:t>See Remark 1</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2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F-Prime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Partners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vMerge w:val="restart"/>
          </w:tcPr>
          <w:p>
            <w:pPr>
              <w:ind w:left="60"/>
              <w:spacing w:after="0"/>
              <w:rPr>
                <w:sz w:val="20"/>
                <w:szCs w:val="20"/>
                <w:color w:val="auto"/>
              </w:rPr>
            </w:pPr>
            <w:r>
              <w:rPr>
                <w:rFonts w:ascii="Arial" w:cs="Arial" w:eastAsia="Arial" w:hAnsi="Arial"/>
                <w:sz w:val="16"/>
                <w:szCs w:val="16"/>
                <w:color w:val="0000FF"/>
              </w:rPr>
              <w:t>Ordinary Shares</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right"/>
              <w:ind w:right="257"/>
              <w:spacing w:after="0"/>
              <w:rPr>
                <w:sz w:val="20"/>
                <w:szCs w:val="20"/>
                <w:color w:val="auto"/>
              </w:rPr>
            </w:pPr>
            <w:r>
              <w:rPr>
                <w:rFonts w:ascii="Arial" w:cs="Arial" w:eastAsia="Arial" w:hAnsi="Arial"/>
                <w:sz w:val="16"/>
                <w:szCs w:val="16"/>
                <w:color w:val="0000FF"/>
              </w:rPr>
              <w:t>45,120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Life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Sciences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Advisors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F-Prime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Partners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Arial" w:cs="Arial" w:eastAsia="Arial" w:hAnsi="Arial"/>
                <w:sz w:val="16"/>
                <w:szCs w:val="16"/>
                <w:color w:val="0000FF"/>
              </w:rPr>
              <w:t>Ordinary Shares</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ind w:right="217"/>
              <w:spacing w:after="0"/>
              <w:rPr>
                <w:sz w:val="20"/>
                <w:szCs w:val="20"/>
                <w:color w:val="auto"/>
              </w:rPr>
            </w:pPr>
            <w:r>
              <w:rPr>
                <w:rFonts w:ascii="Arial" w:cs="Arial" w:eastAsia="Arial" w:hAnsi="Arial"/>
                <w:sz w:val="16"/>
                <w:szCs w:val="16"/>
                <w:color w:val="0000FF"/>
              </w:rPr>
              <w:t>530,814</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Life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Sciences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w w:val="97"/>
              </w:rPr>
              <w:t>Shares held</w:t>
            </w: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by persons</w:t>
            </w: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and entities</w:t>
            </w: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American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4,769,400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whose</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w w:val="96"/>
              </w:rPr>
              <w:t>Depositary</w:t>
            </w:r>
          </w:p>
        </w:tc>
        <w:tc>
          <w:tcPr>
            <w:tcW w:w="7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3"/>
                <w:szCs w:val="13"/>
                <w:color w:val="0000FF"/>
                <w:w w:val="89"/>
              </w:rPr>
              <w:t>1,589,800</w:t>
            </w:r>
          </w:p>
        </w:tc>
        <w:tc>
          <w:tcPr>
            <w:tcW w:w="720" w:type="dxa"/>
            <w:vAlign w:val="bottom"/>
          </w:tcPr>
          <w:p>
            <w:pPr>
              <w:ind w:left="340"/>
              <w:spacing w:after="0" w:line="12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23" w:lineRule="exact"/>
              <w:rPr>
                <w:sz w:val="20"/>
                <w:szCs w:val="20"/>
                <w:color w:val="auto"/>
              </w:rPr>
            </w:pPr>
            <w:r>
              <w:rPr>
                <w:rFonts w:ascii="Arial" w:cs="Arial" w:eastAsia="Arial" w:hAnsi="Arial"/>
                <w:sz w:val="13"/>
                <w:szCs w:val="13"/>
                <w:color w:val="0000FF"/>
              </w:rPr>
              <w:t>shares are</w:t>
            </w: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40"/>
              <w:spacing w:after="0" w:line="139" w:lineRule="exact"/>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subject to</w:t>
            </w: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reporting</w:t>
            </w: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by the</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w w:val="94"/>
              </w:rPr>
              <w:t>undersigned</w:t>
            </w: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American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7"/>
              </w:rPr>
              <w:t>123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FIMM,</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6"/>
              </w:rPr>
              <w:t>Depositary</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2"/>
              </w:rPr>
              <w:t>41</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American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4"/>
              </w:rPr>
              <w:t>4,104</w:t>
            </w:r>
          </w:p>
        </w:tc>
        <w:tc>
          <w:tcPr>
            <w:tcW w:w="68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65.64</w:t>
            </w:r>
            <w:r>
              <w:rPr>
                <w:rFonts w:ascii="Arial" w:cs="Arial" w:eastAsia="Arial" w:hAnsi="Arial"/>
                <w:sz w:val="21"/>
                <w:szCs w:val="21"/>
                <w:color w:val="008000"/>
                <w:vertAlign w:val="superscript"/>
              </w:rPr>
              <w:t>(2)</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6"/>
              </w:rPr>
              <w:t>Depositary</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10/18/2023</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S</w:t>
            </w:r>
          </w:p>
        </w:tc>
        <w:tc>
          <w:tcPr>
            <w:tcW w:w="800" w:type="dxa"/>
            <w:vAlign w:val="bottom"/>
            <w:vMerge w:val="restart"/>
          </w:tcPr>
          <w:p>
            <w:pPr>
              <w:jc w:val="right"/>
              <w:ind w:right="42"/>
              <w:spacing w:after="0" w:line="139" w:lineRule="exact"/>
              <w:rPr>
                <w:sz w:val="20"/>
                <w:szCs w:val="20"/>
                <w:color w:val="auto"/>
              </w:rPr>
            </w:pPr>
            <w:r>
              <w:rPr>
                <w:rFonts w:ascii="Arial" w:cs="Arial" w:eastAsia="Arial" w:hAnsi="Arial"/>
                <w:sz w:val="13"/>
                <w:szCs w:val="13"/>
                <w:color w:val="0000FF"/>
              </w:rPr>
              <w:t>1,368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4,101</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Life</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Sciences</w:t>
            </w:r>
          </w:p>
        </w:tc>
        <w:tc>
          <w:tcPr>
            <w:tcW w:w="0" w:type="dxa"/>
            <w:vAlign w:val="bottom"/>
          </w:tcPr>
          <w:p>
            <w:pPr>
              <w:spacing w:after="0"/>
              <w:rPr>
                <w:sz w:val="1"/>
                <w:szCs w:val="1"/>
                <w:color w:val="auto"/>
              </w:rPr>
            </w:pPr>
          </w:p>
        </w:tc>
      </w:tr>
      <w:tr>
        <w:trPr>
          <w:trHeight w:val="54"/>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Fund VI LP</w:t>
            </w: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American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rPr>
              <w:t>Ordinary</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48,258</w:t>
            </w:r>
          </w:p>
        </w:tc>
        <w:tc>
          <w:tcPr>
            <w:tcW w:w="680" w:type="dxa"/>
            <w:vAlign w:val="bottom"/>
            <w:vMerge w:val="restart"/>
          </w:tcPr>
          <w:p>
            <w:pPr>
              <w:ind w:left="10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65.64</w:t>
            </w:r>
            <w:r>
              <w:rPr>
                <w:rFonts w:ascii="Arial" w:cs="Arial" w:eastAsia="Arial" w:hAnsi="Arial"/>
                <w:sz w:val="21"/>
                <w:szCs w:val="21"/>
                <w:color w:val="008000"/>
                <w:vertAlign w:val="superscript"/>
              </w:rPr>
              <w:t>(2)</w:t>
            </w: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6"/>
              </w:rPr>
              <w:t>Depositary</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10/18/2023</w:t>
            </w:r>
          </w:p>
        </w:tc>
        <w:tc>
          <w:tcPr>
            <w:tcW w:w="1060" w:type="dxa"/>
            <w:vAlign w:val="bottom"/>
          </w:tcPr>
          <w:p>
            <w:pPr>
              <w:spacing w:after="0"/>
              <w:rPr>
                <w:sz w:val="6"/>
                <w:szCs w:val="6"/>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S</w:t>
            </w:r>
          </w:p>
        </w:tc>
        <w:tc>
          <w:tcPr>
            <w:tcW w:w="800" w:type="dxa"/>
            <w:vAlign w:val="bottom"/>
            <w:vMerge w:val="restart"/>
          </w:tcPr>
          <w:p>
            <w:pPr>
              <w:jc w:val="right"/>
              <w:ind w:right="22"/>
              <w:spacing w:after="0" w:line="139" w:lineRule="exact"/>
              <w:rPr>
                <w:sz w:val="20"/>
                <w:szCs w:val="20"/>
                <w:color w:val="auto"/>
              </w:rPr>
            </w:pPr>
            <w:r>
              <w:rPr>
                <w:rFonts w:ascii="Arial" w:cs="Arial" w:eastAsia="Arial" w:hAnsi="Arial"/>
                <w:sz w:val="13"/>
                <w:szCs w:val="13"/>
                <w:color w:val="0000FF"/>
              </w:rPr>
              <w:t>16,086</w:t>
            </w: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48,255</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Life</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Sciences</w:t>
            </w:r>
          </w:p>
        </w:tc>
        <w:tc>
          <w:tcPr>
            <w:tcW w:w="0" w:type="dxa"/>
            <w:vAlign w:val="bottom"/>
          </w:tcPr>
          <w:p>
            <w:pPr>
              <w:spacing w:after="0"/>
              <w:rPr>
                <w:sz w:val="1"/>
                <w:szCs w:val="1"/>
                <w:color w:val="auto"/>
              </w:rPr>
            </w:pPr>
          </w:p>
        </w:tc>
      </w:tr>
      <w:tr>
        <w:trPr>
          <w:trHeight w:val="64"/>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380"/>
        <w:spacing w:after="0"/>
        <w:rPr>
          <w:sz w:val="20"/>
          <w:szCs w:val="20"/>
          <w:color w:val="auto"/>
        </w:rPr>
      </w:pPr>
      <w:r>
        <w:rPr>
          <w:rFonts w:ascii="Arial" w:cs="Arial" w:eastAsia="Arial" w:hAnsi="Arial"/>
          <w:sz w:val="13"/>
          <w:szCs w:val="13"/>
          <w:color w:val="0000FF"/>
        </w:rPr>
        <w:t>Fund VI LP</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line="329"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Reported securities are American Depositary Shares, each of which represents three Ordinary Shares of the Issuer. Any one American Depositary Share may be converted into three Ordinary Shares, and any three Ordinary Shares into one American Depositary Share, at any time at the election of the holder upon notice. Effective October 12, 2023, F-Prime Capital Partners Life Sciences Fund VI LP ("Fund VI") converted</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 w:right="80"/>
        <w:spacing w:after="0" w:line="241" w:lineRule="auto"/>
        <w:rPr>
          <w:sz w:val="20"/>
          <w:szCs w:val="20"/>
          <w:color w:val="auto"/>
        </w:rPr>
      </w:pPr>
      <w:r>
        <w:rPr>
          <w:rFonts w:ascii="Arial" w:cs="Arial" w:eastAsia="Arial" w:hAnsi="Arial"/>
          <w:sz w:val="13"/>
          <w:szCs w:val="13"/>
          <w:color w:val="008000"/>
        </w:rPr>
        <w:t>193,023 ordinary shares to 64,341 ADSs and F-Prime Capital Partners Life Sciences Advisors Fund VI LP ("FPCPLSA") converted 16,407 ordinary shares to 5,469 ADSs. Fund VI sold 16,086 ADS and Advisors Fund VI sold 1,368 ADS. After the sale, Fund VI holds 48,255 and FPCPLSA holds 4,101 ADS as shown in Column 9.</w:t>
      </w:r>
    </w:p>
    <w:p>
      <w:pPr>
        <w:spacing w:after="0" w:line="29" w:lineRule="exact"/>
        <w:rPr>
          <w:sz w:val="20"/>
          <w:szCs w:val="20"/>
          <w:color w:val="auto"/>
        </w:rPr>
      </w:pPr>
    </w:p>
    <w:p>
      <w:pPr>
        <w:ind w:left="1" w:right="40" w:hanging="1"/>
        <w:spacing w:after="0" w:line="241"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for this transaction is the weighted average price of multiple trades at prices ranging from $65.52 to $65.70. FMR LLC hereby undertakes to provide upon request by the Commission staff, the issuer, or a security holder of the issuer full information regarding the number of shares and prices at which the transaction was effected.</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1"/>
        <w:spacing w:after="0" w:line="247" w:lineRule="auto"/>
        <w:rPr>
          <w:sz w:val="20"/>
          <w:szCs w:val="20"/>
          <w:color w:val="auto"/>
        </w:rPr>
      </w:pPr>
      <w:r>
        <w:rPr>
          <w:rFonts w:ascii="Arial" w:cs="Arial" w:eastAsia="Arial" w:hAnsi="Arial"/>
          <w:sz w:val="12"/>
          <w:szCs w:val="12"/>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F-Prime Capital Partners Life Sciences Advisors Fund VI LP (FPCPLSA) is the general partner of F-Prime Capital Partners Life Sciences Fund VI LP. FPCPLSA is solely managed by Impresa Management LLC, the managing member of its general partner and its investment manager. Impresa Management LLC is owned, directly or indirectly, by various shareholders and employees of FMR LLC, including certain members of the Johnson family. FIMM, LLC is an indirect, wholly-owned subsidiary of FMR LLC.</w:t>
      </w:r>
    </w:p>
    <w:p>
      <w:pPr>
        <w:spacing w:after="0" w:line="51"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Stephanie J. Brown,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-6350</wp:posOffset>
            </wp:positionV>
            <wp:extent cx="1076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5"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-10160</wp:posOffset>
            </wp:positionV>
            <wp:extent cx="1152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ind w:left="6561"/>
        <w:spacing w:after="0" w:line="217" w:lineRule="auto"/>
        <w:tabs>
          <w:tab w:leader="none" w:pos="8740" w:val="left"/>
        </w:tabs>
        <w:rPr>
          <w:sz w:val="20"/>
          <w:szCs w:val="20"/>
          <w:color w:val="auto"/>
        </w:rPr>
      </w:pPr>
      <w:r>
        <w:rPr>
          <w:rFonts w:ascii="Arial" w:cs="Arial" w:eastAsia="Arial" w:hAnsi="Arial"/>
          <w:sz w:val="16"/>
          <w:szCs w:val="16"/>
          <w:color w:val="0000FF"/>
        </w:rPr>
        <w:t>Attorney, by and on behalf of</w:t>
      </w:r>
      <w:r>
        <w:rPr>
          <w:sz w:val="20"/>
          <w:szCs w:val="20"/>
          <w:color w:val="auto"/>
        </w:rPr>
        <w:tab/>
      </w:r>
      <w:r>
        <w:rPr>
          <w:rFonts w:ascii="Arial" w:cs="Arial" w:eastAsia="Arial" w:hAnsi="Arial"/>
          <w:sz w:val="22"/>
          <w:szCs w:val="22"/>
          <w:color w:val="0000FF"/>
          <w:vertAlign w:val="subscript"/>
        </w:rPr>
        <w:t>10/23/2023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-26670</wp:posOffset>
            </wp:positionV>
            <wp:extent cx="1229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6"/>
          <w:szCs w:val="16"/>
          <w:color w:val="0000FF"/>
        </w:rPr>
        <w:t>FMR LLC and its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1187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7450" cy="825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6"/>
          <w:szCs w:val="16"/>
          <w:color w:val="0000FF"/>
        </w:rPr>
        <w:t>indirect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-10160</wp:posOffset>
            </wp:positionV>
            <wp:extent cx="1042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6"/>
          <w:szCs w:val="16"/>
          <w:color w:val="0000FF"/>
        </w:rPr>
        <w:t>Abigail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-10160</wp:posOffset>
            </wp:positionV>
            <wp:extent cx="781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43"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40" w:hanging="1"/>
        <w:spacing w:after="0" w:line="326"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1"/>
      </w:cols>
      <w:pgMar w:left="499"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2023-10-23T14:59:17Z</dcterms:created>
  <dcterms:modified xsi:type="dcterms:W3CDTF">2023-10-23T14:59:17Z</dcterms:modified>
</cp:coreProperties>
</file>