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pcr-20240630x10q.htm"/>
        <w:bookmarkStart w:id="1" w:name="ksgpcr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55bccc7f_9978_4242_b7ac_54492f54591c"/>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0"/>
        <w:ind w:left="0" w:right="0" w:hanging="0"/>
        <w:jc w:val="center"/>
        <w:rPr/>
      </w:pPr>
      <w:r>
        <w:rPr/>
        <w:t>​</w:t>
      </w:r>
    </w:p>
    <w:tbl>
      <w:tblPr>
        <w:tblW w:w="8987" w:type="dxa"/>
        <w:jc w:val="left"/>
        <w:tblInd w:w="0" w:type="dxa"/>
        <w:tblLayout w:type="fixed"/>
        <w:tblCellMar>
          <w:top w:w="0" w:type="dxa"/>
          <w:left w:w="0" w:type="dxa"/>
          <w:bottom w:w="0" w:type="dxa"/>
          <w:right w:w="0" w:type="dxa"/>
        </w:tblCellMar>
      </w:tblPr>
      <w:tblGrid>
        <w:gridCol w:w="331"/>
        <w:gridCol w:w="8656"/>
      </w:tblGrid>
      <w:tr>
        <w:trPr/>
        <w:tc>
          <w:tcPr>
            <w:tcW w:w="331" w:type="dxa"/>
            <w:tcBorders/>
            <w:vAlign w:val="center"/>
          </w:tcPr>
          <w:p>
            <w:pPr>
              <w:pStyle w:val="TableContents"/>
              <w:bidi w:val="0"/>
              <w:spacing w:before="0" w:after="0"/>
              <w:jc w:val="left"/>
              <w:rPr/>
            </w:pPr>
            <w:r>
              <w:rPr/>
              <w:t>☒</w:t>
            </w:r>
          </w:p>
        </w:tc>
        <w:tc>
          <w:tcPr>
            <w:tcW w:w="8656" w:type="dxa"/>
            <w:tcBorders/>
            <w:vAlign w:val="center"/>
          </w:tcPr>
          <w:p>
            <w:pPr>
              <w:pStyle w:val="TableContents"/>
              <w:bidi w:val="0"/>
              <w:spacing w:before="0" w:after="0"/>
              <w:jc w:val="left"/>
              <w:rPr>
                <w:rFonts w:ascii="Arial;Helvetica;sans-serif" w:hAnsi="Arial;Helvetica;sans-serif"/>
                <w:b/>
                <w:sz w:val="16"/>
              </w:rPr>
            </w:pPr>
            <w:r>
              <w:rPr>
                <w:rFonts w:ascii="Arial;Helvetica;sans-serif" w:hAnsi="Arial;Helvetica;sans-serif"/>
                <w:b/>
                <w:sz w:val="16"/>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quarterly period ended June 30,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before="0" w:after="0"/>
        <w:ind w:left="0" w:right="0" w:hanging="0"/>
        <w:jc w:val="center"/>
        <w:rPr/>
      </w:pPr>
      <w:r>
        <w:rPr/>
        <w:t>​</w:t>
      </w:r>
    </w:p>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0"/>
              <w:jc w:val="left"/>
              <w:rPr/>
            </w:pPr>
            <w:r>
              <w:rPr/>
              <w:t>☐</w:t>
            </w:r>
          </w:p>
        </w:tc>
        <w:tc>
          <w:tcPr>
            <w:tcW w:w="8641" w:type="dxa"/>
            <w:tcBorders/>
            <w:vAlign w:val="center"/>
          </w:tcPr>
          <w:p>
            <w:pPr>
              <w:pStyle w:val="TableContents"/>
              <w:bidi w:val="0"/>
              <w:spacing w:before="0" w:after="0"/>
              <w:jc w:val="left"/>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Transition Period FromTo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Commission file number: 001-41608</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Structure Therapeutics Inc.</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KI3Y_GHpN0S8kxuU62RGdg_3_2"/>
      <w:bookmarkStart w:id="4" w:name="Tc_LhF-hBIOVEiRz14v5K-2ug_3_0"/>
      <w:bookmarkStart w:id="5" w:name="Tc_7xRl3ava8UWLm83biujsTg_2_0"/>
      <w:bookmarkStart w:id="6" w:name="Tc_ZW1uUFQeU0ObW426IlvnMQ_1_2"/>
      <w:bookmarkStart w:id="7" w:name="Tc_d6PZxy1QdEqI2KKYHpmOCw_1_0"/>
      <w:bookmarkStart w:id="8" w:name="_8b31d12e_c3f2_4ca3_b24f_eb9184555ed2"/>
      <w:bookmarkStart w:id="9" w:name="Tc_KI3Y_GHpN0S8kxuU62RGdg_3_2"/>
      <w:bookmarkStart w:id="10" w:name="Tc_LhF-hBIOVEiRz14v5K-2ug_3_0"/>
      <w:bookmarkStart w:id="11" w:name="Tc_7xRl3ava8UWLm83biujsTg_2_0"/>
      <w:bookmarkStart w:id="12" w:name="Tc_ZW1uUFQeU0ObW426IlvnMQ_1_2"/>
      <w:bookmarkStart w:id="13" w:name="Tc_d6PZxy1QdEqI2KKYHpmOCw_1_0"/>
      <w:bookmarkStart w:id="14" w:name="_8b31d12e_c3f2_4ca3_b24f_eb9184555ed2"/>
      <w:bookmarkEnd w:id="9"/>
      <w:bookmarkEnd w:id="10"/>
      <w:bookmarkEnd w:id="11"/>
      <w:bookmarkEnd w:id="12"/>
      <w:bookmarkEnd w:id="13"/>
      <w:bookmarkEnd w:id="14"/>
    </w:p>
    <w:tbl>
      <w:tblPr>
        <w:tblW w:w="6478" w:type="dxa"/>
        <w:jc w:val="left"/>
        <w:tblInd w:w="0" w:type="dxa"/>
        <w:tblLayout w:type="fixed"/>
        <w:tblCellMar>
          <w:top w:w="0" w:type="dxa"/>
          <w:left w:w="0" w:type="dxa"/>
          <w:bottom w:w="0" w:type="dxa"/>
          <w:right w:w="0" w:type="dxa"/>
        </w:tblCellMar>
      </w:tblPr>
      <w:tblGrid>
        <w:gridCol w:w="3841"/>
        <w:gridCol w:w="326"/>
        <w:gridCol w:w="2311"/>
      </w:tblGrid>
      <w:tr>
        <w:trPr/>
        <w:tc>
          <w:tcPr>
            <w:tcW w:w="384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Cayman Islands</w:t>
            </w:r>
          </w:p>
        </w:tc>
        <w:tc>
          <w:tcPr>
            <w:tcW w:w="32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98-1480821</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of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4"/>
              </w:rPr>
              <w:t>601 Gateway Blvd., Suite 900</w:t>
            </w:r>
            <w:r>
              <w:rPr>
                <w:rFonts w:ascii="Arial;Helvetica;sans-serif" w:hAnsi="Arial;Helvetica;sans-serif"/>
                <w:sz w:val="20"/>
              </w:rPr>
              <w:t xml:space="preserve"> </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South San Francisco, California</w:t>
            </w:r>
          </w:p>
        </w:tc>
        <w:tc>
          <w:tcPr>
            <w:tcW w:w="32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94080</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 (650) 457-1978</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NIkm2iQEW0y2ryWyUDLIQg_2_4"/>
      <w:bookmarkStart w:id="16" w:name="Tc_MvdeLBsdXEyMPc-sK9tTXw_2_0"/>
      <w:bookmarkStart w:id="17" w:name="Tc_X0mPd1iDkk6H0x7R19b3Iw_1_4"/>
      <w:bookmarkStart w:id="18" w:name="Tc_JnSHpNbOVU-5vpZvuIcZEA_1_2"/>
      <w:bookmarkStart w:id="19" w:name="Tc_XB0cMNEwvkuIt8B1R9lWHg_1_0"/>
      <w:bookmarkStart w:id="20" w:name="Tc_Wtpr-TWHskO7Ur-djeYRcg_0_2"/>
      <w:bookmarkStart w:id="21" w:name="_1ef2d310_4c28_4b32_855d_65ecffa39655"/>
      <w:bookmarkStart w:id="22" w:name="Tc_NIkm2iQEW0y2ryWyUDLIQg_2_4"/>
      <w:bookmarkStart w:id="23" w:name="Tc_MvdeLBsdXEyMPc-sK9tTXw_2_0"/>
      <w:bookmarkStart w:id="24" w:name="Tc_X0mPd1iDkk6H0x7R19b3Iw_1_4"/>
      <w:bookmarkStart w:id="25" w:name="Tc_JnSHpNbOVU-5vpZvuIcZEA_1_2"/>
      <w:bookmarkStart w:id="26" w:name="Tc_XB0cMNEwvkuIt8B1R9lWHg_1_0"/>
      <w:bookmarkStart w:id="27" w:name="Tc_Wtpr-TWHskO7Ur-djeYRcg_0_2"/>
      <w:bookmarkStart w:id="28" w:name="_1ef2d310_4c28_4b32_855d_65ecffa39655"/>
      <w:bookmarkEnd w:id="22"/>
      <w:bookmarkEnd w:id="23"/>
      <w:bookmarkEnd w:id="24"/>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6263"/>
        <w:gridCol w:w="326"/>
        <w:gridCol w:w="1681"/>
        <w:gridCol w:w="326"/>
        <w:gridCol w:w="1609"/>
      </w:tblGrid>
      <w:tr>
        <w:trPr/>
        <w:tc>
          <w:tcPr>
            <w:tcW w:w="62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w:t>
            </w:r>
          </w:p>
        </w:tc>
        <w:tc>
          <w:tcPr>
            <w:tcW w:w="326" w:type="dxa"/>
            <w:tcBorders/>
            <w:vAlign w:val="center"/>
          </w:tcPr>
          <w:p>
            <w:pPr>
              <w:pStyle w:val="TableContents"/>
              <w:bidi w:val="0"/>
              <w:spacing w:before="0" w:after="0"/>
              <w:ind w:left="0" w:right="0" w:hanging="0"/>
              <w:jc w:val="left"/>
              <w:rPr/>
            </w:pPr>
            <w:r>
              <w:rPr/>
              <w:t>    </w:t>
            </w:r>
          </w:p>
        </w:tc>
        <w:tc>
          <w:tcPr>
            <w:tcW w:w="1609" w:type="dxa"/>
            <w:tcBorders/>
            <w:vAlign w:val="center"/>
          </w:tcPr>
          <w:p>
            <w:pPr>
              <w:pStyle w:val="TableContents"/>
              <w:bidi w:val="0"/>
              <w:spacing w:before="0" w:after="0"/>
              <w:ind w:left="0" w:right="0" w:hanging="0"/>
              <w:jc w:val="left"/>
              <w:rPr/>
            </w:pPr>
            <w:r>
              <w:rPr/>
              <w:t>​</w:t>
            </w:r>
          </w:p>
        </w:tc>
      </w:tr>
      <w:tr>
        <w:trPr/>
        <w:tc>
          <w:tcPr>
            <w:tcW w:w="626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0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On Which Registered</w:t>
            </w:r>
          </w:p>
        </w:tc>
      </w:tr>
      <w:tr>
        <w:trPr/>
        <w:tc>
          <w:tcPr>
            <w:tcW w:w="6263"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American Depositary Shares (ADSs), each representing three ordinary shares, par value $0.0001 per ordinary share</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Ordinary shares, par value $0.0001 per share*</w:t>
            </w:r>
          </w:p>
        </w:tc>
        <w:tc>
          <w:tcPr>
            <w:tcW w:w="326" w:type="dxa"/>
            <w:tcBorders/>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GPCR</w:t>
            </w:r>
          </w:p>
        </w:tc>
        <w:tc>
          <w:tcPr>
            <w:tcW w:w="326" w:type="dxa"/>
            <w:tcBorders/>
            <w:vAlign w:val="center"/>
          </w:tcPr>
          <w:p>
            <w:pPr>
              <w:pStyle w:val="TableContents"/>
              <w:bidi w:val="0"/>
              <w:spacing w:before="0" w:after="0"/>
              <w:ind w:left="0" w:right="0" w:hanging="0"/>
              <w:jc w:val="center"/>
              <w:rPr/>
            </w:pPr>
            <w:r>
              <w:rPr/>
              <w:t>​</w:t>
            </w:r>
          </w:p>
        </w:tc>
        <w:tc>
          <w:tcPr>
            <w:tcW w:w="1609"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4"/>
              </w:rPr>
              <w:t>Nasdaq</w:t>
            </w:r>
            <w:r>
              <w:rPr>
                <w:rFonts w:ascii="Arial;Helvetica;sans-serif" w:hAnsi="Arial;Helvetica;sans-serif"/>
                <w:sz w:val="20"/>
              </w:rPr>
              <w:t xml:space="preserve"> </w:t>
            </w:r>
            <w:r>
              <w:rPr>
                <w:rFonts w:ascii="Arial;Helvetica;sans-serif" w:hAnsi="Arial;Helvetica;sans-serif"/>
                <w:b/>
                <w:sz w:val="14"/>
              </w:rPr>
              <w:t>Global Market </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4"/>
              </w:rPr>
              <w:t>Nasdaq</w:t>
            </w:r>
            <w:r>
              <w:rPr>
                <w:rFonts w:ascii="Arial;Helvetica;sans-serif" w:hAnsi="Arial;Helvetica;sans-serif"/>
                <w:sz w:val="20"/>
              </w:rPr>
              <w:t xml:space="preserve"> </w:t>
            </w:r>
            <w:r>
              <w:rPr>
                <w:rFonts w:ascii="Arial;Helvetica;sans-serif" w:hAnsi="Arial;Helvetica;sans-serif"/>
                <w:b/>
                <w:sz w:val="14"/>
              </w:rPr>
              <w:t>Global Market*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4"/>
        </w:rPr>
      </w:pPr>
      <w:r>
        <w:rPr>
          <w:rFonts w:ascii="Arial;Helvetica;sans-serif" w:hAnsi="Arial;Helvetica;sans-serif"/>
          <w:sz w:val="14"/>
        </w:rPr>
        <w:t>* Not for trading, but only in connection with the registration of the American Depositary Shares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9829" w:type="dxa"/>
        <w:jc w:val="left"/>
        <w:tblInd w:w="0" w:type="dxa"/>
        <w:tblLayout w:type="fixed"/>
        <w:tblCellMar>
          <w:top w:w="0" w:type="dxa"/>
          <w:left w:w="0" w:type="dxa"/>
          <w:bottom w:w="0" w:type="dxa"/>
          <w:right w:w="0" w:type="dxa"/>
        </w:tblCellMar>
      </w:tblPr>
      <w:tblGrid>
        <w:gridCol w:w="1666"/>
        <w:gridCol w:w="326"/>
        <w:gridCol w:w="1276"/>
        <w:gridCol w:w="326"/>
        <w:gridCol w:w="1621"/>
        <w:gridCol w:w="326"/>
        <w:gridCol w:w="1966"/>
        <w:gridCol w:w="326"/>
        <w:gridCol w:w="199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10260" cy="29210"/>
                      <wp:effectExtent l="0" t="0" r="0" b="0"/>
                      <wp:wrapNone/>
                      <wp:docPr id="3" name="Frame3"/>
                      <a:graphic xmlns:a="http://schemas.openxmlformats.org/drawingml/2006/main">
                        <a:graphicData uri="http://schemas.microsoft.com/office/word/2010/wordprocessingShape">
                          <wps:wsp>
                            <wps:cNvSpPr txBox="1"/>
                            <wps:spPr>
                              <a:xfrm>
                                <a:off x="0" y="0"/>
                                <a:ext cx="810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29335" cy="29210"/>
                      <wp:effectExtent l="0" t="0" r="0" b="0"/>
                      <wp:wrapNone/>
                      <wp:docPr id="5" name="Frame5"/>
                      <a:graphic xmlns:a="http://schemas.openxmlformats.org/drawingml/2006/main">
                        <a:graphicData uri="http://schemas.microsoft.com/office/word/2010/wordprocessingShape">
                          <wps:wsp>
                            <wps:cNvSpPr txBox="1"/>
                            <wps:spPr>
                              <a:xfrm>
                                <a:off x="0" y="0"/>
                                <a:ext cx="1029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8410" cy="29210"/>
                      <wp:effectExtent l="0" t="0" r="0" b="0"/>
                      <wp:wrapNone/>
                      <wp:docPr id="7" name="Frame7"/>
                      <a:graphic xmlns:a="http://schemas.openxmlformats.org/drawingml/2006/main">
                        <a:graphicData uri="http://schemas.microsoft.com/office/word/2010/wordprocessingShape">
                          <wps:wsp>
                            <wps:cNvSpPr txBox="1"/>
                            <wps:spPr>
                              <a:xfrm>
                                <a:off x="0" y="0"/>
                                <a:ext cx="1248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29210"/>
                      <wp:effectExtent l="0" t="0" r="0" b="0"/>
                      <wp:wrapNone/>
                      <wp:docPr id="8" name="Frame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67460" cy="29210"/>
                      <wp:effectExtent l="0" t="0" r="0" b="0"/>
                      <wp:wrapNone/>
                      <wp:docPr id="9" name="Frame9"/>
                      <a:graphic xmlns:a="http://schemas.openxmlformats.org/drawingml/2006/main">
                        <a:graphicData uri="http://schemas.microsoft.com/office/word/2010/wordprocessingShape">
                          <wps:wsp>
                            <wps:cNvSpPr txBox="1"/>
                            <wps:spPr>
                              <a:xfrm>
                                <a:off x="0" y="0"/>
                                <a:ext cx="126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pBdr/>
              <w:bidi w:val="0"/>
              <w:spacing w:before="0" w:after="0"/>
              <w:ind w:left="0" w:right="0" w:hanging="0"/>
              <w:jc w:val="left"/>
              <w:rPr>
                <w:rFonts w:ascii="Arial;Helvetica;sans-serif" w:hAnsi="Arial;Helvetica;sans-serif"/>
                <w:sz w:val="14"/>
              </w:rPr>
            </w:pPr>
            <w:r>
              <w:rPr>
                <w:rFonts w:ascii="Arial;Helvetica;sans-serif" w:hAnsi="Arial;Helvetica;sans-serif"/>
                <w:sz w:val="14"/>
              </w:rPr>
              <w:t>Large accelerated filer ☐</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Accelerated filer ☐</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14"/>
              </w:rPr>
              <w:t>Non-accelerated filer</w:t>
            </w:r>
            <w:r>
              <w:rPr>
                <w:rFonts w:ascii="Arial;Helvetica;sans-serif" w:hAnsi="Arial;Helvetica;sans-serif"/>
                <w:sz w:val="20"/>
              </w:rPr>
              <w:t xml:space="preserve"> ☒</w:t>
            </w:r>
          </w:p>
        </w:tc>
        <w:tc>
          <w:tcPr>
            <w:tcW w:w="32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Smaller reporting company </w:t>
            </w:r>
            <w:r>
              <w:rPr>
                <w:rFonts w:ascii="Arial;Helvetica;sans-serif" w:hAnsi="Arial;Helvetica;sans-serif"/>
                <w:sz w:val="20"/>
              </w:rPr>
              <w:t>☒</w:t>
            </w:r>
          </w:p>
        </w:tc>
        <w:tc>
          <w:tcPr>
            <w:tcW w:w="326" w:type="dxa"/>
            <w:tcBorders/>
            <w:vAlign w:val="center"/>
          </w:tcPr>
          <w:p>
            <w:pPr>
              <w:pStyle w:val="TableContents"/>
              <w:bidi w:val="0"/>
              <w:spacing w:before="0" w:after="0"/>
              <w:ind w:left="0" w:right="0" w:hanging="0"/>
              <w:jc w:val="left"/>
              <w:rPr/>
            </w:pPr>
            <w:r>
              <w:rPr/>
              <w:t>    </w:t>
            </w:r>
          </w:p>
        </w:tc>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288"/>
        <w:jc w:val="left"/>
        <w:rPr/>
      </w:pPr>
      <w:r>
        <w:rPr/>
        <w:t>​</w:t>
      </w:r>
    </w:p>
    <w:p>
      <w:pPr>
        <w:pStyle w:val="TextBody"/>
        <w:bidi w:val="0"/>
        <w:spacing w:before="0" w:after="240"/>
        <w:ind w:left="0" w:right="0" w:hanging="0"/>
        <w:jc w:val="center"/>
        <w:rPr>
          <w:rFonts w:ascii="Arial;Helvetica;sans-serif" w:hAnsi="Arial;Helvetica;sans-serif"/>
          <w:b/>
          <w:sz w:val="14"/>
        </w:rPr>
      </w:pPr>
      <w:r>
        <w:rPr>
          <w:rFonts w:ascii="Arial;Helvetica;sans-serif" w:hAnsi="Arial;Helvetica;sans-serif"/>
          <w:b/>
          <w:sz w:val="14"/>
        </w:rPr>
        <w:t>The aggregate number of outstanding ordinary shares of the registrant, each with par value $0.0001 per share, as of July 31, 2024, was 171,589,561, of which 162,232,770 ordinary shares were held in the form of ADSs.</w:t>
      </w:r>
    </w:p>
    <w:p>
      <w:pPr>
        <w:pStyle w:val="TextBody"/>
        <w:bidi w:val="0"/>
        <w:spacing w:before="0" w:after="0"/>
        <w:ind w:left="0" w:right="0" w:firstLine="288"/>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firstLine="288"/>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9" w:name="TOC"/>
      <w:bookmarkStart w:id="30" w:name="_26d0ffbd_9c7b_495d_b55f_121d795aec4c"/>
      <w:bookmarkEnd w:id="29"/>
      <w:bookmarkEnd w:id="30"/>
      <w:r>
        <w:rPr>
          <w:rFonts w:ascii="Arial;Helvetica;sans-serif" w:hAnsi="Arial;Helvetica;sans-serif"/>
          <w:b/>
          <w:sz w:val="20"/>
        </w:rPr>
        <w:t>TABLE OF CONTENTS</w:t>
      </w:r>
    </w:p>
    <w:tbl>
      <w:tblPr>
        <w:tblW w:w="10205" w:type="dxa"/>
        <w:jc w:val="left"/>
        <w:tblInd w:w="0" w:type="dxa"/>
        <w:tblLayout w:type="fixed"/>
        <w:tblCellMar>
          <w:top w:w="0" w:type="dxa"/>
          <w:left w:w="0" w:type="dxa"/>
          <w:bottom w:w="0" w:type="dxa"/>
          <w:right w:w="0" w:type="dxa"/>
        </w:tblCellMar>
      </w:tblPr>
      <w:tblGrid>
        <w:gridCol w:w="701"/>
        <w:gridCol w:w="8902"/>
        <w:gridCol w:w="602"/>
      </w:tblGrid>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center"/>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center"/>
              <w:rPr/>
            </w:pPr>
            <w:hyperlink w:anchor="PARTI_353810">
              <w:r>
                <w:rPr>
                  <w:rStyle w:val="InternetLink"/>
                  <w:rFonts w:ascii="Arial;Helvetica;sans-serif" w:hAnsi="Arial;Helvetica;sans-serif"/>
                  <w:b/>
                  <w:i w:val="false"/>
                  <w:caps w:val="false"/>
                  <w:smallCaps w:val="false"/>
                  <w:sz w:val="20"/>
                </w:rPr>
                <w:t>Part I</w:t>
              </w:r>
            </w:hyperlink>
          </w:p>
        </w:tc>
        <w:tc>
          <w:tcPr>
            <w:tcW w:w="60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01" w:type="dxa"/>
            <w:tcBorders/>
            <w:vAlign w:val="center"/>
          </w:tcPr>
          <w:p>
            <w:pPr>
              <w:pStyle w:val="TableContents"/>
              <w:bidi w:val="0"/>
              <w:spacing w:before="0" w:after="0"/>
              <w:ind w:left="0" w:right="0" w:hanging="0"/>
              <w:jc w:val="left"/>
              <w:rPr/>
            </w:pPr>
            <w:hyperlink w:anchor="Item1FinancialStatementsUnaudited_11211">
              <w:r>
                <w:rPr>
                  <w:rStyle w:val="InternetLink"/>
                  <w:rFonts w:ascii="Arial;Helvetica;sans-serif" w:hAnsi="Arial;Helvetica;sans-serif"/>
                  <w:b w:val="false"/>
                  <w:i w:val="false"/>
                  <w:caps w:val="false"/>
                  <w:smallCaps w:val="false"/>
                  <w:sz w:val="20"/>
                </w:rPr>
                <w:t>Item 1.</w:t>
              </w:r>
            </w:hyperlink>
          </w:p>
        </w:tc>
        <w:tc>
          <w:tcPr>
            <w:tcW w:w="8902" w:type="dxa"/>
            <w:tcBorders/>
            <w:vAlign w:val="center"/>
          </w:tcPr>
          <w:p>
            <w:pPr>
              <w:pStyle w:val="TableContents"/>
              <w:bidi w:val="0"/>
              <w:spacing w:before="0" w:after="0"/>
              <w:ind w:left="0" w:right="0" w:hanging="0"/>
              <w:jc w:val="left"/>
              <w:rPr/>
            </w:pPr>
            <w:hyperlink w:anchor="Item1FinancialStatementsUnaudited_11211">
              <w:r>
                <w:rPr>
                  <w:rStyle w:val="InternetLink"/>
                  <w:rFonts w:ascii="Arial;Helvetica;sans-serif" w:hAnsi="Arial;Helvetica;sans-serif"/>
                  <w:b w:val="false"/>
                  <w:i w:val="false"/>
                  <w:caps w:val="false"/>
                  <w:smallCaps w:val="false"/>
                  <w:color w:val="0000FF"/>
                  <w:sz w:val="20"/>
                </w:rPr>
                <w:t>Financial Statements (Unaudited)</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CONDENSEDCONSOLIDATEDBALANCESHEETS_30939">
              <w:r>
                <w:rPr>
                  <w:rStyle w:val="InternetLink"/>
                  <w:rFonts w:ascii="Arial;Helvetica;sans-serif" w:hAnsi="Arial;Helvetica;sans-serif"/>
                  <w:b w:val="false"/>
                  <w:i w:val="false"/>
                  <w:caps w:val="false"/>
                  <w:smallCaps w:val="false"/>
                  <w:color w:val="0000FF"/>
                  <w:sz w:val="20"/>
                </w:rPr>
                <w:t>Condensed Consolidated Balance Sheets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STATEMENTSOFOPERATIONSANDCOMPREHENSIVELO">
              <w:r>
                <w:rPr>
                  <w:rStyle w:val="InternetLink"/>
                  <w:rFonts w:ascii="Arial;Helvetica;sans-serif" w:hAnsi="Arial;Helvetica;sans-serif"/>
                  <w:b w:val="false"/>
                  <w:i w:val="false"/>
                  <w:caps w:val="false"/>
                  <w:smallCaps w:val="false"/>
                  <w:color w:val="0000FF"/>
                  <w:sz w:val="20"/>
                </w:rPr>
                <w:t>Condensed Consolidated Statements of Operations and Comprehensive Loss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SHARESANDSHAREHOLDERSEQUTY_245279">
              <w:r>
                <w:rPr>
                  <w:rStyle w:val="InternetLink"/>
                  <w:rFonts w:ascii="Arial;Helvetica;sans-serif" w:hAnsi="Arial;Helvetica;sans-serif"/>
                  <w:b w:val="false"/>
                  <w:i w:val="false"/>
                  <w:caps w:val="false"/>
                  <w:smallCaps w:val="false"/>
                  <w:color w:val="0000FF"/>
                  <w:sz w:val="20"/>
                </w:rPr>
                <w:t>Condensed Consolidated Statements of Redeemable Convertible Preferred Shares and Shareholders’ Equity (Deficit)</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STATEMENTSOFCASHFLOWS_628124">
              <w:r>
                <w:rPr>
                  <w:rStyle w:val="InternetLink"/>
                  <w:rFonts w:ascii="Arial;Helvetica;sans-serif" w:hAnsi="Arial;Helvetica;sans-serif"/>
                  <w:b w:val="false"/>
                  <w:i w:val="false"/>
                  <w:caps w:val="false"/>
                  <w:smallCaps w:val="false"/>
                  <w:color w:val="0000FF"/>
                  <w:sz w:val="20"/>
                </w:rPr>
                <w:t>Condensed Consolidated Statements of Cash Flows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Notes">
              <w:r>
                <w:rPr>
                  <w:rStyle w:val="InternetLink"/>
                  <w:rFonts w:ascii="Arial;Helvetica;sans-serif" w:hAnsi="Arial;Helvetica;sans-serif"/>
                  <w:b w:val="false"/>
                  <w:i w:val="false"/>
                  <w:caps w:val="false"/>
                  <w:smallCaps w:val="false"/>
                  <w:color w:val="0000FF"/>
                  <w:sz w:val="20"/>
                </w:rPr>
                <w:t>Notes to Unaudited Condensed Consolidated Financial Statements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w:t>
            </w:r>
          </w:p>
        </w:tc>
      </w:tr>
      <w:tr>
        <w:trPr/>
        <w:tc>
          <w:tcPr>
            <w:tcW w:w="701"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8902"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color w:val="0000FF"/>
                  <w:sz w:val="20"/>
                </w:rPr>
                <w:t>Management’s Discussion and Analysis of Financial Condition and Results of Operations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27</w:t>
            </w:r>
          </w:p>
        </w:tc>
      </w:tr>
      <w:tr>
        <w:trPr/>
        <w:tc>
          <w:tcPr>
            <w:tcW w:w="701"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902"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color w:val="0000FF"/>
                  <w:sz w:val="20"/>
                </w:rPr>
                <w:t>Quantitative and Qualitative Disclosures About Market Risk</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40</w:t>
            </w:r>
          </w:p>
        </w:tc>
      </w:tr>
      <w:tr>
        <w:trPr/>
        <w:tc>
          <w:tcPr>
            <w:tcW w:w="701" w:type="dxa"/>
            <w:tcBorders/>
            <w:vAlign w:val="center"/>
          </w:tcPr>
          <w:p>
            <w:pPr>
              <w:pStyle w:val="TableContents"/>
              <w:bidi w:val="0"/>
              <w:spacing w:before="0" w:after="0"/>
              <w:ind w:left="0" w:right="0" w:hanging="0"/>
              <w:jc w:val="left"/>
              <w:rPr/>
            </w:pPr>
            <w:hyperlink w:anchor="Item4ControlsandProcedures_589282">
              <w:r>
                <w:rPr>
                  <w:rStyle w:val="InternetLink"/>
                  <w:rFonts w:ascii="Arial;Helvetica;sans-serif" w:hAnsi="Arial;Helvetica;sans-serif"/>
                  <w:b w:val="false"/>
                  <w:i w:val="false"/>
                  <w:caps w:val="false"/>
                  <w:smallCaps w:val="false"/>
                  <w:sz w:val="20"/>
                </w:rPr>
                <w:t>Item 4.</w:t>
              </w:r>
            </w:hyperlink>
          </w:p>
        </w:tc>
        <w:tc>
          <w:tcPr>
            <w:tcW w:w="8902" w:type="dxa"/>
            <w:tcBorders/>
            <w:vAlign w:val="center"/>
          </w:tcPr>
          <w:p>
            <w:pPr>
              <w:pStyle w:val="TableContents"/>
              <w:bidi w:val="0"/>
              <w:spacing w:before="0" w:after="0"/>
              <w:ind w:left="0" w:right="0" w:hanging="0"/>
              <w:jc w:val="left"/>
              <w:rPr/>
            </w:pPr>
            <w:hyperlink w:anchor="Item4ControlsandProcedures_589282">
              <w:r>
                <w:rPr>
                  <w:rStyle w:val="InternetLink"/>
                  <w:rFonts w:ascii="Arial;Helvetica;sans-serif" w:hAnsi="Arial;Helvetica;sans-serif"/>
                  <w:b w:val="false"/>
                  <w:i w:val="false"/>
                  <w:caps w:val="false"/>
                  <w:smallCaps w:val="false"/>
                  <w:color w:val="0000FF"/>
                  <w:sz w:val="20"/>
                </w:rPr>
                <w:t>Controls and Procedures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40</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center"/>
              <w:rPr/>
            </w:pPr>
            <w:hyperlink w:anchor="PARTIIOTHERINFORMATION_878281">
              <w:r>
                <w:rPr>
                  <w:rStyle w:val="InternetLink"/>
                  <w:rFonts w:ascii="Arial;Helvetica;sans-serif" w:hAnsi="Arial;Helvetica;sans-serif"/>
                  <w:b/>
                  <w:i w:val="false"/>
                  <w:caps w:val="false"/>
                  <w:smallCaps w:val="false"/>
                  <w:sz w:val="20"/>
                </w:rPr>
                <w:t>Part II</w:t>
              </w:r>
            </w:hyperlink>
          </w:p>
        </w:tc>
        <w:tc>
          <w:tcPr>
            <w:tcW w:w="602" w:type="dxa"/>
            <w:tcBorders/>
            <w:vAlign w:val="center"/>
          </w:tcPr>
          <w:p>
            <w:pPr>
              <w:pStyle w:val="TableContents"/>
              <w:bidi w:val="0"/>
              <w:spacing w:before="0" w:after="0"/>
              <w:ind w:left="0" w:right="0" w:hanging="0"/>
              <w:jc w:val="center"/>
              <w:rPr/>
            </w:pPr>
            <w:r>
              <w:rPr/>
              <w:t>​</w:t>
            </w:r>
          </w:p>
        </w:tc>
      </w:tr>
      <w:tr>
        <w:trPr/>
        <w:tc>
          <w:tcPr>
            <w:tcW w:w="701" w:type="dxa"/>
            <w:tcBorders/>
            <w:vAlign w:val="center"/>
          </w:tcPr>
          <w:p>
            <w:pPr>
              <w:pStyle w:val="TableContents"/>
              <w:bidi w:val="0"/>
              <w:spacing w:before="0" w:after="0"/>
              <w:ind w:left="0" w:right="0" w:hanging="0"/>
              <w:jc w:val="left"/>
              <w:rPr/>
            </w:pPr>
            <w:hyperlink w:anchor="Item1LegalProceedings_318368">
              <w:r>
                <w:rPr>
                  <w:rStyle w:val="InternetLink"/>
                  <w:rFonts w:ascii="Arial;Helvetica;sans-serif" w:hAnsi="Arial;Helvetica;sans-serif"/>
                  <w:b w:val="false"/>
                  <w:i w:val="false"/>
                  <w:caps w:val="false"/>
                  <w:smallCaps w:val="false"/>
                  <w:sz w:val="20"/>
                </w:rPr>
                <w:t>Item 1.</w:t>
              </w:r>
            </w:hyperlink>
          </w:p>
        </w:tc>
        <w:tc>
          <w:tcPr>
            <w:tcW w:w="8902" w:type="dxa"/>
            <w:tcBorders/>
            <w:vAlign w:val="center"/>
          </w:tcPr>
          <w:p>
            <w:pPr>
              <w:pStyle w:val="TableContents"/>
              <w:bidi w:val="0"/>
              <w:spacing w:before="0" w:after="0"/>
              <w:ind w:left="0" w:right="0" w:hanging="0"/>
              <w:jc w:val="left"/>
              <w:rPr/>
            </w:pPr>
            <w:hyperlink w:anchor="Item1LegalProceedings_318368">
              <w:r>
                <w:rPr>
                  <w:rStyle w:val="InternetLink"/>
                  <w:rFonts w:ascii="Arial;Helvetica;sans-serif" w:hAnsi="Arial;Helvetica;sans-serif"/>
                  <w:b w:val="false"/>
                  <w:i w:val="false"/>
                  <w:caps w:val="false"/>
                  <w:smallCaps w:val="false"/>
                  <w:color w:val="0000FF"/>
                  <w:sz w:val="20"/>
                </w:rPr>
                <w:t>Legal Proceedings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701"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8902"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color w:val="0000FF"/>
                  <w:sz w:val="20"/>
                </w:rPr>
                <w:t>Unregistered Sales of Equity Securities and Use of Proceeds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r>
      <w:tr>
        <w:trPr/>
        <w:tc>
          <w:tcPr>
            <w:tcW w:w="701" w:type="dxa"/>
            <w:tcBorders/>
            <w:vAlign w:val="center"/>
          </w:tcPr>
          <w:p>
            <w:pPr>
              <w:pStyle w:val="TableContents"/>
              <w:bidi w:val="0"/>
              <w:spacing w:before="0" w:after="0"/>
              <w:ind w:left="0" w:right="0" w:hanging="0"/>
              <w:jc w:val="left"/>
              <w:rPr/>
            </w:pPr>
            <w:hyperlink w:anchor="Item3DefaultsUponSeniorSecurities_556237">
              <w:r>
                <w:rPr>
                  <w:rStyle w:val="InternetLink"/>
                  <w:rFonts w:ascii="Arial;Helvetica;sans-serif" w:hAnsi="Arial;Helvetica;sans-serif"/>
                  <w:b w:val="false"/>
                  <w:i w:val="false"/>
                  <w:caps w:val="false"/>
                  <w:smallCaps w:val="false"/>
                  <w:sz w:val="20"/>
                </w:rPr>
                <w:t>Item 3.</w:t>
              </w:r>
            </w:hyperlink>
          </w:p>
        </w:tc>
        <w:tc>
          <w:tcPr>
            <w:tcW w:w="8902" w:type="dxa"/>
            <w:tcBorders/>
            <w:vAlign w:val="center"/>
          </w:tcPr>
          <w:p>
            <w:pPr>
              <w:pStyle w:val="TableContents"/>
              <w:bidi w:val="0"/>
              <w:spacing w:before="0" w:after="0"/>
              <w:ind w:left="0" w:right="0" w:hanging="0"/>
              <w:jc w:val="left"/>
              <w:rPr/>
            </w:pPr>
            <w:hyperlink w:anchor="Item3DefaultsUponSeniorSecurities_556237">
              <w:r>
                <w:rPr>
                  <w:rStyle w:val="InternetLink"/>
                  <w:rFonts w:ascii="Arial;Helvetica;sans-serif" w:hAnsi="Arial;Helvetica;sans-serif"/>
                  <w:b w:val="false"/>
                  <w:i w:val="false"/>
                  <w:caps w:val="false"/>
                  <w:smallCaps w:val="false"/>
                  <w:color w:val="0000FF"/>
                  <w:sz w:val="20"/>
                </w:rPr>
                <w:t>Defaults Upon Senior Securities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r>
      <w:tr>
        <w:trPr/>
        <w:tc>
          <w:tcPr>
            <w:tcW w:w="701" w:type="dxa"/>
            <w:tcBorders/>
            <w:vAlign w:val="center"/>
          </w:tcPr>
          <w:p>
            <w:pPr>
              <w:pStyle w:val="TableContents"/>
              <w:bidi w:val="0"/>
              <w:spacing w:before="0" w:after="0"/>
              <w:ind w:left="0" w:right="0" w:hanging="0"/>
              <w:jc w:val="left"/>
              <w:rPr/>
            </w:pPr>
            <w:hyperlink w:anchor="Item4MineSafetyDisclosures_5631">
              <w:r>
                <w:rPr>
                  <w:rStyle w:val="InternetLink"/>
                  <w:rFonts w:ascii="Arial;Helvetica;sans-serif" w:hAnsi="Arial;Helvetica;sans-serif"/>
                  <w:b w:val="false"/>
                  <w:i w:val="false"/>
                  <w:caps w:val="false"/>
                  <w:smallCaps w:val="false"/>
                  <w:sz w:val="20"/>
                </w:rPr>
                <w:t>Item 4.</w:t>
              </w:r>
            </w:hyperlink>
          </w:p>
        </w:tc>
        <w:tc>
          <w:tcPr>
            <w:tcW w:w="8902" w:type="dxa"/>
            <w:tcBorders/>
            <w:vAlign w:val="center"/>
          </w:tcPr>
          <w:p>
            <w:pPr>
              <w:pStyle w:val="TableContents"/>
              <w:bidi w:val="0"/>
              <w:spacing w:before="0" w:after="0"/>
              <w:ind w:left="0" w:right="0" w:hanging="0"/>
              <w:jc w:val="left"/>
              <w:rPr/>
            </w:pPr>
            <w:hyperlink w:anchor="Item4MineSafetyDisclosures_5631">
              <w:r>
                <w:rPr>
                  <w:rStyle w:val="InternetLink"/>
                  <w:rFonts w:ascii="Arial;Helvetica;sans-serif" w:hAnsi="Arial;Helvetica;sans-serif"/>
                  <w:b w:val="false"/>
                  <w:i w:val="false"/>
                  <w:caps w:val="false"/>
                  <w:smallCaps w:val="false"/>
                  <w:color w:val="0000FF"/>
                  <w:sz w:val="20"/>
                </w:rPr>
                <w:t>Mine Safety Disclosures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r>
      <w:tr>
        <w:trPr/>
        <w:tc>
          <w:tcPr>
            <w:tcW w:w="701" w:type="dxa"/>
            <w:tcBorders/>
            <w:vAlign w:val="center"/>
          </w:tcPr>
          <w:p>
            <w:pPr>
              <w:pStyle w:val="TableContents"/>
              <w:bidi w:val="0"/>
              <w:spacing w:before="0" w:after="0"/>
              <w:ind w:left="0" w:right="0" w:hanging="0"/>
              <w:jc w:val="left"/>
              <w:rPr/>
            </w:pPr>
            <w:hyperlink w:anchor="Item5OtherInformation_958351">
              <w:r>
                <w:rPr>
                  <w:rStyle w:val="InternetLink"/>
                  <w:rFonts w:ascii="Arial;Helvetica;sans-serif" w:hAnsi="Arial;Helvetica;sans-serif"/>
                  <w:b w:val="false"/>
                  <w:i w:val="false"/>
                  <w:caps w:val="false"/>
                  <w:smallCaps w:val="false"/>
                  <w:sz w:val="20"/>
                </w:rPr>
                <w:t>Item 5.</w:t>
              </w:r>
            </w:hyperlink>
          </w:p>
        </w:tc>
        <w:tc>
          <w:tcPr>
            <w:tcW w:w="8902" w:type="dxa"/>
            <w:tcBorders/>
            <w:vAlign w:val="center"/>
          </w:tcPr>
          <w:p>
            <w:pPr>
              <w:pStyle w:val="TableContents"/>
              <w:bidi w:val="0"/>
              <w:spacing w:before="0" w:after="0"/>
              <w:ind w:left="0" w:right="0" w:hanging="0"/>
              <w:jc w:val="left"/>
              <w:rPr/>
            </w:pPr>
            <w:hyperlink w:anchor="Item5OtherInformation_958351">
              <w:r>
                <w:rPr>
                  <w:rStyle w:val="InternetLink"/>
                  <w:rFonts w:ascii="Arial;Helvetica;sans-serif" w:hAnsi="Arial;Helvetica;sans-serif"/>
                  <w:b w:val="false"/>
                  <w:i w:val="false"/>
                  <w:caps w:val="false"/>
                  <w:smallCaps w:val="false"/>
                  <w:color w:val="0000FF"/>
                  <w:sz w:val="20"/>
                </w:rPr>
                <w:t>Other Information</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124</w:t>
            </w:r>
          </w:p>
        </w:tc>
      </w:tr>
      <w:tr>
        <w:trPr/>
        <w:tc>
          <w:tcPr>
            <w:tcW w:w="701" w:type="dxa"/>
            <w:tcBorders/>
            <w:vAlign w:val="center"/>
          </w:tcPr>
          <w:p>
            <w:pPr>
              <w:pStyle w:val="TableContents"/>
              <w:bidi w:val="0"/>
              <w:spacing w:before="0" w:after="0"/>
              <w:ind w:left="0" w:right="0" w:hanging="0"/>
              <w:jc w:val="left"/>
              <w:rPr/>
            </w:pPr>
            <w:hyperlink w:anchor="Item6Exhibits_663042">
              <w:r>
                <w:rPr>
                  <w:rStyle w:val="InternetLink"/>
                  <w:rFonts w:ascii="Arial;Helvetica;sans-serif" w:hAnsi="Arial;Helvetica;sans-serif"/>
                  <w:b w:val="false"/>
                  <w:i w:val="false"/>
                  <w:caps w:val="false"/>
                  <w:smallCaps w:val="false"/>
                  <w:sz w:val="20"/>
                </w:rPr>
                <w:t>Item 6.</w:t>
              </w:r>
            </w:hyperlink>
          </w:p>
        </w:tc>
        <w:tc>
          <w:tcPr>
            <w:tcW w:w="8902" w:type="dxa"/>
            <w:tcBorders/>
            <w:vAlign w:val="center"/>
          </w:tcPr>
          <w:p>
            <w:pPr>
              <w:pStyle w:val="TableContents"/>
              <w:bidi w:val="0"/>
              <w:spacing w:before="0" w:after="0"/>
              <w:ind w:left="0" w:right="0" w:hanging="0"/>
              <w:jc w:val="left"/>
              <w:rPr/>
            </w:pPr>
            <w:hyperlink w:anchor="Item6Exhibits_663042">
              <w:r>
                <w:rPr>
                  <w:rStyle w:val="InternetLink"/>
                  <w:rFonts w:ascii="Arial;Helvetica;sans-serif" w:hAnsi="Arial;Helvetica;sans-serif"/>
                  <w:b w:val="false"/>
                  <w:i w:val="false"/>
                  <w:caps w:val="false"/>
                  <w:smallCaps w:val="false"/>
                  <w:color w:val="0000FF"/>
                  <w:sz w:val="20"/>
                </w:rPr>
                <w:t>Exhibits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125</w:t>
            </w:r>
          </w:p>
        </w:tc>
      </w:tr>
      <w:tr>
        <w:trPr/>
        <w:tc>
          <w:tcPr>
            <w:tcW w:w="701" w:type="dxa"/>
            <w:tcBorders/>
            <w:vAlign w:val="center"/>
          </w:tcPr>
          <w:p>
            <w:pPr>
              <w:pStyle w:val="TableContents"/>
              <w:bidi w:val="0"/>
              <w:spacing w:before="0" w:after="0"/>
              <w:ind w:left="0" w:right="0" w:hanging="0"/>
              <w:jc w:val="left"/>
              <w:rPr/>
            </w:pPr>
            <w:r>
              <w:rPr/>
              <w:t>​</w:t>
            </w:r>
          </w:p>
        </w:tc>
        <w:tc>
          <w:tcPr>
            <w:tcW w:w="8902" w:type="dxa"/>
            <w:tcBorders/>
            <w:vAlign w:val="center"/>
          </w:tcPr>
          <w:p>
            <w:pPr>
              <w:pStyle w:val="TableContents"/>
              <w:bidi w:val="0"/>
              <w:spacing w:before="0" w:after="0"/>
              <w:ind w:left="0" w:right="0" w:hanging="0"/>
              <w:jc w:val="left"/>
              <w:rPr/>
            </w:pPr>
            <w:hyperlink w:anchor="Signatures">
              <w:r>
                <w:rPr>
                  <w:rStyle w:val="InternetLink"/>
                  <w:rFonts w:ascii="Arial;Helvetica;sans-serif" w:hAnsi="Arial;Helvetica;sans-serif"/>
                  <w:b w:val="false"/>
                  <w:i w:val="false"/>
                  <w:caps w:val="false"/>
                  <w:smallCaps w:val="false"/>
                  <w:color w:val="0000FF"/>
                  <w:sz w:val="20"/>
                </w:rPr>
                <w:t>Signatures</w:t>
              </w:r>
            </w:hyperlink>
          </w:p>
        </w:tc>
        <w:tc>
          <w:tcPr>
            <w:tcW w:w="60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31" w:name="_3d029957_4a8e_4d29_bbf1_30f7cd5afb78"/>
      <w:bookmarkEnd w:id="31"/>
      <w:r>
        <w:rPr>
          <w:rFonts w:ascii="Arial;Helvetica;sans-serif" w:hAnsi="Arial;Helvetica;sans-serif"/>
          <w:b/>
          <w:sz w:val="20"/>
        </w:rPr>
        <w:t>CAUTIONARY NOTE REGARDING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(“Quarterly Report”), contains forward-looking statements. All statements other than statements of historical facts contained in this Quarterly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Quarterly Report, including without limitation statements regarding: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progress and results of preclinical studies and clinical trials for our product candidates, including our product development plans and strategies;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data collection omissions at any of our clinical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scope and likelihood of regulatory filings and approvals, including final regulatory approval of our product candidates;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benefits and market opportunity for our product candidates and discovery platform;</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the size, scope and design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and strategy with respect to our drug discovery efforts and potential benefits of our discovery platform;</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manufacturing, commercialization, and marketing plans and strategies;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to hire additional personnel and our ability to attract and retain such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of the number of patients who suffer from the diseases we are targeting and potential growth in our target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expectations regarding the approval and use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competitive position and the development and impact of competing therapies that are or may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future events under collaboration and licensing agreements, including potential future payments, as well as our plans and strategies for entering into further collaboration and licensing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rate and degree of market acceptance and clinical utility of product candidates we may develop;</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regarding expenses, future revenue, capital requirements and needs for additional financing;</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future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period over which we estimate our existing cash, cash equivalents and short-term investments will be sufficient to fund our future operating expenses and capital expenditure requirements;</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laws and regulations; and</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geopolitical and macroeconomic factors.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forward-looking statements in this Quarterly Report are only predictions and are based largely on our current expectations and projections about future events and trends that we believe may affect our financial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condition, results of operations, business strategy, short-term and long-term business operations and objectives, and financial needs. These forward-looking statements speak only as of the date of this Quarterly Report and are subject to a number of known and unknown risks, uncertainties, and assumptions, including those described under Part I. Item 2 “Management’s Discussion and Analysis of Financial Condition and Results of Operations” and Part II. Item 1A. “Risk Factors”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The forward-looking statements made in this Quarterly Report relate only to events or information as of the date on which the statements are made in this Quarterly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240"/>
        <w:ind w:left="0" w:right="0" w:hanging="0"/>
        <w:jc w:val="center"/>
        <w:rPr>
          <w:rFonts w:ascii="Arial;Helvetica;sans-serif" w:hAnsi="Arial;Helvetica;sans-serif"/>
          <w:b/>
          <w:sz w:val="20"/>
        </w:rPr>
      </w:pPr>
      <w:bookmarkStart w:id="32" w:name="_40c85615_a1fb_4650_8793_0653a36e01a8"/>
      <w:bookmarkEnd w:id="32"/>
      <w:r>
        <w:rPr>
          <w:rFonts w:ascii="Arial;Helvetica;sans-serif" w:hAnsi="Arial;Helvetica;sans-serif"/>
          <w:b/>
          <w:sz w:val="20"/>
        </w:rPr>
        <w:t>SUMMARY RISK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Our business is subject to numerous risks and uncertainties, including those described in Part II. Item 1A. “Risk Factors” in this Quarterly Report. You should carefully consider these risks and uncertainties when investing in our securities. The principal risks and uncertainties affecting our business include the following: </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operating history, have incurred significant operating losses since our inception and expect to incur significant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approach to the discovery of product candidates based on our technology platform is unproven, and we do not know whether we will be able to develop any products of commercial value.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early in our development efforts and only have three product candidates, GSBR-1290, ANPA-0073 and LTSE-2578,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 </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Any difficulties or delays in the commencement or completion, or termination or suspension, of our planned clinical trials could result in increased costs to us, delay or limit our ability to generate revenue and adversely affect our commercial prospects.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As an organization, we have never conducted later-stage clinical trials or submitted a New Drug Application (“NDA”), and may be unable to do so for any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existing discovery collaborations with Schrödinger, LLC (together with its affiliates, “Schrödinger”) are important to our business. If we are unable to maintain these collaborations, or if these collaborations are not successful, our business could be adversely affected.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face substantial competition, which may result in others discovering, developing or commercializing products before or more successfully than us. </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political and economic policies or in relations between China and the United States may affect our business, financial condition, results of operations and the market price of our ADSs.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120"/>
        <w:ind w:left="0" w:right="0" w:hanging="0"/>
        <w:jc w:val="center"/>
        <w:rPr>
          <w:rFonts w:ascii="Arial;Helvetica;sans-serif" w:hAnsi="Arial;Helvetica;sans-serif"/>
          <w:b/>
          <w:sz w:val="20"/>
        </w:rPr>
      </w:pPr>
      <w:bookmarkStart w:id="33" w:name="_64f66208_c5d2_4f70_91f0_1e7ef687eb8f"/>
      <w:bookmarkEnd w:id="33"/>
      <w:r>
        <w:rPr>
          <w:rFonts w:ascii="Arial;Helvetica;sans-serif" w:hAnsi="Arial;Helvetica;sans-serif"/>
          <w:b/>
          <w:sz w:val="20"/>
        </w:rPr>
        <w:t>PART I. FINANCIAL INFORMATION</w:t>
      </w:r>
    </w:p>
    <w:p>
      <w:pPr>
        <w:pStyle w:val="TextBody"/>
        <w:bidi w:val="0"/>
        <w:spacing w:lineRule="atLeast" w:line="200" w:before="0" w:after="120"/>
        <w:ind w:left="0" w:right="0" w:hanging="0"/>
        <w:jc w:val="left"/>
        <w:rPr>
          <w:rFonts w:ascii="Arial;Helvetica;sans-serif" w:hAnsi="Arial;Helvetica;sans-serif"/>
          <w:b/>
          <w:sz w:val="20"/>
        </w:rPr>
      </w:pPr>
      <w:bookmarkStart w:id="34" w:name="_ada8da91_6456_48af_8c68_6d7e0552dd13"/>
      <w:bookmarkStart w:id="35" w:name="PARTI_353810"/>
      <w:bookmarkEnd w:id="34"/>
      <w:bookmarkEnd w:id="35"/>
      <w:r>
        <w:rPr>
          <w:rFonts w:ascii="Arial;Helvetica;sans-serif" w:hAnsi="Arial;Helvetica;sans-serif"/>
          <w:b/>
          <w:sz w:val="20"/>
        </w:rPr>
        <w:t>Item 1. Financial Statements (Unaudited).</w:t>
      </w:r>
    </w:p>
    <w:p>
      <w:pPr>
        <w:pStyle w:val="TextBody"/>
        <w:bidi w:val="0"/>
        <w:spacing w:lineRule="atLeast" w:line="180" w:before="0" w:after="120"/>
        <w:ind w:left="0" w:right="0" w:hanging="0"/>
        <w:jc w:val="center"/>
        <w:rPr>
          <w:rFonts w:ascii="Arial;Helvetica;sans-serif" w:hAnsi="Arial;Helvetica;sans-serif"/>
          <w:b/>
          <w:sz w:val="20"/>
        </w:rPr>
      </w:pPr>
      <w:bookmarkStart w:id="36" w:name="_de61b137_a9c5_492c_960e_78f4e768feb5"/>
      <w:bookmarkStart w:id="37" w:name="Item1FinancialStatementsUnaudited_11211"/>
      <w:bookmarkEnd w:id="36"/>
      <w:bookmarkEnd w:id="37"/>
      <w:r>
        <w:rPr>
          <w:rFonts w:ascii="Arial;Helvetica;sans-serif" w:hAnsi="Arial;Helvetica;sans-serif"/>
          <w:b/>
          <w:sz w:val="20"/>
        </w:rPr>
        <w:t>STRUCTURE THERAPEUTICS INC.</w:t>
      </w:r>
    </w:p>
    <w:p>
      <w:pPr>
        <w:pStyle w:val="TextBody"/>
        <w:bidi w:val="0"/>
        <w:spacing w:lineRule="atLeast" w:line="200" w:before="0" w:after="0"/>
        <w:ind w:left="0" w:right="0" w:hanging="0"/>
        <w:jc w:val="center"/>
        <w:rPr>
          <w:rFonts w:ascii="Arial;Helvetica;sans-serif" w:hAnsi="Arial;Helvetica;sans-serif"/>
          <w:b/>
          <w:sz w:val="20"/>
        </w:rPr>
      </w:pPr>
      <w:bookmarkStart w:id="38" w:name="CONDENSEDCONSOLIDATEDBALANCESHEETS_30939"/>
      <w:bookmarkEnd w:id="38"/>
      <w:r>
        <w:rPr>
          <w:rFonts w:ascii="Arial;Helvetica;sans-serif" w:hAnsi="Arial;Helvetica;sans-serif"/>
          <w:b/>
          <w:sz w:val="20"/>
        </w:rPr>
        <w:t>CONDENSED CONSOLIDATED BALANCE SHEETS</w:t>
      </w:r>
    </w:p>
    <w:p>
      <w:pPr>
        <w:pStyle w:val="TextBody"/>
        <w:bidi w:val="0"/>
        <w:spacing w:lineRule="atLeast" w:line="200" w:before="0" w:after="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p>
      <w:pPr>
        <w:pStyle w:val="TextBody"/>
        <w:bidi w:val="0"/>
        <w:spacing w:lineRule="atLeast" w:line="200" w:before="0" w:after="12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39" w:name="Tc_rQEZE4hjsEau9z74Lt3tSA_31_5"/>
      <w:bookmarkStart w:id="40" w:name="Tc_POMkaHXSKEmqH0giqZXR3A_31_2"/>
      <w:bookmarkStart w:id="41" w:name="Tc_XBWFGzz2LkC1MYArFKSZxg_31_0"/>
      <w:bookmarkStart w:id="42" w:name="Tc_b82WCcrWXkuvMIGzZ-Smxg_30_0"/>
      <w:bookmarkStart w:id="43" w:name="Tc_y0O1TEVOZU-rrGNyIZ9wcg_29_0"/>
      <w:bookmarkStart w:id="44" w:name="Tc_RjrS1DNKwE2xSoEzGGDveQ_28_0"/>
      <w:bookmarkStart w:id="45" w:name="Tc_Q7SZajdy00KrZ-mN7ik4dg_27_0"/>
      <w:bookmarkStart w:id="46" w:name="Tc_YsqLkXNlpU-DptyX_SJS2w_26_0"/>
      <w:bookmarkStart w:id="47" w:name="Tc_fgzl8YOYBUm347EJnzaQ_g_25_0"/>
      <w:bookmarkStart w:id="48" w:name="Tc_2dNaHWvDxkmNUPA3sKNjbw_24_0"/>
      <w:bookmarkStart w:id="49" w:name="Tc_3qEtmHYWakyxbEPwoPRa7Q_23_0"/>
      <w:bookmarkStart w:id="50" w:name="Tc_oawHHo_Qr0W71NZuHSqxpQ_22_0"/>
      <w:bookmarkStart w:id="51" w:name="Tc_IC0_vaCBuE6P-24qaPDB9g_21_0"/>
      <w:bookmarkStart w:id="52" w:name="Tc_6116O8GSp0S_1e7g37spqw_20_0"/>
      <w:bookmarkStart w:id="53" w:name="Tc_-NwhEOU-mUeMsFAjM-P8kw_19_0"/>
      <w:bookmarkStart w:id="54" w:name="Tc__trbDxU_DkCgu8IqlMjv1A_18_0"/>
      <w:bookmarkStart w:id="55" w:name="Tc_2mO6gRMemky2X86Wid4YkA_17_0"/>
      <w:bookmarkStart w:id="56" w:name="Tc_J_9M284h6U-B77RyT3iCIg_16_5"/>
      <w:bookmarkStart w:id="57" w:name="Tc_jMjw0luDtUCA5sqlU6yo-g_16_2"/>
      <w:bookmarkStart w:id="58" w:name="Tc_3sCxotKUIku-JZdI1ITEjg_16_0"/>
      <w:bookmarkStart w:id="59" w:name="Tc_qUPyWI_cL0KA5cjSBkHZHQ_15_0"/>
      <w:bookmarkStart w:id="60" w:name="Tc_dHZpRzAndUOYqCNIbH-CNA_14_0"/>
      <w:bookmarkStart w:id="61" w:name="Tc_5XsaVthpbUuG00d9oUw-Cw_13_5"/>
      <w:bookmarkStart w:id="62" w:name="Tc_f4jtGmJoSkC4W5fY2ZK65Q_13_2"/>
      <w:bookmarkStart w:id="63" w:name="Tc_6by9hynIJky3lu-ywAra0Q_13_0"/>
      <w:bookmarkStart w:id="64" w:name="Tc_Wym8N4OMyEi0XQeoZHnviw_12_0"/>
      <w:bookmarkStart w:id="65" w:name="Tc_GgFcSPk_WUOAyI6FoWjIfw_11_0"/>
      <w:bookmarkStart w:id="66" w:name="Tc_jGzuHzHkLE6uuu4cpzOosw_10_0"/>
      <w:bookmarkStart w:id="67" w:name="Tc_DxzulkcEGUidDXLvjP5g5w_9_0"/>
      <w:bookmarkStart w:id="68" w:name="Tc_uJz2eRLE-k-e4IW_MHwFJA_8_0"/>
      <w:bookmarkStart w:id="69" w:name="Tc_M_UN_IwopUGyxbB8__hktg_7_0"/>
      <w:bookmarkStart w:id="70" w:name="Tc_CpuugvhqHECmdmMlkI_Zjg_6_5"/>
      <w:bookmarkStart w:id="71" w:name="Tc_RbIO4zp2i0-nnBNSuaJXng_6_2"/>
      <w:bookmarkStart w:id="72" w:name="Tc_ltVMsQS2XUGqumccaQQbgA_6_0"/>
      <w:bookmarkStart w:id="73" w:name="Tc_nz2_4etle0K0jmuD3TZuZA_5_0"/>
      <w:bookmarkStart w:id="74" w:name="Tc_nEgLn1t9c0e2STdLOtpv6Q_4_0"/>
      <w:bookmarkStart w:id="75" w:name="Tc_SQ_wfC77KU2HRrNTVus3FA_3_5"/>
      <w:bookmarkStart w:id="76" w:name="Tc_1Y2zyl3dXkamQNSTHi3EfQ_3_2"/>
      <w:bookmarkStart w:id="77" w:name="Tc_egMignwrlE-ZujNYfiWdGw_2_5"/>
      <w:bookmarkStart w:id="78" w:name="Tc_m8V1bozI80eg7K2Z6uHkhQ_2_2"/>
      <w:bookmarkStart w:id="79" w:name="_3c60ef73_b047_4ca0_b857_1e4f62ddf7ce"/>
      <w:bookmarkStart w:id="80" w:name="Tc_rQEZE4hjsEau9z74Lt3tSA_31_5"/>
      <w:bookmarkStart w:id="81" w:name="Tc_POMkaHXSKEmqH0giqZXR3A_31_2"/>
      <w:bookmarkStart w:id="82" w:name="Tc_XBWFGzz2LkC1MYArFKSZxg_31_0"/>
      <w:bookmarkStart w:id="83" w:name="Tc_b82WCcrWXkuvMIGzZ-Smxg_30_0"/>
      <w:bookmarkStart w:id="84" w:name="Tc_y0O1TEVOZU-rrGNyIZ9wcg_29_0"/>
      <w:bookmarkStart w:id="85" w:name="Tc_RjrS1DNKwE2xSoEzGGDveQ_28_0"/>
      <w:bookmarkStart w:id="86" w:name="Tc_Q7SZajdy00KrZ-mN7ik4dg_27_0"/>
      <w:bookmarkStart w:id="87" w:name="Tc_YsqLkXNlpU-DptyX_SJS2w_26_0"/>
      <w:bookmarkStart w:id="88" w:name="Tc_fgzl8YOYBUm347EJnzaQ_g_25_0"/>
      <w:bookmarkStart w:id="89" w:name="Tc_2dNaHWvDxkmNUPA3sKNjbw_24_0"/>
      <w:bookmarkStart w:id="90" w:name="Tc_3qEtmHYWakyxbEPwoPRa7Q_23_0"/>
      <w:bookmarkStart w:id="91" w:name="Tc_oawHHo_Qr0W71NZuHSqxpQ_22_0"/>
      <w:bookmarkStart w:id="92" w:name="Tc_IC0_vaCBuE6P-24qaPDB9g_21_0"/>
      <w:bookmarkStart w:id="93" w:name="Tc_6116O8GSp0S_1e7g37spqw_20_0"/>
      <w:bookmarkStart w:id="94" w:name="Tc_-NwhEOU-mUeMsFAjM-P8kw_19_0"/>
      <w:bookmarkStart w:id="95" w:name="Tc__trbDxU_DkCgu8IqlMjv1A_18_0"/>
      <w:bookmarkStart w:id="96" w:name="Tc_2mO6gRMemky2X86Wid4YkA_17_0"/>
      <w:bookmarkStart w:id="97" w:name="Tc_J_9M284h6U-B77RyT3iCIg_16_5"/>
      <w:bookmarkStart w:id="98" w:name="Tc_jMjw0luDtUCA5sqlU6yo-g_16_2"/>
      <w:bookmarkStart w:id="99" w:name="Tc_3sCxotKUIku-JZdI1ITEjg_16_0"/>
      <w:bookmarkStart w:id="100" w:name="Tc_qUPyWI_cL0KA5cjSBkHZHQ_15_0"/>
      <w:bookmarkStart w:id="101" w:name="Tc_dHZpRzAndUOYqCNIbH-CNA_14_0"/>
      <w:bookmarkStart w:id="102" w:name="Tc_5XsaVthpbUuG00d9oUw-Cw_13_5"/>
      <w:bookmarkStart w:id="103" w:name="Tc_f4jtGmJoSkC4W5fY2ZK65Q_13_2"/>
      <w:bookmarkStart w:id="104" w:name="Tc_6by9hynIJky3lu-ywAra0Q_13_0"/>
      <w:bookmarkStart w:id="105" w:name="Tc_Wym8N4OMyEi0XQeoZHnviw_12_0"/>
      <w:bookmarkStart w:id="106" w:name="Tc_GgFcSPk_WUOAyI6FoWjIfw_11_0"/>
      <w:bookmarkStart w:id="107" w:name="Tc_jGzuHzHkLE6uuu4cpzOosw_10_0"/>
      <w:bookmarkStart w:id="108" w:name="Tc_DxzulkcEGUidDXLvjP5g5w_9_0"/>
      <w:bookmarkStart w:id="109" w:name="Tc_uJz2eRLE-k-e4IW_MHwFJA_8_0"/>
      <w:bookmarkStart w:id="110" w:name="Tc_M_UN_IwopUGyxbB8__hktg_7_0"/>
      <w:bookmarkStart w:id="111" w:name="Tc_CpuugvhqHECmdmMlkI_Zjg_6_5"/>
      <w:bookmarkStart w:id="112" w:name="Tc_RbIO4zp2i0-nnBNSuaJXng_6_2"/>
      <w:bookmarkStart w:id="113" w:name="Tc_ltVMsQS2XUGqumccaQQbgA_6_0"/>
      <w:bookmarkStart w:id="114" w:name="Tc_nz2_4etle0K0jmuD3TZuZA_5_0"/>
      <w:bookmarkStart w:id="115" w:name="Tc_nEgLn1t9c0e2STdLOtpv6Q_4_0"/>
      <w:bookmarkStart w:id="116" w:name="Tc_SQ_wfC77KU2HRrNTVus3FA_3_5"/>
      <w:bookmarkStart w:id="117" w:name="Tc_1Y2zyl3dXkamQNSTHi3EfQ_3_2"/>
      <w:bookmarkStart w:id="118" w:name="Tc_egMignwrlE-ZujNYfiWdGw_2_5"/>
      <w:bookmarkStart w:id="119" w:name="Tc_m8V1bozI80eg7K2Z6uHkhQ_2_2"/>
      <w:bookmarkStart w:id="120" w:name="_3c60ef73_b047_4ca0_b857_1e4f62ddf7ce"/>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10205" w:type="dxa"/>
        <w:jc w:val="left"/>
        <w:tblInd w:w="0" w:type="dxa"/>
        <w:tblLayout w:type="fixed"/>
        <w:tblCellMar>
          <w:top w:w="0" w:type="dxa"/>
          <w:left w:w="0" w:type="dxa"/>
          <w:bottom w:w="0" w:type="dxa"/>
          <w:right w:w="0" w:type="dxa"/>
        </w:tblCellMar>
      </w:tblPr>
      <w:tblGrid>
        <w:gridCol w:w="6931"/>
        <w:gridCol w:w="266"/>
        <w:gridCol w:w="211"/>
        <w:gridCol w:w="931"/>
        <w:gridCol w:w="266"/>
        <w:gridCol w:w="257"/>
        <w:gridCol w:w="1031"/>
        <w:gridCol w:w="312"/>
      </w:tblGrid>
      <w:tr>
        <w:trPr/>
        <w:tc>
          <w:tcPr>
            <w:tcW w:w="6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01185" cy="175260"/>
                      <wp:effectExtent l="0" t="0" r="0" b="0"/>
                      <wp:wrapNone/>
                      <wp:docPr id="10" name="Frame10"/>
                      <a:graphic xmlns:a="http://schemas.openxmlformats.org/drawingml/2006/main">
                        <a:graphicData uri="http://schemas.microsoft.com/office/word/2010/wordprocessingShape">
                          <wps:wsp>
                            <wps:cNvSpPr txBox="1"/>
                            <wps:spPr>
                              <a:xfrm>
                                <a:off x="0" y="0"/>
                                <a:ext cx="440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8910" cy="175260"/>
                      <wp:effectExtent l="0" t="0" r="0" b="0"/>
                      <wp:wrapNone/>
                      <wp:docPr id="11" name="Frame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3"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8910" cy="175260"/>
                      <wp:effectExtent l="0" t="0" r="0" b="0"/>
                      <wp:wrapNone/>
                      <wp:docPr id="14" name="Frame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3195" cy="175260"/>
                      <wp:effectExtent l="0" t="0" r="0" b="0"/>
                      <wp:wrapNone/>
                      <wp:docPr id="15" name="Frame1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4685" cy="175260"/>
                      <wp:effectExtent l="0" t="0" r="0" b="0"/>
                      <wp:wrapNone/>
                      <wp:docPr id="16" name="Frame16"/>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98120" cy="175260"/>
                      <wp:effectExtent l="0" t="0" r="0" b="0"/>
                      <wp:wrapNone/>
                      <wp:docPr id="17" name="Frame1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3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6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93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6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57"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3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1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266" w:type="dxa"/>
            <w:tcBorders/>
            <w:vAlign w:val="center"/>
          </w:tcPr>
          <w:p>
            <w:pPr>
              <w:pStyle w:val="TableContents"/>
              <w:bidi w:val="0"/>
              <w:spacing w:before="0" w:after="1"/>
              <w:ind w:left="0" w:right="0" w:hanging="0"/>
              <w:jc w:val="left"/>
              <w:rPr/>
            </w:pPr>
            <w:r>
              <w:rPr/>
              <w:t>​</w:t>
            </w:r>
          </w:p>
        </w:tc>
        <w:tc>
          <w:tcPr>
            <w:tcW w:w="1288"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266" w:type="dxa"/>
            <w:tcBorders/>
            <w:vAlign w:val="center"/>
          </w:tcPr>
          <w:p>
            <w:pPr>
              <w:pStyle w:val="TableContents"/>
              <w:bidi w:val="0"/>
              <w:spacing w:before="0" w:after="1"/>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12" w:type="dxa"/>
            <w:tcBorders/>
            <w:vAlign w:val="center"/>
          </w:tcPr>
          <w:p>
            <w:pPr>
              <w:pStyle w:val="TableContents"/>
              <w:bidi w:val="0"/>
              <w:spacing w:before="0" w:after="1"/>
              <w:ind w:left="0" w:right="0" w:hanging="0"/>
              <w:jc w:val="left"/>
              <w:rPr/>
            </w:pPr>
            <w:r>
              <w:rPr/>
              <w:t>   </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Assets</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assets:</w:t>
            </w:r>
          </w:p>
        </w:tc>
        <w:tc>
          <w:tcPr>
            <w:tcW w:w="26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 </w:t>
            </w:r>
          </w:p>
        </w:tc>
        <w:tc>
          <w:tcPr>
            <w:tcW w:w="257"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  </w:t>
            </w:r>
          </w:p>
        </w:tc>
        <w:tc>
          <w:tcPr>
            <w:tcW w:w="312" w:type="dxa"/>
            <w:tcBorders/>
            <w:vAlign w:val="center"/>
          </w:tcPr>
          <w:p>
            <w:pPr>
              <w:pStyle w:val="TableContents"/>
              <w:bidi w:val="0"/>
              <w:spacing w:before="0" w:after="1"/>
              <w:ind w:left="0" w:right="0" w:hanging="0"/>
              <w:jc w:val="left"/>
              <w:rPr/>
            </w:pPr>
            <w:r>
              <w:rPr/>
              <w:t> </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381,627</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129,792</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Short-term investments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545,492</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337,531</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10,502</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6,285</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assets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937,621</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473,608</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3,315</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3,228</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right-of-use assets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4,267</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5,136</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1,826</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assets</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947,029</w:t>
            </w:r>
          </w:p>
        </w:tc>
        <w:tc>
          <w:tcPr>
            <w:tcW w:w="26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482,017</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Liabilities and shareholders’ equity</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pPr>
            <w:r>
              <w:rPr/>
              <w:t>  </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pPr>
            <w:r>
              <w:rPr/>
              <w:t>  </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2,209</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4,742</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 and other current liabilities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18,821</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18,558</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 current portion</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1,629</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1,440</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liabilities</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22,659</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24,740</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 net of current portion</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3,045</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4,013</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liabilities</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293</w:t>
            </w:r>
          </w:p>
        </w:tc>
        <w:tc>
          <w:tcPr>
            <w:tcW w:w="26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298</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25,997</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29,051</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Commitments and contingencies (Note 5)</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pPr>
            <w:r>
              <w:rPr/>
              <w:t>  </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Shareholders’ equity:</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pPr>
            <w:r>
              <w:rPr/>
              <w:t>  </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Undesignated shares – $0.0001 par value; 100,000 shares authorized as of June 30, 2024 and December 31, 2023</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18"/>
              </w:rPr>
              <w:t>Ordinary shares – $0.0001</w:t>
            </w:r>
            <w:r>
              <w:rPr>
                <w:rFonts w:ascii="Arial;Helvetica;sans-serif" w:hAnsi="Arial;Helvetica;sans-serif"/>
                <w:sz w:val="20"/>
              </w:rPr>
              <w:t xml:space="preserve"> </w:t>
            </w:r>
            <w:r>
              <w:rPr>
                <w:rFonts w:ascii="Arial;Helvetica;sans-serif" w:hAnsi="Arial;Helvetica;sans-serif"/>
                <w:sz w:val="18"/>
              </w:rPr>
              <w:t>par value; 500,000</w:t>
            </w:r>
            <w:r>
              <w:rPr>
                <w:rFonts w:ascii="Arial;Helvetica;sans-serif" w:hAnsi="Arial;Helvetica;sans-serif"/>
                <w:sz w:val="20"/>
              </w:rPr>
              <w:t xml:space="preserve"> </w:t>
            </w:r>
            <w:r>
              <w:rPr>
                <w:rFonts w:ascii="Arial;Helvetica;sans-serif" w:hAnsi="Arial;Helvetica;sans-serif"/>
                <w:sz w:val="18"/>
              </w:rPr>
              <w:t>shares authorized as of June 30, 2024 and December 31, 2023; 171,589</w:t>
            </w:r>
            <w:r>
              <w:rPr>
                <w:rFonts w:ascii="Arial;Helvetica;sans-serif" w:hAnsi="Arial;Helvetica;sans-serif"/>
                <w:sz w:val="20"/>
              </w:rPr>
              <w:t xml:space="preserve"> </w:t>
            </w:r>
            <w:r>
              <w:rPr>
                <w:rFonts w:ascii="Arial;Helvetica;sans-serif" w:hAnsi="Arial;Helvetica;sans-serif"/>
                <w:sz w:val="18"/>
              </w:rPr>
              <w:t>and 139,220</w:t>
            </w:r>
            <w:r>
              <w:rPr>
                <w:rFonts w:ascii="Arial;Helvetica;sans-serif" w:hAnsi="Arial;Helvetica;sans-serif"/>
                <w:sz w:val="20"/>
              </w:rPr>
              <w:t xml:space="preserve"> </w:t>
            </w:r>
            <w:r>
              <w:rPr>
                <w:rFonts w:ascii="Arial;Helvetica;sans-serif" w:hAnsi="Arial;Helvetica;sans-serif"/>
                <w:sz w:val="18"/>
              </w:rPr>
              <w:t xml:space="preserve">shares </w:t>
            </w:r>
            <w:r>
              <w:rPr>
                <w:rFonts w:ascii="Arial;Helvetica;sans-serif" w:hAnsi="Arial;Helvetica;sans-serif"/>
                <w:b w:val="false"/>
                <w:i w:val="false"/>
                <w:caps w:val="false"/>
                <w:smallCaps w:val="false"/>
                <w:sz w:val="18"/>
              </w:rPr>
              <w:t>issued</w:t>
            </w:r>
            <w:r>
              <w:rPr>
                <w:rFonts w:ascii="Arial;Helvetica;sans-serif" w:hAnsi="Arial;Helvetica;sans-serif"/>
                <w:sz w:val="20"/>
              </w:rPr>
              <w:t xml:space="preserve"> </w:t>
            </w:r>
            <w:r>
              <w:rPr>
                <w:rFonts w:ascii="Arial;Helvetica;sans-serif" w:hAnsi="Arial;Helvetica;sans-serif"/>
                <w:sz w:val="18"/>
              </w:rPr>
              <w:t xml:space="preserve">and </w:t>
            </w:r>
            <w:r>
              <w:rPr>
                <w:rFonts w:ascii="Arial;Helvetica;sans-serif" w:hAnsi="Arial;Helvetica;sans-serif"/>
                <w:b w:val="false"/>
                <w:i w:val="false"/>
                <w:caps w:val="false"/>
                <w:smallCaps w:val="false"/>
                <w:sz w:val="18"/>
              </w:rPr>
              <w:t>outstanding</w:t>
            </w:r>
            <w:r>
              <w:rPr>
                <w:rFonts w:ascii="Arial;Helvetica;sans-serif" w:hAnsi="Arial;Helvetica;sans-serif"/>
                <w:sz w:val="20"/>
              </w:rPr>
              <w:t xml:space="preserve"> </w:t>
            </w:r>
            <w:r>
              <w:rPr>
                <w:rFonts w:ascii="Arial;Helvetica;sans-serif" w:hAnsi="Arial;Helvetica;sans-serif"/>
                <w:sz w:val="18"/>
              </w:rPr>
              <w:t>as of June 30, 2024 and December 31, 2023, respectively</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Additional paid-in capital</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1,180,144</w:t>
            </w:r>
          </w:p>
        </w:tc>
        <w:tc>
          <w:tcPr>
            <w:tcW w:w="26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659,003</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other comprehensive (loss) income</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(487)</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521</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deficit</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(258,642)</w:t>
            </w:r>
          </w:p>
        </w:tc>
        <w:tc>
          <w:tcPr>
            <w:tcW w:w="26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(206,572)</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shareholders’ equity</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921,032</w:t>
            </w:r>
          </w:p>
        </w:tc>
        <w:tc>
          <w:tcPr>
            <w:tcW w:w="26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452,966</w:t>
            </w:r>
          </w:p>
        </w:tc>
        <w:tc>
          <w:tcPr>
            <w:tcW w:w="312" w:type="dxa"/>
            <w:tcBorders/>
            <w:shd w:fill="CCEEFF" w:val="clear"/>
            <w:vAlign w:val="center"/>
          </w:tcPr>
          <w:p>
            <w:pPr>
              <w:pStyle w:val="TableContents"/>
              <w:bidi w:val="0"/>
              <w:spacing w:before="0" w:after="1"/>
              <w:ind w:left="0" w:right="0" w:hanging="0"/>
              <w:jc w:val="left"/>
              <w:rPr/>
            </w:pPr>
            <w:r>
              <w:rPr/>
              <w:t>​</w:t>
            </w:r>
          </w:p>
        </w:tc>
      </w:tr>
      <w:tr>
        <w:trPr/>
        <w:tc>
          <w:tcPr>
            <w:tcW w:w="69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 and shareholders’ equity</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947,029</w:t>
            </w:r>
          </w:p>
        </w:tc>
        <w:tc>
          <w:tcPr>
            <w:tcW w:w="26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482,017</w:t>
            </w:r>
          </w:p>
        </w:tc>
        <w:tc>
          <w:tcPr>
            <w:tcW w:w="312" w:type="dxa"/>
            <w:tcBorders/>
            <w:vAlign w:val="center"/>
          </w:tcPr>
          <w:p>
            <w:pPr>
              <w:pStyle w:val="TableContents"/>
              <w:bidi w:val="0"/>
              <w:spacing w:before="0" w:after="1"/>
              <w:ind w:left="0" w:right="0" w:hanging="0"/>
              <w:jc w:val="left"/>
              <w:rPr/>
            </w:pPr>
            <w:r>
              <w:rPr/>
              <w:t>​</w:t>
            </w:r>
          </w:p>
        </w:tc>
      </w:tr>
      <w:tr>
        <w:trPr/>
        <w:tc>
          <w:tcPr>
            <w:tcW w:w="69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lineRule="atLeast" w:line="200" w:before="12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1" w:name="_b2f4e684_4a23_428a_aae8_81ccb2096d8b"/>
      <w:bookmarkEnd w:id="121"/>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122" w:name="STATEMENTSOFOPERATIONSANDCOMPREHENSIVELO"/>
      <w:bookmarkStart w:id="123" w:name="SOCI"/>
      <w:bookmarkEnd w:id="122"/>
      <w:bookmarkEnd w:id="123"/>
      <w:r>
        <w:rPr>
          <w:rFonts w:ascii="Arial;Helvetica;sans-serif" w:hAnsi="Arial;Helvetica;sans-serif"/>
          <w:b/>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124" w:name="Tc_hzummzCcNE20wzK5Fz2wrA_19_11"/>
      <w:bookmarkStart w:id="125" w:name="Tc_0R9XoKcgJEWUiOn2APsRYg_19_8"/>
      <w:bookmarkStart w:id="126" w:name="Tc_QJPzT88lckyEa4Z5P9e3YA_19_5"/>
      <w:bookmarkStart w:id="127" w:name="Tc_wzbNMKqz-UWde8y01kInKA_19_2"/>
      <w:bookmarkStart w:id="128" w:name="Tc_H32wttQzaUKB_1YzOIfiHw_19_0"/>
      <w:bookmarkStart w:id="129" w:name="Tc_k5pqQRmfyUuv2y2qrwnQ8Q_18_0"/>
      <w:bookmarkStart w:id="130" w:name="Tc_aWY_CbVpi0OsFkGovOa3HA_17_0"/>
      <w:bookmarkStart w:id="131" w:name="Tc_v7qcE5drX06b1JHtzCpahA_16_0"/>
      <w:bookmarkStart w:id="132" w:name="Tc_VF_sLelQQkepY_10Hpu2sw_15_0"/>
      <w:bookmarkStart w:id="133" w:name="Tc__4gFhsl4wUq7950JO29faA_14_11"/>
      <w:bookmarkStart w:id="134" w:name="Tc_oz-228r5uU2idGA4JWM36g_14_8"/>
      <w:bookmarkStart w:id="135" w:name="Tc_99nO3ASwfk2YvWkFbgHFjA_14_5"/>
      <w:bookmarkStart w:id="136" w:name="Tc_5ET_ZnUDuECC5R5tTxAFRg_14_2"/>
      <w:bookmarkStart w:id="137" w:name="Tc_IWbMEeQRHUKomWVh-nVQeQ_14_0"/>
      <w:bookmarkStart w:id="138" w:name="Tc_dCzFLfaK-U2_S2eCeATmmQ_13_11"/>
      <w:bookmarkStart w:id="139" w:name="Tc_b7CLI0szhEm5bHn598XQfw_13_8"/>
      <w:bookmarkStart w:id="140" w:name="Tc_e0hopJwFgEO1VsRn8-z_0w_13_5"/>
      <w:bookmarkStart w:id="141" w:name="Tc_IGzZranAA0ysxfOzdk6rLw_13_2"/>
      <w:bookmarkStart w:id="142" w:name="Tc__O31_FEffUaaeERpiDU7-g_13_0"/>
      <w:bookmarkStart w:id="143" w:name="Tc_gS2g7-TWnk6w3jExy-WCPA_12_0"/>
      <w:bookmarkStart w:id="144" w:name="Tc_M4xiBc3qq0qKQp5OAobYnA_11_0"/>
      <w:bookmarkStart w:id="145" w:name="Tc_Uor08CdLW0uVw9MvVVOhjw_10_0"/>
      <w:bookmarkStart w:id="146" w:name="Tc_MgfPoEiRL0SQe0sgjl5G-g_9_0"/>
      <w:bookmarkStart w:id="147" w:name="Tc_nMlX5Aid50upoWzYpcSg-A_8_0"/>
      <w:bookmarkStart w:id="148" w:name="Tc_lAK-Yo08d0u7CVVW3j48JQ_7_0"/>
      <w:bookmarkStart w:id="149" w:name="Tc_ArzH0Cr4xkuDcqM9YdEU-g_6_11"/>
      <w:bookmarkStart w:id="150" w:name="Tc_0BzyXGFndEitPbE5JzN_2A_6_8"/>
      <w:bookmarkStart w:id="151" w:name="Tc_mY4YhqOtmk2UG17Xts6VvA_6_5"/>
      <w:bookmarkStart w:id="152" w:name="Tc_aXWCtYu6WkOP3icGJ1dGKA_6_2"/>
      <w:bookmarkStart w:id="153" w:name="Tc_4Oysr7NtT0y3KS8Ebcp2WQ_6_0"/>
      <w:bookmarkStart w:id="154" w:name="Tc_2tgu_z8G7ESb-MQ4MHZZnQ_5_0"/>
      <w:bookmarkStart w:id="155" w:name="Tc_q63WcBT_8kmtwROZeNau7w_4_11"/>
      <w:bookmarkStart w:id="156" w:name="Tc_HDX-UvJcj0mfSklistVp5w_4_9"/>
      <w:bookmarkStart w:id="157" w:name="Tc_4z5y2DS9VE-pzDMJT_SRzg_4_5"/>
      <w:bookmarkStart w:id="158" w:name="Tc_kQc6PrCC3keAZyf37Y0pqg_4_3"/>
      <w:bookmarkStart w:id="159" w:name="Tc_hkKme2pWFkqXeliBH3aLZw_3_8"/>
      <w:bookmarkStart w:id="160" w:name="Tc_tbahwLOMDUWluAuH3TuwOg_3_2"/>
      <w:bookmarkStart w:id="161" w:name="Tc_KzY6FdaON0Oi4JJomuJOTQ_2_8"/>
      <w:bookmarkStart w:id="162" w:name="Tc_aXcUX8IfzEqde7TFgVk9NA_2_2"/>
      <w:bookmarkStart w:id="163" w:name="_9e293b23_00e9_4a9a_8695_534c053a7bd2"/>
      <w:bookmarkStart w:id="164" w:name="_7dfdcdbc_3661_484e_8fc9_d481c3b8ceea"/>
      <w:bookmarkStart w:id="165" w:name="Tc_hzummzCcNE20wzK5Fz2wrA_19_11"/>
      <w:bookmarkStart w:id="166" w:name="Tc_0R9XoKcgJEWUiOn2APsRYg_19_8"/>
      <w:bookmarkStart w:id="167" w:name="Tc_QJPzT88lckyEa4Z5P9e3YA_19_5"/>
      <w:bookmarkStart w:id="168" w:name="Tc_wzbNMKqz-UWde8y01kInKA_19_2"/>
      <w:bookmarkStart w:id="169" w:name="Tc_H32wttQzaUKB_1YzOIfiHw_19_0"/>
      <w:bookmarkStart w:id="170" w:name="Tc_k5pqQRmfyUuv2y2qrwnQ8Q_18_0"/>
      <w:bookmarkStart w:id="171" w:name="Tc_aWY_CbVpi0OsFkGovOa3HA_17_0"/>
      <w:bookmarkStart w:id="172" w:name="Tc_v7qcE5drX06b1JHtzCpahA_16_0"/>
      <w:bookmarkStart w:id="173" w:name="Tc_VF_sLelQQkepY_10Hpu2sw_15_0"/>
      <w:bookmarkStart w:id="174" w:name="Tc__4gFhsl4wUq7950JO29faA_14_11"/>
      <w:bookmarkStart w:id="175" w:name="Tc_oz-228r5uU2idGA4JWM36g_14_8"/>
      <w:bookmarkStart w:id="176" w:name="Tc_99nO3ASwfk2YvWkFbgHFjA_14_5"/>
      <w:bookmarkStart w:id="177" w:name="Tc_5ET_ZnUDuECC5R5tTxAFRg_14_2"/>
      <w:bookmarkStart w:id="178" w:name="Tc_IWbMEeQRHUKomWVh-nVQeQ_14_0"/>
      <w:bookmarkStart w:id="179" w:name="Tc_dCzFLfaK-U2_S2eCeATmmQ_13_11"/>
      <w:bookmarkStart w:id="180" w:name="Tc_b7CLI0szhEm5bHn598XQfw_13_8"/>
      <w:bookmarkStart w:id="181" w:name="Tc_e0hopJwFgEO1VsRn8-z_0w_13_5"/>
      <w:bookmarkStart w:id="182" w:name="Tc_IGzZranAA0ysxfOzdk6rLw_13_2"/>
      <w:bookmarkStart w:id="183" w:name="Tc__O31_FEffUaaeERpiDU7-g_13_0"/>
      <w:bookmarkStart w:id="184" w:name="Tc_gS2g7-TWnk6w3jExy-WCPA_12_0"/>
      <w:bookmarkStart w:id="185" w:name="Tc_M4xiBc3qq0qKQp5OAobYnA_11_0"/>
      <w:bookmarkStart w:id="186" w:name="Tc_Uor08CdLW0uVw9MvVVOhjw_10_0"/>
      <w:bookmarkStart w:id="187" w:name="Tc_MgfPoEiRL0SQe0sgjl5G-g_9_0"/>
      <w:bookmarkStart w:id="188" w:name="Tc_nMlX5Aid50upoWzYpcSg-A_8_0"/>
      <w:bookmarkStart w:id="189" w:name="Tc_lAK-Yo08d0u7CVVW3j48JQ_7_0"/>
      <w:bookmarkStart w:id="190" w:name="Tc_ArzH0Cr4xkuDcqM9YdEU-g_6_11"/>
      <w:bookmarkStart w:id="191" w:name="Tc_0BzyXGFndEitPbE5JzN_2A_6_8"/>
      <w:bookmarkStart w:id="192" w:name="Tc_mY4YhqOtmk2UG17Xts6VvA_6_5"/>
      <w:bookmarkStart w:id="193" w:name="Tc_aXWCtYu6WkOP3icGJ1dGKA_6_2"/>
      <w:bookmarkStart w:id="194" w:name="Tc_4Oysr7NtT0y3KS8Ebcp2WQ_6_0"/>
      <w:bookmarkStart w:id="195" w:name="Tc_2tgu_z8G7ESb-MQ4MHZZnQ_5_0"/>
      <w:bookmarkStart w:id="196" w:name="Tc_q63WcBT_8kmtwROZeNau7w_4_11"/>
      <w:bookmarkStart w:id="197" w:name="Tc_HDX-UvJcj0mfSklistVp5w_4_9"/>
      <w:bookmarkStart w:id="198" w:name="Tc_4z5y2DS9VE-pzDMJT_SRzg_4_5"/>
      <w:bookmarkStart w:id="199" w:name="Tc_kQc6PrCC3keAZyf37Y0pqg_4_3"/>
      <w:bookmarkStart w:id="200" w:name="Tc_hkKme2pWFkqXeliBH3aLZw_3_8"/>
      <w:bookmarkStart w:id="201" w:name="Tc_tbahwLOMDUWluAuH3TuwOg_3_2"/>
      <w:bookmarkStart w:id="202" w:name="Tc_KzY6FdaON0Oi4JJomuJOTQ_2_8"/>
      <w:bookmarkStart w:id="203" w:name="Tc_aXcUX8IfzEqde7TFgVk9NA_2_2"/>
      <w:bookmarkStart w:id="204" w:name="_9e293b23_00e9_4a9a_8695_534c053a7bd2"/>
      <w:bookmarkStart w:id="205" w:name="_7dfdcdbc_3661_484e_8fc9_d481c3b8ceea"/>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4515"/>
        <w:gridCol w:w="326"/>
        <w:gridCol w:w="211"/>
        <w:gridCol w:w="800"/>
        <w:gridCol w:w="326"/>
        <w:gridCol w:w="211"/>
        <w:gridCol w:w="800"/>
        <w:gridCol w:w="326"/>
        <w:gridCol w:w="211"/>
        <w:gridCol w:w="800"/>
        <w:gridCol w:w="326"/>
        <w:gridCol w:w="211"/>
        <w:gridCol w:w="769"/>
        <w:gridCol w:w="373"/>
      </w:tblGrid>
      <w:tr>
        <w:trPr/>
        <w:tc>
          <w:tcPr>
            <w:tcW w:w="4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867025" cy="175260"/>
                      <wp:effectExtent l="0" t="0" r="0" b="0"/>
                      <wp:wrapNone/>
                      <wp:docPr id="18" name="Frame18"/>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8000" cy="175260"/>
                      <wp:effectExtent l="0" t="0" r="0" b="0"/>
                      <wp:wrapNone/>
                      <wp:docPr id="21" name="Frame21"/>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08000" cy="175260"/>
                      <wp:effectExtent l="0" t="0" r="0" b="0"/>
                      <wp:wrapNone/>
                      <wp:docPr id="24" name="Frame24"/>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08000" cy="175260"/>
                      <wp:effectExtent l="0" t="0" r="0" b="0"/>
                      <wp:wrapNone/>
                      <wp:docPr id="27" name="Frame2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88315" cy="175260"/>
                      <wp:effectExtent l="0" t="0" r="0" b="0"/>
                      <wp:wrapNone/>
                      <wp:docPr id="30" name="Frame3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6855" cy="175260"/>
                      <wp:effectExtent l="0" t="0" r="0" b="0"/>
                      <wp:wrapNone/>
                      <wp:docPr id="31" name="Frame3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0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0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0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6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7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8"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1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3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3" w:type="dxa"/>
            <w:tcBorders/>
            <w:vAlign w:val="center"/>
          </w:tcPr>
          <w:p>
            <w:pPr>
              <w:pStyle w:val="TableContents"/>
              <w:bidi w:val="0"/>
              <w:spacing w:before="0" w:after="0"/>
              <w:ind w:left="0" w:right="0" w:hanging="0"/>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69" w:type="dxa"/>
            <w:tcBorders/>
            <w:shd w:fill="CCEEFF" w:val="clear"/>
            <w:vAlign w:val="center"/>
          </w:tcPr>
          <w:p>
            <w:pPr>
              <w:pStyle w:val="TableContents"/>
              <w:bidi w:val="0"/>
              <w:spacing w:before="0" w:after="0"/>
              <w:ind w:left="0" w:right="0" w:hanging="0"/>
              <w:jc w:val="right"/>
              <w:rPr/>
            </w:pPr>
            <w:r>
              <w:rPr/>
              <w:t>  </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22,050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19,411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42,729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32,546</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6,576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13,090</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33,316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25,987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45,636</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(33,316)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(25,987)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(45,636)</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7,335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13,343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4,524</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(25,981)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(41,112)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ordinary shareholders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(26,034)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(23,280)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(52,070)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(41,255)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ordinary shareholders, basic and diluted</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(0.44)</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ordinary shares used in computing net loss per share attributable to ordinary shareholders, basic and diluted</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148,239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114,759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143,975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93,325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comprehensive loss:</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Unrealized loss on investments, net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comprehensive loss</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(23,817)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(53,078)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(41,535)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206" w:name="_86b885a3_4415_4662_83d4_a2f0ff433e69"/>
      <w:bookmarkEnd w:id="206"/>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207" w:name="SHARESANDSHAREHOLDERSEQUTY_245279"/>
      <w:bookmarkStart w:id="208" w:name="_Hlk133940425"/>
      <w:bookmarkEnd w:id="207"/>
      <w:bookmarkEnd w:id="208"/>
      <w:r>
        <w:rPr>
          <w:rFonts w:ascii="Arial;Helvetica;sans-serif" w:hAnsi="Arial;Helvetica;sans-serif"/>
          <w:b/>
          <w:sz w:val="20"/>
        </w:rPr>
        <w:t>CONDENSED CONSOLIDATED STATEMENTS OF REDEEMABLE CONVERTIBLE PREFERRED SHARES AND SHAREHOLDERS’ EQUITY (DEFICIT)</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209" w:name="Tc_qTR-Vgp96kyA7T7vf5NVPA_18_16"/>
      <w:bookmarkStart w:id="210" w:name="Tc__J1ATGISPEypFiKryLRKSQ_18_13"/>
      <w:bookmarkStart w:id="211" w:name="Tc_lJD8YxVI8EGHE0iFPlOmdw_18_10"/>
      <w:bookmarkStart w:id="212" w:name="Tc_vhhEw-4lu0qz1Ar_tsgdng_18_7"/>
      <w:bookmarkStart w:id="213" w:name="Tc_oAtPtuCOOE6C_gth3IBzIA_18_4"/>
      <w:bookmarkStart w:id="214" w:name="Tc_CgEkSCayL0S_tRSDpkq1dw_18_0"/>
      <w:bookmarkStart w:id="215" w:name="Tc_hT-6M4rWokWdLy67G2q3ww_17_11"/>
      <w:bookmarkStart w:id="216" w:name="Tc_p04aFrOehUCfuj02_acKhQ_17_8"/>
      <w:bookmarkStart w:id="217" w:name="Tc_gScghotTUEiuaoiVEapcvg_17_5"/>
      <w:bookmarkStart w:id="218" w:name="Tc_uSlGsvyfkUaCQaIdbux50w_17_2"/>
      <w:bookmarkStart w:id="219" w:name="Tc_kB54fWIgjkegSMg9zuscOg_17_0"/>
      <w:bookmarkStart w:id="220" w:name="Tc_6vfRLSMh8USH0w3JDG-_eA_16_14"/>
      <w:bookmarkStart w:id="221" w:name="Tc_rbW5HGXtWEeN_1MwJjlAhw_16_8"/>
      <w:bookmarkStart w:id="222" w:name="Tc_NX4FJ9lUMEiBfQtwWa4rpg_16_5"/>
      <w:bookmarkStart w:id="223" w:name="Tc_hSQYym9id0Cej2Na4p-nEw_16_2"/>
      <w:bookmarkStart w:id="224" w:name="Tc_cLq2sYTPYEehJhxYkRzSwg_16_0"/>
      <w:bookmarkStart w:id="225" w:name="Tc_M0fr6kaV70mnVggKgRkaKw_15_14"/>
      <w:bookmarkStart w:id="226" w:name="Tc_6IakZQ03Zkuc7A6SzpGfOg_15_11"/>
      <w:bookmarkStart w:id="227" w:name="Tc_AeXoh-yCxEqMUnU0FoGU7A_15_5"/>
      <w:bookmarkStart w:id="228" w:name="Tc_qlQusp9ryUuZDXJz_7I0dg_15_2"/>
      <w:bookmarkStart w:id="229" w:name="Tc_EQ4mkHdZdECVeHrr34gA3g_15_0"/>
      <w:bookmarkStart w:id="230" w:name="Tc_daM5HItnE06A6x0DlcUgKA_14_14"/>
      <w:bookmarkStart w:id="231" w:name="Tc_z9qxpOsWCkyz2FohP5LFvg_14_11"/>
      <w:bookmarkStart w:id="232" w:name="Tc_vwFecnbEg0etwS0Ps8mpsg_14_5"/>
      <w:bookmarkStart w:id="233" w:name="Tc_6BTanMggWEe16eLsPZkm7Q_14_0"/>
      <w:bookmarkStart w:id="234" w:name="Tc_9zD5SBnwa0CH7Rpey_9n1w_13_14"/>
      <w:bookmarkStart w:id="235" w:name="Tc_xGABZVVGikuDcFURV_BT4w_13_11"/>
      <w:bookmarkStart w:id="236" w:name="Tc_DV_kcL4_hk-CnLBb3tHYAg_13_5"/>
      <w:bookmarkStart w:id="237" w:name="Tc_qO4WTlFJ-kigXP0KdmnDEg_13_0"/>
      <w:bookmarkStart w:id="238" w:name="Tc_7itZduN9X06QJqPebSDF1g_12_14"/>
      <w:bookmarkStart w:id="239" w:name="Tc_xoLI4ruGNU6t1Oc0GEnKXw_12_11"/>
      <w:bookmarkStart w:id="240" w:name="Tc_WPWa1reI9kyZKkzf0_NhDw_12_0"/>
      <w:bookmarkStart w:id="241" w:name="Tc_bFydboQ1REyqyNY-x2pKPg_11_0"/>
      <w:bookmarkStart w:id="242" w:name="Tc_lxSFwvzLXkSMRes_p6yrOw_10_11"/>
      <w:bookmarkStart w:id="243" w:name="Tc_eETXwPFA_0y9csxSrsrDIA_10_8"/>
      <w:bookmarkStart w:id="244" w:name="Tc_amiiwE590EiP03EC6Z5ynQ_10_5"/>
      <w:bookmarkStart w:id="245" w:name="Tc_Dcx1M88MGU2ffFoyHMX-fA_10_2"/>
      <w:bookmarkStart w:id="246" w:name="Tc_0Fog12z2gkqyxc6igsuRWQ_10_0"/>
      <w:bookmarkStart w:id="247" w:name="Tc_LpffsqKoMEOFs0-Jdrn6mQ_9_14"/>
      <w:bookmarkStart w:id="248" w:name="Tc_isN_2mhIUkajvJIgdU7b3g_9_8"/>
      <w:bookmarkStart w:id="249" w:name="Tc_5qPnYgbJ4km2PI-QTBwcKg_9_5"/>
      <w:bookmarkStart w:id="250" w:name="Tc_IuLDl49cmkCWhzEmWXjVtg_9_2"/>
      <w:bookmarkStart w:id="251" w:name="Tc_U5hI_tiBnkGev-VX2Zu5CQ_9_0"/>
      <w:bookmarkStart w:id="252" w:name="Tc_vnaX7nkD_kStVjAXgbk4VA_8_14"/>
      <w:bookmarkStart w:id="253" w:name="Tc_TWUHKrUEGUWcBABETWlSKQ_8_11"/>
      <w:bookmarkStart w:id="254" w:name="Tc_iXV1Q2C6W0SAZZWJvGxlKQ_8_5"/>
      <w:bookmarkStart w:id="255" w:name="Tc_PyCmVv4WSUufOwcL9dQm4g_8_2"/>
      <w:bookmarkStart w:id="256" w:name="Tc_mxAQovTl9EyBa_w0lNosSQ_8_0"/>
      <w:bookmarkStart w:id="257" w:name="Tc_viuOdOle90CW0B2-_xZ-ZQ_7_14"/>
      <w:bookmarkStart w:id="258" w:name="Tc_TneGlzR7AUe_3MtRkVXAjw_7_11"/>
      <w:bookmarkStart w:id="259" w:name="Tc_BaGF7ysx1EWthc5GA3OSzA_7_5"/>
      <w:bookmarkStart w:id="260" w:name="Tc_TXw2cN8YgUi0mp8C_0hR2Q_7_0"/>
      <w:bookmarkStart w:id="261" w:name="Tc_OtxGBRG3IUa8ZDx8yKPg1w_6_16"/>
      <w:bookmarkStart w:id="262" w:name="Tc_XbQhPP7EXESM7sQvHButaA_6_13"/>
      <w:bookmarkStart w:id="263" w:name="Tc_NCT5Kn9IK0-t0T6irWThsQ_6_10"/>
      <w:bookmarkStart w:id="264" w:name="Tc_eYjz0ie8KE6zFfQ8aCobMQ_6_7"/>
      <w:bookmarkStart w:id="265" w:name="Tc_yHZJMjZUoU2aYHJgi5_K7w_6_4"/>
      <w:bookmarkStart w:id="266" w:name="Tc_WUhOJsIUYE2TltY7yI7ZvQ_6_0"/>
      <w:bookmarkStart w:id="267" w:name="Tc_SzjnrRjQvU6sqZAGCtxjbQ_5_16"/>
      <w:bookmarkStart w:id="268" w:name="Tc_swkcUPCTkku8Th2GApKVIw_5_13"/>
      <w:bookmarkStart w:id="269" w:name="Tc_Y41nK6MWcEeRH-D-Nu50eA_5_10"/>
      <w:bookmarkStart w:id="270" w:name="Tc_JWY-ggE0PkGfjiPCDudqRw_5_7"/>
      <w:bookmarkStart w:id="271" w:name="Tc_598LzyMHUUqi9S7QfniIbQ_5_4"/>
      <w:bookmarkStart w:id="272" w:name="Tc_Z_7_0jaQpk6POLmGbXXqyA_5_2"/>
      <w:bookmarkStart w:id="273" w:name="Tc_kSIEdnNazkWajyAMbesLOA_4_16"/>
      <w:bookmarkStart w:id="274" w:name="Tc_rzuNjDBXTECcx_P_8ZHikQ_4_13"/>
      <w:bookmarkStart w:id="275" w:name="Tc_02S_Ehu_CkS_JK0-Nrt3yg_4_10"/>
      <w:bookmarkStart w:id="276" w:name="Tc_C_z-w9TPb0ShkVpV9mG1Pw_4_7"/>
      <w:bookmarkStart w:id="277" w:name="Tc_MsbNeaw_DkKNpSAM7IPxvA_4_2"/>
      <w:bookmarkStart w:id="278" w:name="Tc_9hTyKXEMrUmQefkonQ7eVQ_3_16"/>
      <w:bookmarkStart w:id="279" w:name="Tc_kxr-uC-vzk26-jL_q1qpKg_3_10"/>
      <w:bookmarkStart w:id="280" w:name="Tc_0ItshqnGFUOg_4bp8YQQdA_3_7"/>
      <w:bookmarkStart w:id="281" w:name="Tc_PYA_Ay2hSUm_5BzVth0qKg_3_2"/>
      <w:bookmarkStart w:id="282" w:name="Tc_bAOIAljHlUqCE7mSN2XU2w_2_10"/>
      <w:bookmarkStart w:id="283" w:name="_bcfefa1a_2455_4133_b482_f15c0d0ebc3d"/>
      <w:bookmarkStart w:id="284" w:name="Tc_qTR-Vgp96kyA7T7vf5NVPA_18_16"/>
      <w:bookmarkStart w:id="285" w:name="Tc__J1ATGISPEypFiKryLRKSQ_18_13"/>
      <w:bookmarkStart w:id="286" w:name="Tc_lJD8YxVI8EGHE0iFPlOmdw_18_10"/>
      <w:bookmarkStart w:id="287" w:name="Tc_vhhEw-4lu0qz1Ar_tsgdng_18_7"/>
      <w:bookmarkStart w:id="288" w:name="Tc_oAtPtuCOOE6C_gth3IBzIA_18_4"/>
      <w:bookmarkStart w:id="289" w:name="Tc_CgEkSCayL0S_tRSDpkq1dw_18_0"/>
      <w:bookmarkStart w:id="290" w:name="Tc_hT-6M4rWokWdLy67G2q3ww_17_11"/>
      <w:bookmarkStart w:id="291" w:name="Tc_p04aFrOehUCfuj02_acKhQ_17_8"/>
      <w:bookmarkStart w:id="292" w:name="Tc_gScghotTUEiuaoiVEapcvg_17_5"/>
      <w:bookmarkStart w:id="293" w:name="Tc_uSlGsvyfkUaCQaIdbux50w_17_2"/>
      <w:bookmarkStart w:id="294" w:name="Tc_kB54fWIgjkegSMg9zuscOg_17_0"/>
      <w:bookmarkStart w:id="295" w:name="Tc_6vfRLSMh8USH0w3JDG-_eA_16_14"/>
      <w:bookmarkStart w:id="296" w:name="Tc_rbW5HGXtWEeN_1MwJjlAhw_16_8"/>
      <w:bookmarkStart w:id="297" w:name="Tc_NX4FJ9lUMEiBfQtwWa4rpg_16_5"/>
      <w:bookmarkStart w:id="298" w:name="Tc_hSQYym9id0Cej2Na4p-nEw_16_2"/>
      <w:bookmarkStart w:id="299" w:name="Tc_cLq2sYTPYEehJhxYkRzSwg_16_0"/>
      <w:bookmarkStart w:id="300" w:name="Tc_M0fr6kaV70mnVggKgRkaKw_15_14"/>
      <w:bookmarkStart w:id="301" w:name="Tc_6IakZQ03Zkuc7A6SzpGfOg_15_11"/>
      <w:bookmarkStart w:id="302" w:name="Tc_AeXoh-yCxEqMUnU0FoGU7A_15_5"/>
      <w:bookmarkStart w:id="303" w:name="Tc_qlQusp9ryUuZDXJz_7I0dg_15_2"/>
      <w:bookmarkStart w:id="304" w:name="Tc_EQ4mkHdZdECVeHrr34gA3g_15_0"/>
      <w:bookmarkStart w:id="305" w:name="Tc_daM5HItnE06A6x0DlcUgKA_14_14"/>
      <w:bookmarkStart w:id="306" w:name="Tc_z9qxpOsWCkyz2FohP5LFvg_14_11"/>
      <w:bookmarkStart w:id="307" w:name="Tc_vwFecnbEg0etwS0Ps8mpsg_14_5"/>
      <w:bookmarkStart w:id="308" w:name="Tc_6BTanMggWEe16eLsPZkm7Q_14_0"/>
      <w:bookmarkStart w:id="309" w:name="Tc_9zD5SBnwa0CH7Rpey_9n1w_13_14"/>
      <w:bookmarkStart w:id="310" w:name="Tc_xGABZVVGikuDcFURV_BT4w_13_11"/>
      <w:bookmarkStart w:id="311" w:name="Tc_DV_kcL4_hk-CnLBb3tHYAg_13_5"/>
      <w:bookmarkStart w:id="312" w:name="Tc_qO4WTlFJ-kigXP0KdmnDEg_13_0"/>
      <w:bookmarkStart w:id="313" w:name="Tc_7itZduN9X06QJqPebSDF1g_12_14"/>
      <w:bookmarkStart w:id="314" w:name="Tc_xoLI4ruGNU6t1Oc0GEnKXw_12_11"/>
      <w:bookmarkStart w:id="315" w:name="Tc_WPWa1reI9kyZKkzf0_NhDw_12_0"/>
      <w:bookmarkStart w:id="316" w:name="Tc_bFydboQ1REyqyNY-x2pKPg_11_0"/>
      <w:bookmarkStart w:id="317" w:name="Tc_lxSFwvzLXkSMRes_p6yrOw_10_11"/>
      <w:bookmarkStart w:id="318" w:name="Tc_eETXwPFA_0y9csxSrsrDIA_10_8"/>
      <w:bookmarkStart w:id="319" w:name="Tc_amiiwE590EiP03EC6Z5ynQ_10_5"/>
      <w:bookmarkStart w:id="320" w:name="Tc_Dcx1M88MGU2ffFoyHMX-fA_10_2"/>
      <w:bookmarkStart w:id="321" w:name="Tc_0Fog12z2gkqyxc6igsuRWQ_10_0"/>
      <w:bookmarkStart w:id="322" w:name="Tc_LpffsqKoMEOFs0-Jdrn6mQ_9_14"/>
      <w:bookmarkStart w:id="323" w:name="Tc_isN_2mhIUkajvJIgdU7b3g_9_8"/>
      <w:bookmarkStart w:id="324" w:name="Tc_5qPnYgbJ4km2PI-QTBwcKg_9_5"/>
      <w:bookmarkStart w:id="325" w:name="Tc_IuLDl49cmkCWhzEmWXjVtg_9_2"/>
      <w:bookmarkStart w:id="326" w:name="Tc_U5hI_tiBnkGev-VX2Zu5CQ_9_0"/>
      <w:bookmarkStart w:id="327" w:name="Tc_vnaX7nkD_kStVjAXgbk4VA_8_14"/>
      <w:bookmarkStart w:id="328" w:name="Tc_TWUHKrUEGUWcBABETWlSKQ_8_11"/>
      <w:bookmarkStart w:id="329" w:name="Tc_iXV1Q2C6W0SAZZWJvGxlKQ_8_5"/>
      <w:bookmarkStart w:id="330" w:name="Tc_PyCmVv4WSUufOwcL9dQm4g_8_2"/>
      <w:bookmarkStart w:id="331" w:name="Tc_mxAQovTl9EyBa_w0lNosSQ_8_0"/>
      <w:bookmarkStart w:id="332" w:name="Tc_viuOdOle90CW0B2-_xZ-ZQ_7_14"/>
      <w:bookmarkStart w:id="333" w:name="Tc_TneGlzR7AUe_3MtRkVXAjw_7_11"/>
      <w:bookmarkStart w:id="334" w:name="Tc_BaGF7ysx1EWthc5GA3OSzA_7_5"/>
      <w:bookmarkStart w:id="335" w:name="Tc_TXw2cN8YgUi0mp8C_0hR2Q_7_0"/>
      <w:bookmarkStart w:id="336" w:name="Tc_OtxGBRG3IUa8ZDx8yKPg1w_6_16"/>
      <w:bookmarkStart w:id="337" w:name="Tc_XbQhPP7EXESM7sQvHButaA_6_13"/>
      <w:bookmarkStart w:id="338" w:name="Tc_NCT5Kn9IK0-t0T6irWThsQ_6_10"/>
      <w:bookmarkStart w:id="339" w:name="Tc_eYjz0ie8KE6zFfQ8aCobMQ_6_7"/>
      <w:bookmarkStart w:id="340" w:name="Tc_yHZJMjZUoU2aYHJgi5_K7w_6_4"/>
      <w:bookmarkStart w:id="341" w:name="Tc_WUhOJsIUYE2TltY7yI7ZvQ_6_0"/>
      <w:bookmarkStart w:id="342" w:name="Tc_SzjnrRjQvU6sqZAGCtxjbQ_5_16"/>
      <w:bookmarkStart w:id="343" w:name="Tc_swkcUPCTkku8Th2GApKVIw_5_13"/>
      <w:bookmarkStart w:id="344" w:name="Tc_Y41nK6MWcEeRH-D-Nu50eA_5_10"/>
      <w:bookmarkStart w:id="345" w:name="Tc_JWY-ggE0PkGfjiPCDudqRw_5_7"/>
      <w:bookmarkStart w:id="346" w:name="Tc_598LzyMHUUqi9S7QfniIbQ_5_4"/>
      <w:bookmarkStart w:id="347" w:name="Tc_Z_7_0jaQpk6POLmGbXXqyA_5_2"/>
      <w:bookmarkStart w:id="348" w:name="Tc_kSIEdnNazkWajyAMbesLOA_4_16"/>
      <w:bookmarkStart w:id="349" w:name="Tc_rzuNjDBXTECcx_P_8ZHikQ_4_13"/>
      <w:bookmarkStart w:id="350" w:name="Tc_02S_Ehu_CkS_JK0-Nrt3yg_4_10"/>
      <w:bookmarkStart w:id="351" w:name="Tc_C_z-w9TPb0ShkVpV9mG1Pw_4_7"/>
      <w:bookmarkStart w:id="352" w:name="Tc_MsbNeaw_DkKNpSAM7IPxvA_4_2"/>
      <w:bookmarkStart w:id="353" w:name="Tc_9hTyKXEMrUmQefkonQ7eVQ_3_16"/>
      <w:bookmarkStart w:id="354" w:name="Tc_kxr-uC-vzk26-jL_q1qpKg_3_10"/>
      <w:bookmarkStart w:id="355" w:name="Tc_0ItshqnGFUOg_4bp8YQQdA_3_7"/>
      <w:bookmarkStart w:id="356" w:name="Tc_PYA_Ay2hSUm_5BzVth0qKg_3_2"/>
      <w:bookmarkStart w:id="357" w:name="Tc_bAOIAljHlUqCE7mSN2XU2w_2_10"/>
      <w:bookmarkStart w:id="358" w:name="_bcfefa1a_2455_4133_b482_f15c0d0ebc3d"/>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tbl>
      <w:tblPr>
        <w:tblW w:w="10205" w:type="dxa"/>
        <w:jc w:val="left"/>
        <w:tblInd w:w="0" w:type="dxa"/>
        <w:tblLayout w:type="fixed"/>
        <w:tblCellMar>
          <w:top w:w="0" w:type="dxa"/>
          <w:left w:w="0" w:type="dxa"/>
          <w:bottom w:w="0" w:type="dxa"/>
          <w:right w:w="0" w:type="dxa"/>
        </w:tblCellMar>
      </w:tblPr>
      <w:tblGrid>
        <w:gridCol w:w="3845"/>
        <w:gridCol w:w="206"/>
        <w:gridCol w:w="601"/>
        <w:gridCol w:w="206"/>
        <w:gridCol w:w="207"/>
        <w:gridCol w:w="349"/>
        <w:gridCol w:w="206"/>
        <w:gridCol w:w="206"/>
        <w:gridCol w:w="721"/>
        <w:gridCol w:w="206"/>
        <w:gridCol w:w="343"/>
        <w:gridCol w:w="719"/>
        <w:gridCol w:w="206"/>
        <w:gridCol w:w="223"/>
        <w:gridCol w:w="704"/>
        <w:gridCol w:w="206"/>
        <w:gridCol w:w="228"/>
        <w:gridCol w:w="823"/>
      </w:tblGrid>
      <w:tr>
        <w:trPr/>
        <w:tc>
          <w:tcPr>
            <w:tcW w:w="3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41575" cy="175260"/>
                      <wp:effectExtent l="0" t="0" r="0" b="0"/>
                      <wp:wrapNone/>
                      <wp:docPr id="32" name="Frame32"/>
                      <a:graphic xmlns:a="http://schemas.openxmlformats.org/drawingml/2006/main">
                        <a:graphicData uri="http://schemas.microsoft.com/office/word/2010/wordprocessingShape">
                          <wps:wsp>
                            <wps:cNvSpPr txBox="1"/>
                            <wps:spPr>
                              <a:xfrm>
                                <a:off x="0" y="0"/>
                                <a:ext cx="2441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1635" cy="175260"/>
                      <wp:effectExtent l="0" t="0" r="0" b="0"/>
                      <wp:wrapNone/>
                      <wp:docPr id="34" name="Frame3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1445" cy="175260"/>
                      <wp:effectExtent l="0" t="0" r="0" b="0"/>
                      <wp:wrapNone/>
                      <wp:docPr id="36" name="Frame3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21615" cy="175260"/>
                      <wp:effectExtent l="0" t="0" r="0" b="0"/>
                      <wp:wrapNone/>
                      <wp:docPr id="37" name="Frame3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7835" cy="175260"/>
                      <wp:effectExtent l="0" t="0" r="0" b="0"/>
                      <wp:wrapNone/>
                      <wp:docPr id="40" name="Frame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0810" cy="175260"/>
                      <wp:effectExtent l="0" t="0" r="0" b="0"/>
                      <wp:wrapNone/>
                      <wp:docPr id="41" name="Frame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7805" cy="175260"/>
                      <wp:effectExtent l="0" t="0" r="0" b="0"/>
                      <wp:wrapNone/>
                      <wp:docPr id="42" name="Frame4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56565" cy="175260"/>
                      <wp:effectExtent l="0" t="0" r="0" b="0"/>
                      <wp:wrapNone/>
                      <wp:docPr id="43" name="Frame4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1605" cy="175260"/>
                      <wp:effectExtent l="0" t="0" r="0" b="0"/>
                      <wp:wrapNone/>
                      <wp:docPr id="45" name="Frame4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47040" cy="175260"/>
                      <wp:effectExtent l="0" t="0" r="0" b="0"/>
                      <wp:wrapNone/>
                      <wp:docPr id="46" name="Frame46"/>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0810" cy="175260"/>
                      <wp:effectExtent l="0" t="0" r="0" b="0"/>
                      <wp:wrapNone/>
                      <wp:docPr id="47" name="Frame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4780" cy="175260"/>
                      <wp:effectExtent l="0" t="0" r="0" b="0"/>
                      <wp:wrapNone/>
                      <wp:docPr id="48" name="Frame4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2605" cy="175260"/>
                      <wp:effectExtent l="0" t="0" r="0" b="0"/>
                      <wp:wrapNone/>
                      <wp:docPr id="49" name="Frame4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7"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2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1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3"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0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2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84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7"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62"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0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70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r>
      <w:tr>
        <w:trPr/>
        <w:tc>
          <w:tcPr>
            <w:tcW w:w="384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363" w:type="dxa"/>
            <w:gridSpan w:val="4"/>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ORDINARY </w:t>
            </w:r>
          </w:p>
        </w:tc>
        <w:tc>
          <w:tcPr>
            <w:tcW w:w="206" w:type="dxa"/>
            <w:tcBorders/>
            <w:vAlign w:val="center"/>
          </w:tcPr>
          <w:p>
            <w:pPr>
              <w:pStyle w:val="TableContents"/>
              <w:bidi w:val="0"/>
              <w:spacing w:before="0" w:after="0"/>
              <w:ind w:left="0" w:right="0" w:hanging="0"/>
              <w:jc w:val="center"/>
              <w:rPr/>
            </w:pPr>
            <w:r>
              <w:rPr/>
              <w:t>​</w:t>
            </w:r>
          </w:p>
        </w:tc>
        <w:tc>
          <w:tcPr>
            <w:tcW w:w="92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ADDITIONAL</w:t>
            </w:r>
          </w:p>
        </w:tc>
        <w:tc>
          <w:tcPr>
            <w:tcW w:w="206" w:type="dxa"/>
            <w:tcBorders/>
            <w:vAlign w:val="center"/>
          </w:tcPr>
          <w:p>
            <w:pPr>
              <w:pStyle w:val="TableContents"/>
              <w:bidi w:val="0"/>
              <w:spacing w:before="0" w:after="0"/>
              <w:ind w:left="0" w:right="0" w:hanging="0"/>
              <w:jc w:val="center"/>
              <w:rPr/>
            </w:pPr>
            <w:r>
              <w:rPr/>
              <w:t>​</w:t>
            </w:r>
          </w:p>
        </w:tc>
        <w:tc>
          <w:tcPr>
            <w:tcW w:w="1062"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OTHER</w:t>
            </w:r>
          </w:p>
        </w:tc>
        <w:tc>
          <w:tcPr>
            <w:tcW w:w="20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70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TOTAL</w:t>
            </w:r>
          </w:p>
        </w:tc>
      </w:tr>
      <w:tr>
        <w:trPr/>
        <w:tc>
          <w:tcPr>
            <w:tcW w:w="384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3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center"/>
              <w:rPr/>
            </w:pPr>
            <w:r>
              <w:rPr/>
              <w:t>​</w:t>
            </w:r>
          </w:p>
        </w:tc>
        <w:tc>
          <w:tcPr>
            <w:tcW w:w="92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PAID-IN</w:t>
            </w:r>
          </w:p>
        </w:tc>
        <w:tc>
          <w:tcPr>
            <w:tcW w:w="206" w:type="dxa"/>
            <w:tcBorders/>
            <w:vAlign w:val="center"/>
          </w:tcPr>
          <w:p>
            <w:pPr>
              <w:pStyle w:val="TableContents"/>
              <w:bidi w:val="0"/>
              <w:spacing w:before="0" w:after="0"/>
              <w:ind w:left="0" w:right="0" w:hanging="0"/>
              <w:jc w:val="center"/>
              <w:rPr/>
            </w:pPr>
            <w:r>
              <w:rPr/>
              <w:t>​</w:t>
            </w:r>
          </w:p>
        </w:tc>
        <w:tc>
          <w:tcPr>
            <w:tcW w:w="1062"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COMPREHENSIVE </w:t>
            </w:r>
          </w:p>
        </w:tc>
        <w:tc>
          <w:tcPr>
            <w:tcW w:w="206" w:type="dxa"/>
            <w:tcBorders/>
            <w:vAlign w:val="center"/>
          </w:tcPr>
          <w:p>
            <w:pPr>
              <w:pStyle w:val="TableContents"/>
              <w:bidi w:val="0"/>
              <w:spacing w:before="0" w:after="0"/>
              <w:ind w:left="0" w:right="0" w:hanging="0"/>
              <w:jc w:val="center"/>
              <w:rPr/>
            </w:pPr>
            <w:r>
              <w:rPr/>
              <w:t>​</w:t>
            </w:r>
          </w:p>
        </w:tc>
        <w:tc>
          <w:tcPr>
            <w:tcW w:w="92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SHAREHOLDERS’</w:t>
            </w:r>
          </w:p>
        </w:tc>
      </w:tr>
      <w:tr>
        <w:trPr/>
        <w:tc>
          <w:tcPr>
            <w:tcW w:w="384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CAPITAL</w:t>
            </w:r>
          </w:p>
        </w:tc>
        <w:tc>
          <w:tcPr>
            <w:tcW w:w="206" w:type="dxa"/>
            <w:tcBorders/>
            <w:vAlign w:val="center"/>
          </w:tcPr>
          <w:p>
            <w:pPr>
              <w:pStyle w:val="TableContents"/>
              <w:bidi w:val="0"/>
              <w:spacing w:before="0" w:after="0"/>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INCOME (LOSS)</w:t>
            </w:r>
          </w:p>
        </w:tc>
        <w:tc>
          <w:tcPr>
            <w:tcW w:w="206" w:type="dxa"/>
            <w:tcBorders/>
            <w:vAlign w:val="center"/>
          </w:tcPr>
          <w:p>
            <w:pPr>
              <w:pStyle w:val="TableContents"/>
              <w:bidi w:val="0"/>
              <w:spacing w:before="0" w:after="0"/>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DEFICIT</w:t>
            </w:r>
          </w:p>
        </w:tc>
        <w:tc>
          <w:tcPr>
            <w:tcW w:w="20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EQUITY</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December 31, 2023</w:t>
            </w:r>
          </w:p>
        </w:tc>
        <w:tc>
          <w:tcPr>
            <w:tcW w:w="20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139,220</w:t>
            </w:r>
          </w:p>
        </w:tc>
        <w:tc>
          <w:tcPr>
            <w:tcW w:w="20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w:t>
            </w:r>
          </w:p>
        </w:tc>
        <w:tc>
          <w:tcPr>
            <w:tcW w:w="20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659,003</w:t>
            </w:r>
          </w:p>
        </w:tc>
        <w:tc>
          <w:tcPr>
            <w:tcW w:w="206" w:type="dxa"/>
            <w:tcBorders/>
            <w:shd w:fill="CCEEFF" w:val="clear"/>
            <w:vAlign w:val="center"/>
          </w:tcPr>
          <w:p>
            <w:pPr>
              <w:pStyle w:val="TableContents"/>
              <w:bidi w:val="0"/>
              <w:spacing w:before="0" w:after="0"/>
              <w:ind w:left="0" w:right="0" w:hanging="0"/>
              <w:jc w:val="center"/>
              <w:rPr/>
            </w:pPr>
            <w:r>
              <w:rPr/>
              <w:t>​</w:t>
            </w:r>
          </w:p>
        </w:tc>
        <w:tc>
          <w:tcPr>
            <w:tcW w:w="34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521</w:t>
            </w:r>
          </w:p>
        </w:tc>
        <w:tc>
          <w:tcPr>
            <w:tcW w:w="20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(206,572)</w:t>
            </w:r>
          </w:p>
        </w:tc>
        <w:tc>
          <w:tcPr>
            <w:tcW w:w="206"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452,966</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635</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755</w:t>
            </w:r>
          </w:p>
        </w:tc>
        <w:tc>
          <w:tcPr>
            <w:tcW w:w="20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755</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2,744</w:t>
            </w:r>
          </w:p>
        </w:tc>
        <w:tc>
          <w:tcPr>
            <w:tcW w:w="206" w:type="dxa"/>
            <w:tcBorders/>
            <w:shd w:fill="CCEEFF" w:val="clear"/>
            <w:vAlign w:val="center"/>
          </w:tcPr>
          <w:p>
            <w:pPr>
              <w:pStyle w:val="TableContents"/>
              <w:bidi w:val="0"/>
              <w:spacing w:before="0" w:after="0"/>
              <w:ind w:left="0" w:right="0" w:hanging="0"/>
              <w:jc w:val="left"/>
              <w:rPr/>
            </w:pPr>
            <w:r>
              <w:rPr/>
              <w:t> </w:t>
            </w:r>
          </w:p>
        </w:tc>
        <w:tc>
          <w:tcPr>
            <w:tcW w:w="343"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2,744</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(611)</w:t>
            </w:r>
          </w:p>
        </w:tc>
        <w:tc>
          <w:tcPr>
            <w:tcW w:w="20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(611)</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(26,036)</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(26,036)</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March 31, 2024</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139,855</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662,502</w:t>
            </w:r>
          </w:p>
        </w:tc>
        <w:tc>
          <w:tcPr>
            <w:tcW w:w="20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(90)</w:t>
            </w:r>
          </w:p>
        </w:tc>
        <w:tc>
          <w:tcPr>
            <w:tcW w:w="20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(232,608)</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429,818</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Follow-On Offering, net of issuance costs and underwriting discounts of $34,688</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31,281</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512,727</w:t>
            </w:r>
          </w:p>
        </w:tc>
        <w:tc>
          <w:tcPr>
            <w:tcW w:w="20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512,730</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427</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478</w:t>
            </w:r>
          </w:p>
        </w:tc>
        <w:tc>
          <w:tcPr>
            <w:tcW w:w="20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478</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pursuant to employee share purchase plan</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241</w:t>
            </w:r>
          </w:p>
        </w:tc>
        <w:tc>
          <w:tcPr>
            <w:tcW w:w="20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241</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4,196</w:t>
            </w:r>
          </w:p>
        </w:tc>
        <w:tc>
          <w:tcPr>
            <w:tcW w:w="20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4,196</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(397)</w:t>
            </w:r>
          </w:p>
        </w:tc>
        <w:tc>
          <w:tcPr>
            <w:tcW w:w="20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(397)</w:t>
            </w:r>
          </w:p>
        </w:tc>
      </w:tr>
      <w:tr>
        <w:trPr/>
        <w:tc>
          <w:tcPr>
            <w:tcW w:w="384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0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(26,034)</w:t>
            </w:r>
          </w:p>
        </w:tc>
        <w:tc>
          <w:tcPr>
            <w:tcW w:w="20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(26,034)</w:t>
            </w:r>
          </w:p>
        </w:tc>
      </w:tr>
      <w:tr>
        <w:trPr/>
        <w:tc>
          <w:tcPr>
            <w:tcW w:w="384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June 30, 2024</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171,589</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1,180,144</w:t>
            </w:r>
          </w:p>
        </w:tc>
        <w:tc>
          <w:tcPr>
            <w:tcW w:w="206"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(487)</w:t>
            </w:r>
          </w:p>
        </w:tc>
        <w:tc>
          <w:tcPr>
            <w:tcW w:w="20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(258,642)</w:t>
            </w:r>
          </w:p>
        </w:tc>
        <w:tc>
          <w:tcPr>
            <w:tcW w:w="20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921,032</w:t>
            </w:r>
          </w:p>
        </w:tc>
      </w:tr>
      <w:tr>
        <w:trPr/>
        <w:tc>
          <w:tcPr>
            <w:tcW w:w="38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9" w:name="Tc_zOURzZMJLUWCk7MK3RI0BA_20_42"/>
      <w:bookmarkStart w:id="360" w:name="Tc_dFwrxBC_iEqrqhqrl7jxyA_20_39"/>
      <w:bookmarkStart w:id="361" w:name="Tc_-0eKxe3hmkWwjtydz8f5IQ_20_36"/>
      <w:bookmarkStart w:id="362" w:name="Tc_-asai_otX0qRmo_y3f_vZw_20_33"/>
      <w:bookmarkStart w:id="363" w:name="Tc_H-5qy40J6ES0Qet4JNediA_20_30"/>
      <w:bookmarkStart w:id="364" w:name="Tc_Yz11qEXhQEyjFJWHso23DQ_20_25"/>
      <w:bookmarkStart w:id="365" w:name="Tc_boUE2JzCpk62qd54PtCb3g_20_20"/>
      <w:bookmarkStart w:id="366" w:name="Tc_imuOLu4F1kepOwbbHsTxHQ_20_19"/>
      <w:bookmarkStart w:id="367" w:name="Tc__zBqpKrQIEGAsdFgVhbs4A_20_17"/>
      <w:bookmarkStart w:id="368" w:name="Tc_GShNaRmsdECn4YKPHMJYiw_20_15"/>
      <w:bookmarkStart w:id="369" w:name="Tc_WENQ2mIzMkSr29vHBzwUNw_20_14"/>
      <w:bookmarkStart w:id="370" w:name="Tc_2F6f5dpcE0KXGcIpL5vvLw_20_12"/>
      <w:bookmarkStart w:id="371" w:name="Tc_uG-PIItSzU-21jXJKipXyw_20_10"/>
      <w:bookmarkStart w:id="372" w:name="Tc_CaZfwWiM302XvXquCmzT6w_20_9"/>
      <w:bookmarkStart w:id="373" w:name="Tc_O5cm0fauHEmusL7_YjXlfg_20_7"/>
      <w:bookmarkStart w:id="374" w:name="Tc_SZ-zFcvS0k6oMcaXvc-Tpg_20_5"/>
      <w:bookmarkStart w:id="375" w:name="Tc_o4vItLHNxECklDgI8poE8Q_20_4"/>
      <w:bookmarkStart w:id="376" w:name="Tc_Pinb5tl2dEqjRSRCMjCz8g_20_2"/>
      <w:bookmarkStart w:id="377" w:name="Tc_-64ETVjzLEuZBSxDL0JFSA_20_0"/>
      <w:bookmarkStart w:id="378" w:name="Tc_BJoFLxmfcUOA0B4G7DRB_g_19_37"/>
      <w:bookmarkStart w:id="379" w:name="Tc_WJfl9nQheUKtduaBpycTww_19_34"/>
      <w:bookmarkStart w:id="380" w:name="Tc_QizhuBQ9KEO_Y4Ga0B87Rw_19_31"/>
      <w:bookmarkStart w:id="381" w:name="Tc_pdHufb2s70yaaKfwG6ALbQ_19_28"/>
      <w:bookmarkStart w:id="382" w:name="Tc_n6Hr13sGp0KjZHvzgZ0fHA_19_26"/>
      <w:bookmarkStart w:id="383" w:name="Tc_CZRn3qijlE-L-Omx0nsZHQ_19_23"/>
      <w:bookmarkStart w:id="384" w:name="Tc_g9QcQo6A80myTQiQ-9vd2w_19_20"/>
      <w:bookmarkStart w:id="385" w:name="Tc_rtiddbg0nUG6PYXXJ_NzKA_19_17"/>
      <w:bookmarkStart w:id="386" w:name="Tc_8kw5xMPu1kWt25DMzyylHQ_19_15"/>
      <w:bookmarkStart w:id="387" w:name="Tc_qqwq7I1w-EytfsAp-LF68w_19_12"/>
      <w:bookmarkStart w:id="388" w:name="Tc_SBXzQGoIrEacepJNPtLAcg_19_10"/>
      <w:bookmarkStart w:id="389" w:name="Tc_kkmCneTeAk26zrVOGlXqoQ_19_7"/>
      <w:bookmarkStart w:id="390" w:name="Tc_3WTP9qyxCk6ZWlQZ4mAztg_19_5"/>
      <w:bookmarkStart w:id="391" w:name="Tc_hZ5VezzoiUGIXnptlxaTjw_19_2"/>
      <w:bookmarkStart w:id="392" w:name="Tc_VbEOY0Vzg0qg78jheAGXmA_19_0"/>
      <w:bookmarkStart w:id="393" w:name="Tc_yJxB8FBhLkC13BkklPr-ZQ_18_40"/>
      <w:bookmarkStart w:id="394" w:name="Tc_vR80QZ2GakuhItUFjaMvDQ_18_34"/>
      <w:bookmarkStart w:id="395" w:name="Tc_ginCehPjv0StjhJHxtxIZw_18_31"/>
      <w:bookmarkStart w:id="396" w:name="Tc_XmAlC7-X-UecaheLuVUONQ_18_28"/>
      <w:bookmarkStart w:id="397" w:name="Tc_eirulOI7lUOBuBnudUTVyg_18_26"/>
      <w:bookmarkStart w:id="398" w:name="Tc_XiObaea8LUGh5VhJ8aXPMw_18_23"/>
      <w:bookmarkStart w:id="399" w:name="Tc_MEhG1ikMJ0a5p0TsE_eJ9Q_18_20"/>
      <w:bookmarkStart w:id="400" w:name="Tc_LTna-Mq65U-SIiiW-Xi2NQ_18_17"/>
      <w:bookmarkStart w:id="401" w:name="Tc_FMGPPU2hMk2EqcHvidsqrA_18_15"/>
      <w:bookmarkStart w:id="402" w:name="Tc_ZrjIIuCtlUaVw7MMAfzcqA_18_12"/>
      <w:bookmarkStart w:id="403" w:name="Tc_VdH8bNCRskmX5LS6SGZUCQ_18_10"/>
      <w:bookmarkStart w:id="404" w:name="Tc_O-qUYT41k0-e8EcA1sfyCw_18_7"/>
      <w:bookmarkStart w:id="405" w:name="Tc_E7WoZcc_bEGJnFVUsZX71Q_18_5"/>
      <w:bookmarkStart w:id="406" w:name="Tc_m3F45rMAwkqMhfvN9v0itw_18_2"/>
      <w:bookmarkStart w:id="407" w:name="Tc_Hc-iG0cms0CgMD0Dt0FGKA_18_0"/>
      <w:bookmarkStart w:id="408" w:name="Tc_KN5IzE_h-kGh-MvhKrHlGA_17_40"/>
      <w:bookmarkStart w:id="409" w:name="Tc_VGzjXTfqDEa16sHrsrzScg_17_37"/>
      <w:bookmarkStart w:id="410" w:name="Tc_9nx6xQG6bk6Xv3PAuSvtlg_17_31"/>
      <w:bookmarkStart w:id="411" w:name="Tc_CUQfK4rcIkaWOO2vtiwGTQ_17_28"/>
      <w:bookmarkStart w:id="412" w:name="Tc_dkiGs6kwbE6X73RgOOKyGQ_17_26"/>
      <w:bookmarkStart w:id="413" w:name="Tc_0xh1Nzae10GwkjmXA-5yRA_17_23"/>
      <w:bookmarkStart w:id="414" w:name="Tc_DWGkckmRC0uJ2-KeAvCPyw_17_20"/>
      <w:bookmarkStart w:id="415" w:name="Tc_S0UgW0FAfUiBbCHVF-DpCw_17_17"/>
      <w:bookmarkStart w:id="416" w:name="Tc_51TFzA6GjU28sG-p52L6ZA_17_15"/>
      <w:bookmarkStart w:id="417" w:name="Tc_sK02DZyxY0qQF6R-j6Vm3A_17_12"/>
      <w:bookmarkStart w:id="418" w:name="Tc_at_QJE7THUK7bOxjG0kswQ_17_10"/>
      <w:bookmarkStart w:id="419" w:name="Tc_ixmEkcdwDUOkLyAkXHcsnw_17_7"/>
      <w:bookmarkStart w:id="420" w:name="Tc_G6nzWlbs40SDTNUy0bC-aA_17_5"/>
      <w:bookmarkStart w:id="421" w:name="Tc_InM-b0Vz3USsQ2vN0U6i2g_17_2"/>
      <w:bookmarkStart w:id="422" w:name="Tc__DO_O12KBkuIkh2y7lDwyw_17_0"/>
      <w:bookmarkStart w:id="423" w:name="Tc_bzR51fGpR0KIVD4m3HQFGg_16_40"/>
      <w:bookmarkStart w:id="424" w:name="Tc_9qBLNb-NXEuTpP4ZOyfRBA_16_37"/>
      <w:bookmarkStart w:id="425" w:name="Tc_QrdWzEgN9068GU--I9nzCw_16_31"/>
      <w:bookmarkStart w:id="426" w:name="Tc_boh7w7a9oUGCVY3Ou7Rl0g_16_28"/>
      <w:bookmarkStart w:id="427" w:name="Tc_oqe9UiSq3k2dWdXz6RrpWg_16_26"/>
      <w:bookmarkStart w:id="428" w:name="Tc_vjhwUoOHfEWqUVmcm_4HEg_16_20"/>
      <w:bookmarkStart w:id="429" w:name="Tc_Kv-2W2xVBUa7ZH0nC5cVxg_16_17"/>
      <w:bookmarkStart w:id="430" w:name="Tc_mPO5LUYS40a6N0Xq8MzBbg_16_15"/>
      <w:bookmarkStart w:id="431" w:name="Tc_uTKkG-Hia0WSPTedPnUBLg_16_12"/>
      <w:bookmarkStart w:id="432" w:name="Tc_ik6FumF3pUONNgJnnWx9jA_16_10"/>
      <w:bookmarkStart w:id="433" w:name="Tc_LblkUPCcjES_Zcfkp0ihnA_16_7"/>
      <w:bookmarkStart w:id="434" w:name="Tc_hB4RpGk5mEyWtKvYZcxXrQ_16_5"/>
      <w:bookmarkStart w:id="435" w:name="Tc_G0N7DhgbIE614ZHQjGeo2Q_16_2"/>
      <w:bookmarkStart w:id="436" w:name="Tc_JYQILpI-vUu8E-EIkQlbeQ_16_0"/>
      <w:bookmarkStart w:id="437" w:name="Tc_lDy6cCSumk-wIZ2JcKh5Dw_15_43"/>
      <w:bookmarkStart w:id="438" w:name="Tc_ZVw9S03AuUO7hHnKxUVelg_15_40"/>
      <w:bookmarkStart w:id="439" w:name="Tc_Cw1GwLhmR0mZzViQhulOJA_15_37"/>
      <w:bookmarkStart w:id="440" w:name="Tc_CETag7qB6UeSbw8SxUZ36Q_15_34"/>
      <w:bookmarkStart w:id="441" w:name="Tc_Lzayy7PSQ0muXRUIRCU6Eg_15_20"/>
      <w:bookmarkStart w:id="442" w:name="Tc_RQt-iamznUCWO7nZCBVVTg_15_17"/>
      <w:bookmarkStart w:id="443" w:name="Tc_vLb1rr1QxUW046nzTVAizw_15_15"/>
      <w:bookmarkStart w:id="444" w:name="Tc_x1hoDeKMOEmbMiLL4NfYNw_15_12"/>
      <w:bookmarkStart w:id="445" w:name="Tc_pmpA4_KYhE-wxenfXjBD_g_15_10"/>
      <w:bookmarkStart w:id="446" w:name="Tc_Uei9sm0vlUSliZZk4u0zOw_15_7"/>
      <w:bookmarkStart w:id="447" w:name="Tc_WuG6cBqoi0WeNNuLZ-DW9w_15_5"/>
      <w:bookmarkStart w:id="448" w:name="Tc_O3vPDU_8Nk-EYmQ-_kOr7w_15_2"/>
      <w:bookmarkStart w:id="449" w:name="Tc_YH9-JzkyEE2dXyBpM-6_Xg_15_0"/>
      <w:bookmarkStart w:id="450" w:name="Tc_2N30dMNMGkq4kEczO2madw_14_31"/>
      <w:bookmarkStart w:id="451" w:name="Tc_6w5SGUvIkkaEBh0S1YmdVA_14_28"/>
      <w:bookmarkStart w:id="452" w:name="Tc_IyNonrM_ikuCJmiB62G7Ig_14_20"/>
      <w:bookmarkStart w:id="453" w:name="Tc_rYqIM_MyA0e0ke3UryosFg_14_17"/>
      <w:bookmarkStart w:id="454" w:name="Tc_bti78VzukUGZlE3CgPs47A_14_15"/>
      <w:bookmarkStart w:id="455" w:name="Tc_5asVXMFG4EaWVaTGiF6TBw_14_12"/>
      <w:bookmarkStart w:id="456" w:name="Tc_IhVVpQKTtUKnGL0XzqEf6Q_14_10"/>
      <w:bookmarkStart w:id="457" w:name="Tc_CXTYds0oCUONmJ5lg_EE1A_14_7"/>
      <w:bookmarkStart w:id="458" w:name="Tc_Wkpo3WefnEK3S9USF5nebg_14_5"/>
      <w:bookmarkStart w:id="459" w:name="Tc_LkfVPd5_9kCO-rX0llnPKw_14_2"/>
      <w:bookmarkStart w:id="460" w:name="Tc_pv223-fUVEGTvFfw81t05A_14_0"/>
      <w:bookmarkStart w:id="461" w:name="Tc_vGkv6xnZfU2kLUjG6l6XpA_13_37"/>
      <w:bookmarkStart w:id="462" w:name="Tc_1wvDbQVeQkuGAyJoAsdxeg_13_34"/>
      <w:bookmarkStart w:id="463" w:name="Tc_CH6UIqp-PECtz58NDbnqAA_13_31"/>
      <w:bookmarkStart w:id="464" w:name="Tc_JDUBfGHFMUSdz2WUCzfnNg_13_28"/>
      <w:bookmarkStart w:id="465" w:name="Tc_XHoovP9g2ka-kO4x7039Ag_13_26"/>
      <w:bookmarkStart w:id="466" w:name="Tc_CktnsA8TmkGwiGhoNF4MUQ_13_23"/>
      <w:bookmarkStart w:id="467" w:name="Tc_VIXSr8kAuEyC1TwVde0CLw_13_20"/>
      <w:bookmarkStart w:id="468" w:name="Tc_lSZkmHfbcku5zAXIo6kMEQ_13_17"/>
      <w:bookmarkStart w:id="469" w:name="Tc_w_-Q5MXoLECDuqhFUN8B7g_13_15"/>
      <w:bookmarkStart w:id="470" w:name="Tc_Xh22ChhNMkKv1-TdxBjNIw_13_12"/>
      <w:bookmarkStart w:id="471" w:name="Tc__u_hzh8C80urFl3iRzR1IQ_13_10"/>
      <w:bookmarkStart w:id="472" w:name="Tc_92Qqcc2t802fIs46ztbZtg_13_7"/>
      <w:bookmarkStart w:id="473" w:name="Tc_olJklWCfU0yeT0LEVYGkrg_13_5"/>
      <w:bookmarkStart w:id="474" w:name="Tc_HvlBdxjKEEupbMNSBrtoRA_13_2"/>
      <w:bookmarkStart w:id="475" w:name="Tc_U2LZmJ6Tr0isVb9JuFt92w_13_0"/>
      <w:bookmarkStart w:id="476" w:name="Tc_olBwUyUfy0eBneoGOAjgPw_12_40"/>
      <w:bookmarkStart w:id="477" w:name="Tc_75GGMudtG0GE4DqA_f-f9Q_12_34"/>
      <w:bookmarkStart w:id="478" w:name="Tc_TUzL5K2s_EKdgtzNW-pC2A_12_31"/>
      <w:bookmarkStart w:id="479" w:name="Tc_KXxiqaWnJEibDg5cu5Vx6g_12_28"/>
      <w:bookmarkStart w:id="480" w:name="Tc_6CGtnOrkX0SHfZd-ftcB5w_12_26"/>
      <w:bookmarkStart w:id="481" w:name="Tc_LinuR3qgWk2rLM5qVX8amQ_12_23"/>
      <w:bookmarkStart w:id="482" w:name="Tc_B6Q_Tl44EUOo4D7fYPOj8w_12_20"/>
      <w:bookmarkStart w:id="483" w:name="Tc_UMhKjNMZPE2hKOYlsabZiw_12_17"/>
      <w:bookmarkStart w:id="484" w:name="Tc_A5QSv4GUd0iPJrCiZN6b_w_12_15"/>
      <w:bookmarkStart w:id="485" w:name="Tc_YkH7uEWMgk-bA3WsoaXP0A_12_12"/>
      <w:bookmarkStart w:id="486" w:name="Tc_0W3lIqC7DU6ZtOmq9STxqg_12_10"/>
      <w:bookmarkStart w:id="487" w:name="Tc_cVpeWlDpck-_2JEjIFuhqQ_12_7"/>
      <w:bookmarkStart w:id="488" w:name="Tc_erHS0GlTvEOoQyQjHBt5Hw_12_5"/>
      <w:bookmarkStart w:id="489" w:name="Tc_NpKnSo7n20upJRhseBIKnA_12_2"/>
      <w:bookmarkStart w:id="490" w:name="Tc_NCrlRQKa5UaFeflB2MjHaw_12_0"/>
      <w:bookmarkStart w:id="491" w:name="Tc_pyN41kGbakyGfJp3gUzJ1A_11_40"/>
      <w:bookmarkStart w:id="492" w:name="Tc_MPqBycD3SU-zHH68RM2hBQ_11_37"/>
      <w:bookmarkStart w:id="493" w:name="Tc_32X5hyr24ky-u4GuxivttQ_11_31"/>
      <w:bookmarkStart w:id="494" w:name="Tc_LBe1MvngwEiihQrTceYHUg_11_28"/>
      <w:bookmarkStart w:id="495" w:name="Tc_J00VvD1XE0iYZXYTwqtc4g_11_26"/>
      <w:bookmarkStart w:id="496" w:name="Tc_NEKmH6BTTkyV5E0dvHVlgQ_11_23"/>
      <w:bookmarkStart w:id="497" w:name="Tc_tJ3f9RWa8USbefvLYRJy9g_11_20"/>
      <w:bookmarkStart w:id="498" w:name="Tc_iVExP1Jx9kOqrhGq7v9eZw_11_17"/>
      <w:bookmarkStart w:id="499" w:name="Tc_lzuQi0xJCEOfJFqMQ4QUcQ_11_15"/>
      <w:bookmarkStart w:id="500" w:name="Tc_AuceYwxWAk2lUWo2aI5waA_11_12"/>
      <w:bookmarkStart w:id="501" w:name="Tc_3El5JSmnfkSNm9xn0yISfA_11_10"/>
      <w:bookmarkStart w:id="502" w:name="Tc_ZAVUxk1EAESNfRiBIC_24g_11_7"/>
      <w:bookmarkStart w:id="503" w:name="Tc_xWsN9U4jxE6FrfSByR47jw_11_5"/>
      <w:bookmarkStart w:id="504" w:name="Tc_deJ-hgOC10y7Z1TzvnGBZQ_11_2"/>
      <w:bookmarkStart w:id="505" w:name="Tc_tFQi51xK20e2oiZDKRQiWw_11_0"/>
      <w:bookmarkStart w:id="506" w:name="Tc_Lr8g4EJRdEq4Y1o9vv-j8Q_10_40"/>
      <w:bookmarkStart w:id="507" w:name="Tc_TCowN0jOHUqQ6wraI8VFVw_10_37"/>
      <w:bookmarkStart w:id="508" w:name="Tc_5LVEzb3kVECeJSuqhAc9BQ_10_31"/>
      <w:bookmarkStart w:id="509" w:name="Tc_an-tvTIbE0a4JQwYNG2r2w_10_28"/>
      <w:bookmarkStart w:id="510" w:name="Tc_IfXikRCiS0yzTq3tsHiodg_10_26"/>
      <w:bookmarkStart w:id="511" w:name="Tc_aLxE2p8wtke_mYbokHqbZw_10_20"/>
      <w:bookmarkStart w:id="512" w:name="Tc_PanKPDwsakq2Su8EJ0Jugw_10_17"/>
      <w:bookmarkStart w:id="513" w:name="Tc_uh_AbzyOl0KKS_xUSOK9Pw_10_15"/>
      <w:bookmarkStart w:id="514" w:name="Tc_YNuQFAjrfEygA5giXkqmrQ_10_12"/>
      <w:bookmarkStart w:id="515" w:name="Tc_k2HMN9_R30qu1sShPyOeUg_10_10"/>
      <w:bookmarkStart w:id="516" w:name="Tc_XE_KgV0nE0Kz41GfkgaJxQ_10_7"/>
      <w:bookmarkStart w:id="517" w:name="Tc_nk0mjoT8uUqd3u7XG9ZP3Q_10_5"/>
      <w:bookmarkStart w:id="518" w:name="Tc_KpOK_ETSJkCledj-MzjwUw_10_2"/>
      <w:bookmarkStart w:id="519" w:name="Tc_tpqkBooSDEq3nspTWjZSjw_10_0"/>
      <w:bookmarkStart w:id="520" w:name="Tc_Ceu7pDmi30W7zu6x1WYDiQ_9_43"/>
      <w:bookmarkStart w:id="521" w:name="Tc_rK5mcKgJPkyoBnQ4JqDnRA_9_40"/>
      <w:bookmarkStart w:id="522" w:name="Tc_2YjTvuGF1kWOdj-1WKyehg_9_37"/>
      <w:bookmarkStart w:id="523" w:name="Tc_QjFurDYbBkeXmb9EgOAWaQ_9_34"/>
      <w:bookmarkStart w:id="524" w:name="Tc_aWvpqpHS1Eu10odaS7O0Fg_9_31"/>
      <w:bookmarkStart w:id="525" w:name="Tc_tW1sgg6Oy0WgA7Tr5cJ1pQ_9_28"/>
      <w:bookmarkStart w:id="526" w:name="Tc_X4hbZEfJfUG_hMsZpj2YzQ_9_26"/>
      <w:bookmarkStart w:id="527" w:name="Tc_O0PVChkWRkehGSsJe99B1w_9_20"/>
      <w:bookmarkStart w:id="528" w:name="Tc_bHV8DEpMfUm5OCdhZbd2lA_9_17"/>
      <w:bookmarkStart w:id="529" w:name="Tc_QwyqXEb_s0-bM-Bo4dCa9g_9_15"/>
      <w:bookmarkStart w:id="530" w:name="Tc_jFY-2uBqxkyN4V4xx6F4Lw_9_12"/>
      <w:bookmarkStart w:id="531" w:name="Tc_hiRZBbRei0-CR8bPiUzCkA_9_10"/>
      <w:bookmarkStart w:id="532" w:name="Tc_G9LuoITHFEaXevfwR368-Q_9_7"/>
      <w:bookmarkStart w:id="533" w:name="Tc_RVJyg18zEEuRvQbz70KOng_9_5"/>
      <w:bookmarkStart w:id="534" w:name="Tc_82g0leTJmUCRrKIV2wRvKQ_9_2"/>
      <w:bookmarkStart w:id="535" w:name="Tc_-hPeAyfvmk2EhaeWXSHGEA_9_0"/>
      <w:bookmarkStart w:id="536" w:name="Tc_L7rGWRLSSUSdhjeDnDBSiQ_8_40"/>
      <w:bookmarkStart w:id="537" w:name="Tc_c43cLG4CWEmWotok38vy_A_8_37"/>
      <w:bookmarkStart w:id="538" w:name="Tc_FtI-hdvBTUqCJzM1OdokBA_8_31"/>
      <w:bookmarkStart w:id="539" w:name="Tc_ZnAsEVq40E6UrjrslkkZCA_8_28"/>
      <w:bookmarkStart w:id="540" w:name="Tc_-mD1qmT_vkKTWPQTMdXtLg_8_20"/>
      <w:bookmarkStart w:id="541" w:name="Tc_oymmMAPF1k-T520iNs2_7w_8_17"/>
      <w:bookmarkStart w:id="542" w:name="Tc_4Z72Pe6DqEifmAd68-RtUQ_8_15"/>
      <w:bookmarkStart w:id="543" w:name="Tc_4ckYGLDpM0e2Jmo61kHsjA_8_12"/>
      <w:bookmarkStart w:id="544" w:name="Tc_tLblJKzbvkO4e4lD6X_h6g_8_10"/>
      <w:bookmarkStart w:id="545" w:name="Tc_-2p0X-_Fm02FlRKBfiHacQ_8_7"/>
      <w:bookmarkStart w:id="546" w:name="Tc_X2L_5_ThjECMZsRQRaC2bw_8_5"/>
      <w:bookmarkStart w:id="547" w:name="Tc_LiRhL5ntlE-YnXib_CHqvQ_8_2"/>
      <w:bookmarkStart w:id="548" w:name="Tc_HR-I17LmGkatoHy8x9qVIQ_8_0"/>
      <w:bookmarkStart w:id="549" w:name="Tc_54op6ibk5EGHzatb5b8qUQ_7_40"/>
      <w:bookmarkStart w:id="550" w:name="Tc_UNhuMK-m5UeVyeVIDxe1aQ_7_37"/>
      <w:bookmarkStart w:id="551" w:name="Tc_ngk37cMKBECyR-cuB45LOA_7_31"/>
      <w:bookmarkStart w:id="552" w:name="Tc_Cfv8H1ZeG0qwZd_UKMXIyg_7_28"/>
      <w:bookmarkStart w:id="553" w:name="Tc_8Ka3Rx31-Uaai0vCkDRx-A_7_0"/>
      <w:bookmarkStart w:id="554" w:name="Tc_0oDyQN-sgUKDcCgF2CgTpg_6_42"/>
      <w:bookmarkStart w:id="555" w:name="Tc_BBMqyocVkUG5x3B0a1ysLw_6_39"/>
      <w:bookmarkStart w:id="556" w:name="Tc_mKLrNA2KkUGOIhGUPALlTA_6_36"/>
      <w:bookmarkStart w:id="557" w:name="Tc_xAIvKkrBn0Sv0FE_H6xmWw_6_33"/>
      <w:bookmarkStart w:id="558" w:name="Tc_SZmoyU6zuE-cVZRQUKD9QA_6_31"/>
      <w:bookmarkStart w:id="559" w:name="Tc_pBietZDi_E2vO-VtCTf-ag_6_30"/>
      <w:bookmarkStart w:id="560" w:name="Tc_5pSTJa9hfUCZZlnli6E1yw_6_28"/>
      <w:bookmarkStart w:id="561" w:name="Tc_XiK_3YQ70kmCGf95U0UXcA_6_25"/>
      <w:bookmarkStart w:id="562" w:name="Tc_dH7FJfVjl0qhjm-rZ7dg6Q_6_19"/>
      <w:bookmarkStart w:id="563" w:name="Tc_swFTXY8HeUeZW6871iJvyA_6_14"/>
      <w:bookmarkStart w:id="564" w:name="Tc_g-IUJDgkJ06cQPl03UJN-w_6_9"/>
      <w:bookmarkStart w:id="565" w:name="Tc_7Jmp8RYhv0iqEotzHr20hw_6_4"/>
      <w:bookmarkStart w:id="566" w:name="Tc_sP_Ti262HUu3ZaS3b2I85w_6_0"/>
      <w:bookmarkStart w:id="567" w:name="Tc_GvXujUkRdEuK5zMzB6vpdg_5_42"/>
      <w:bookmarkStart w:id="568" w:name="Tc_iKdnRfopPkGT7A4323k6OA_5_39"/>
      <w:bookmarkStart w:id="569" w:name="Tc_J6RLk1vUXUKEYciuSRAXFA_5_36"/>
      <w:bookmarkStart w:id="570" w:name="Tc_H5Rn4Jd140qAiifac-lAFg_5_33"/>
      <w:bookmarkStart w:id="571" w:name="Tc_MvLsPvjk3E61q5gsvkZknQ_5_30"/>
      <w:bookmarkStart w:id="572" w:name="Tc_GZ1b_JG_N0296ho7k4DpEw_5_28"/>
      <w:bookmarkStart w:id="573" w:name="Tc_d_IKQd5LrUShWtqMmLGDOA_5_25"/>
      <w:bookmarkStart w:id="574" w:name="Tc_KaKrEglICUavDzGybMloRg_5_23"/>
      <w:bookmarkStart w:id="575" w:name="Tc_M-V5gy_ZikKdmFSuhwS1KQ_5_19"/>
      <w:bookmarkStart w:id="576" w:name="Tc_WdgIxcGO5Ea9KuQPNPLuVw_5_17"/>
      <w:bookmarkStart w:id="577" w:name="Tc_pkXKGHfKJUGwaWs9TvtWQw_5_14"/>
      <w:bookmarkStart w:id="578" w:name="Tc_o2xxrwzAbU6EApMLQrO8wA_5_12"/>
      <w:bookmarkStart w:id="579" w:name="Tc_0BkmRQI44UaRlyGCnI_y2Q_5_9"/>
      <w:bookmarkStart w:id="580" w:name="Tc_Uhwnla3Waki1KLOvuxKPMQ_5_7"/>
      <w:bookmarkStart w:id="581" w:name="Tc_0xyASJuaMkG5eEqNZlndwA_5_4"/>
      <w:bookmarkStart w:id="582" w:name="Tc_uWyjhCKfYEydbK0_24oLgw_5_2"/>
      <w:bookmarkStart w:id="583" w:name="Tc_jNa4-yhYAUWaE6_SeB1E7A_4_42"/>
      <w:bookmarkStart w:id="584" w:name="Tc_w-gQQLgz1kKZ53tSFr8Jhw_4_39"/>
      <w:bookmarkStart w:id="585" w:name="Tc_e7vh72-qsECZj6cRFxQ48Q_4_36"/>
      <w:bookmarkStart w:id="586" w:name="Tc_V9C2zqI91Eq4jmc8dB4VbQ_4_33"/>
      <w:bookmarkStart w:id="587" w:name="Tc_hFAo6RgNokWhzNtlGiHG_w_4_28"/>
      <w:bookmarkStart w:id="588" w:name="Tc_sQgpLik-UE6FTY6kGy853A_4_23"/>
      <w:bookmarkStart w:id="589" w:name="Tc_Ks0AUrzULU6u9EC6jqigFw_4_17"/>
      <w:bookmarkStart w:id="590" w:name="Tc_QbrEF95XtkmNBs3109s0_w_4_12"/>
      <w:bookmarkStart w:id="591" w:name="Tc_643UUmqWkk6dWGmWe8t1hg_4_7"/>
      <w:bookmarkStart w:id="592" w:name="Tc_IibpmKVXOESgc_sZ4XWn9Q_4_2"/>
      <w:bookmarkStart w:id="593" w:name="Tc_VnJ_mJrrrUKCOfOt9MmqEA_3_42"/>
      <w:bookmarkStart w:id="594" w:name="Tc_HS7MGOjZLEihDnIIo_KUgw_3_36"/>
      <w:bookmarkStart w:id="595" w:name="Tc_TK4LAej42Uu1bQUXv8_5RA_3_33"/>
      <w:bookmarkStart w:id="596" w:name="Tc_Ov8fPqCs30GiIpLt3XIAMQ_3_28"/>
      <w:bookmarkStart w:id="597" w:name="Tc_0eUEU-vphUSPLt2Cr09lqw_3_23"/>
      <w:bookmarkStart w:id="598" w:name="Tc_Drt8DZADTEevkcpE4l37yw_3_2"/>
      <w:bookmarkStart w:id="599" w:name="Tc_4zq9iz_IP0eBZE0cVaAl-Q_2_36"/>
      <w:bookmarkStart w:id="600" w:name="_ffb4b8c9_ed89_46a0_a7f7_c18154b813f9"/>
      <w:bookmarkStart w:id="601" w:name="Tc_zOURzZMJLUWCk7MK3RI0BA_20_42"/>
      <w:bookmarkStart w:id="602" w:name="Tc_dFwrxBC_iEqrqhqrl7jxyA_20_39"/>
      <w:bookmarkStart w:id="603" w:name="Tc_-0eKxe3hmkWwjtydz8f5IQ_20_36"/>
      <w:bookmarkStart w:id="604" w:name="Tc_-asai_otX0qRmo_y3f_vZw_20_33"/>
      <w:bookmarkStart w:id="605" w:name="Tc_H-5qy40J6ES0Qet4JNediA_20_30"/>
      <w:bookmarkStart w:id="606" w:name="Tc_Yz11qEXhQEyjFJWHso23DQ_20_25"/>
      <w:bookmarkStart w:id="607" w:name="Tc_boUE2JzCpk62qd54PtCb3g_20_20"/>
      <w:bookmarkStart w:id="608" w:name="Tc_imuOLu4F1kepOwbbHsTxHQ_20_19"/>
      <w:bookmarkStart w:id="609" w:name="Tc__zBqpKrQIEGAsdFgVhbs4A_20_17"/>
      <w:bookmarkStart w:id="610" w:name="Tc_GShNaRmsdECn4YKPHMJYiw_20_15"/>
      <w:bookmarkStart w:id="611" w:name="Tc_WENQ2mIzMkSr29vHBzwUNw_20_14"/>
      <w:bookmarkStart w:id="612" w:name="Tc_2F6f5dpcE0KXGcIpL5vvLw_20_12"/>
      <w:bookmarkStart w:id="613" w:name="Tc_uG-PIItSzU-21jXJKipXyw_20_10"/>
      <w:bookmarkStart w:id="614" w:name="Tc_CaZfwWiM302XvXquCmzT6w_20_9"/>
      <w:bookmarkStart w:id="615" w:name="Tc_O5cm0fauHEmusL7_YjXlfg_20_7"/>
      <w:bookmarkStart w:id="616" w:name="Tc_SZ-zFcvS0k6oMcaXvc-Tpg_20_5"/>
      <w:bookmarkStart w:id="617" w:name="Tc_o4vItLHNxECklDgI8poE8Q_20_4"/>
      <w:bookmarkStart w:id="618" w:name="Tc_Pinb5tl2dEqjRSRCMjCz8g_20_2"/>
      <w:bookmarkStart w:id="619" w:name="Tc_-64ETVjzLEuZBSxDL0JFSA_20_0"/>
      <w:bookmarkStart w:id="620" w:name="Tc_BJoFLxmfcUOA0B4G7DRB_g_19_37"/>
      <w:bookmarkStart w:id="621" w:name="Tc_WJfl9nQheUKtduaBpycTww_19_34"/>
      <w:bookmarkStart w:id="622" w:name="Tc_QizhuBQ9KEO_Y4Ga0B87Rw_19_31"/>
      <w:bookmarkStart w:id="623" w:name="Tc_pdHufb2s70yaaKfwG6ALbQ_19_28"/>
      <w:bookmarkStart w:id="624" w:name="Tc_n6Hr13sGp0KjZHvzgZ0fHA_19_26"/>
      <w:bookmarkStart w:id="625" w:name="Tc_CZRn3qijlE-L-Omx0nsZHQ_19_23"/>
      <w:bookmarkStart w:id="626" w:name="Tc_g9QcQo6A80myTQiQ-9vd2w_19_20"/>
      <w:bookmarkStart w:id="627" w:name="Tc_rtiddbg0nUG6PYXXJ_NzKA_19_17"/>
      <w:bookmarkStart w:id="628" w:name="Tc_8kw5xMPu1kWt25DMzyylHQ_19_15"/>
      <w:bookmarkStart w:id="629" w:name="Tc_qqwq7I1w-EytfsAp-LF68w_19_12"/>
      <w:bookmarkStart w:id="630" w:name="Tc_SBXzQGoIrEacepJNPtLAcg_19_10"/>
      <w:bookmarkStart w:id="631" w:name="Tc_kkmCneTeAk26zrVOGlXqoQ_19_7"/>
      <w:bookmarkStart w:id="632" w:name="Tc_3WTP9qyxCk6ZWlQZ4mAztg_19_5"/>
      <w:bookmarkStart w:id="633" w:name="Tc_hZ5VezzoiUGIXnptlxaTjw_19_2"/>
      <w:bookmarkStart w:id="634" w:name="Tc_VbEOY0Vzg0qg78jheAGXmA_19_0"/>
      <w:bookmarkStart w:id="635" w:name="Tc_yJxB8FBhLkC13BkklPr-ZQ_18_40"/>
      <w:bookmarkStart w:id="636" w:name="Tc_vR80QZ2GakuhItUFjaMvDQ_18_34"/>
      <w:bookmarkStart w:id="637" w:name="Tc_ginCehPjv0StjhJHxtxIZw_18_31"/>
      <w:bookmarkStart w:id="638" w:name="Tc_XmAlC7-X-UecaheLuVUONQ_18_28"/>
      <w:bookmarkStart w:id="639" w:name="Tc_eirulOI7lUOBuBnudUTVyg_18_26"/>
      <w:bookmarkStart w:id="640" w:name="Tc_XiObaea8LUGh5VhJ8aXPMw_18_23"/>
      <w:bookmarkStart w:id="641" w:name="Tc_MEhG1ikMJ0a5p0TsE_eJ9Q_18_20"/>
      <w:bookmarkStart w:id="642" w:name="Tc_LTna-Mq65U-SIiiW-Xi2NQ_18_17"/>
      <w:bookmarkStart w:id="643" w:name="Tc_FMGPPU2hMk2EqcHvidsqrA_18_15"/>
      <w:bookmarkStart w:id="644" w:name="Tc_ZrjIIuCtlUaVw7MMAfzcqA_18_12"/>
      <w:bookmarkStart w:id="645" w:name="Tc_VdH8bNCRskmX5LS6SGZUCQ_18_10"/>
      <w:bookmarkStart w:id="646" w:name="Tc_O-qUYT41k0-e8EcA1sfyCw_18_7"/>
      <w:bookmarkStart w:id="647" w:name="Tc_E7WoZcc_bEGJnFVUsZX71Q_18_5"/>
      <w:bookmarkStart w:id="648" w:name="Tc_m3F45rMAwkqMhfvN9v0itw_18_2"/>
      <w:bookmarkStart w:id="649" w:name="Tc_Hc-iG0cms0CgMD0Dt0FGKA_18_0"/>
      <w:bookmarkStart w:id="650" w:name="Tc_KN5IzE_h-kGh-MvhKrHlGA_17_40"/>
      <w:bookmarkStart w:id="651" w:name="Tc_VGzjXTfqDEa16sHrsrzScg_17_37"/>
      <w:bookmarkStart w:id="652" w:name="Tc_9nx6xQG6bk6Xv3PAuSvtlg_17_31"/>
      <w:bookmarkStart w:id="653" w:name="Tc_CUQfK4rcIkaWOO2vtiwGTQ_17_28"/>
      <w:bookmarkStart w:id="654" w:name="Tc_dkiGs6kwbE6X73RgOOKyGQ_17_26"/>
      <w:bookmarkStart w:id="655" w:name="Tc_0xh1Nzae10GwkjmXA-5yRA_17_23"/>
      <w:bookmarkStart w:id="656" w:name="Tc_DWGkckmRC0uJ2-KeAvCPyw_17_20"/>
      <w:bookmarkStart w:id="657" w:name="Tc_S0UgW0FAfUiBbCHVF-DpCw_17_17"/>
      <w:bookmarkStart w:id="658" w:name="Tc_51TFzA6GjU28sG-p52L6ZA_17_15"/>
      <w:bookmarkStart w:id="659" w:name="Tc_sK02DZyxY0qQF6R-j6Vm3A_17_12"/>
      <w:bookmarkStart w:id="660" w:name="Tc_at_QJE7THUK7bOxjG0kswQ_17_10"/>
      <w:bookmarkStart w:id="661" w:name="Tc_ixmEkcdwDUOkLyAkXHcsnw_17_7"/>
      <w:bookmarkStart w:id="662" w:name="Tc_G6nzWlbs40SDTNUy0bC-aA_17_5"/>
      <w:bookmarkStart w:id="663" w:name="Tc_InM-b0Vz3USsQ2vN0U6i2g_17_2"/>
      <w:bookmarkStart w:id="664" w:name="Tc__DO_O12KBkuIkh2y7lDwyw_17_0"/>
      <w:bookmarkStart w:id="665" w:name="Tc_bzR51fGpR0KIVD4m3HQFGg_16_40"/>
      <w:bookmarkStart w:id="666" w:name="Tc_9qBLNb-NXEuTpP4ZOyfRBA_16_37"/>
      <w:bookmarkStart w:id="667" w:name="Tc_QrdWzEgN9068GU--I9nzCw_16_31"/>
      <w:bookmarkStart w:id="668" w:name="Tc_boh7w7a9oUGCVY3Ou7Rl0g_16_28"/>
      <w:bookmarkStart w:id="669" w:name="Tc_oqe9UiSq3k2dWdXz6RrpWg_16_26"/>
      <w:bookmarkStart w:id="670" w:name="Tc_vjhwUoOHfEWqUVmcm_4HEg_16_20"/>
      <w:bookmarkStart w:id="671" w:name="Tc_Kv-2W2xVBUa7ZH0nC5cVxg_16_17"/>
      <w:bookmarkStart w:id="672" w:name="Tc_mPO5LUYS40a6N0Xq8MzBbg_16_15"/>
      <w:bookmarkStart w:id="673" w:name="Tc_uTKkG-Hia0WSPTedPnUBLg_16_12"/>
      <w:bookmarkStart w:id="674" w:name="Tc_ik6FumF3pUONNgJnnWx9jA_16_10"/>
      <w:bookmarkStart w:id="675" w:name="Tc_LblkUPCcjES_Zcfkp0ihnA_16_7"/>
      <w:bookmarkStart w:id="676" w:name="Tc_hB4RpGk5mEyWtKvYZcxXrQ_16_5"/>
      <w:bookmarkStart w:id="677" w:name="Tc_G0N7DhgbIE614ZHQjGeo2Q_16_2"/>
      <w:bookmarkStart w:id="678" w:name="Tc_JYQILpI-vUu8E-EIkQlbeQ_16_0"/>
      <w:bookmarkStart w:id="679" w:name="Tc_lDy6cCSumk-wIZ2JcKh5Dw_15_43"/>
      <w:bookmarkStart w:id="680" w:name="Tc_ZVw9S03AuUO7hHnKxUVelg_15_40"/>
      <w:bookmarkStart w:id="681" w:name="Tc_Cw1GwLhmR0mZzViQhulOJA_15_37"/>
      <w:bookmarkStart w:id="682" w:name="Tc_CETag7qB6UeSbw8SxUZ36Q_15_34"/>
      <w:bookmarkStart w:id="683" w:name="Tc_Lzayy7PSQ0muXRUIRCU6Eg_15_20"/>
      <w:bookmarkStart w:id="684" w:name="Tc_RQt-iamznUCWO7nZCBVVTg_15_17"/>
      <w:bookmarkStart w:id="685" w:name="Tc_vLb1rr1QxUW046nzTVAizw_15_15"/>
      <w:bookmarkStart w:id="686" w:name="Tc_x1hoDeKMOEmbMiLL4NfYNw_15_12"/>
      <w:bookmarkStart w:id="687" w:name="Tc_pmpA4_KYhE-wxenfXjBD_g_15_10"/>
      <w:bookmarkStart w:id="688" w:name="Tc_Uei9sm0vlUSliZZk4u0zOw_15_7"/>
      <w:bookmarkStart w:id="689" w:name="Tc_WuG6cBqoi0WeNNuLZ-DW9w_15_5"/>
      <w:bookmarkStart w:id="690" w:name="Tc_O3vPDU_8Nk-EYmQ-_kOr7w_15_2"/>
      <w:bookmarkStart w:id="691" w:name="Tc_YH9-JzkyEE2dXyBpM-6_Xg_15_0"/>
      <w:bookmarkStart w:id="692" w:name="Tc_2N30dMNMGkq4kEczO2madw_14_31"/>
      <w:bookmarkStart w:id="693" w:name="Tc_6w5SGUvIkkaEBh0S1YmdVA_14_28"/>
      <w:bookmarkStart w:id="694" w:name="Tc_IyNonrM_ikuCJmiB62G7Ig_14_20"/>
      <w:bookmarkStart w:id="695" w:name="Tc_rYqIM_MyA0e0ke3UryosFg_14_17"/>
      <w:bookmarkStart w:id="696" w:name="Tc_bti78VzukUGZlE3CgPs47A_14_15"/>
      <w:bookmarkStart w:id="697" w:name="Tc_5asVXMFG4EaWVaTGiF6TBw_14_12"/>
      <w:bookmarkStart w:id="698" w:name="Tc_IhVVpQKTtUKnGL0XzqEf6Q_14_10"/>
      <w:bookmarkStart w:id="699" w:name="Tc_CXTYds0oCUONmJ5lg_EE1A_14_7"/>
      <w:bookmarkStart w:id="700" w:name="Tc_Wkpo3WefnEK3S9USF5nebg_14_5"/>
      <w:bookmarkStart w:id="701" w:name="Tc_LkfVPd5_9kCO-rX0llnPKw_14_2"/>
      <w:bookmarkStart w:id="702" w:name="Tc_pv223-fUVEGTvFfw81t05A_14_0"/>
      <w:bookmarkStart w:id="703" w:name="Tc_vGkv6xnZfU2kLUjG6l6XpA_13_37"/>
      <w:bookmarkStart w:id="704" w:name="Tc_1wvDbQVeQkuGAyJoAsdxeg_13_34"/>
      <w:bookmarkStart w:id="705" w:name="Tc_CH6UIqp-PECtz58NDbnqAA_13_31"/>
      <w:bookmarkStart w:id="706" w:name="Tc_JDUBfGHFMUSdz2WUCzfnNg_13_28"/>
      <w:bookmarkStart w:id="707" w:name="Tc_XHoovP9g2ka-kO4x7039Ag_13_26"/>
      <w:bookmarkStart w:id="708" w:name="Tc_CktnsA8TmkGwiGhoNF4MUQ_13_23"/>
      <w:bookmarkStart w:id="709" w:name="Tc_VIXSr8kAuEyC1TwVde0CLw_13_20"/>
      <w:bookmarkStart w:id="710" w:name="Tc_lSZkmHfbcku5zAXIo6kMEQ_13_17"/>
      <w:bookmarkStart w:id="711" w:name="Tc_w_-Q5MXoLECDuqhFUN8B7g_13_15"/>
      <w:bookmarkStart w:id="712" w:name="Tc_Xh22ChhNMkKv1-TdxBjNIw_13_12"/>
      <w:bookmarkStart w:id="713" w:name="Tc__u_hzh8C80urFl3iRzR1IQ_13_10"/>
      <w:bookmarkStart w:id="714" w:name="Tc_92Qqcc2t802fIs46ztbZtg_13_7"/>
      <w:bookmarkStart w:id="715" w:name="Tc_olJklWCfU0yeT0LEVYGkrg_13_5"/>
      <w:bookmarkStart w:id="716" w:name="Tc_HvlBdxjKEEupbMNSBrtoRA_13_2"/>
      <w:bookmarkStart w:id="717" w:name="Tc_U2LZmJ6Tr0isVb9JuFt92w_13_0"/>
      <w:bookmarkStart w:id="718" w:name="Tc_olBwUyUfy0eBneoGOAjgPw_12_40"/>
      <w:bookmarkStart w:id="719" w:name="Tc_75GGMudtG0GE4DqA_f-f9Q_12_34"/>
      <w:bookmarkStart w:id="720" w:name="Tc_TUzL5K2s_EKdgtzNW-pC2A_12_31"/>
      <w:bookmarkStart w:id="721" w:name="Tc_KXxiqaWnJEibDg5cu5Vx6g_12_28"/>
      <w:bookmarkStart w:id="722" w:name="Tc_6CGtnOrkX0SHfZd-ftcB5w_12_26"/>
      <w:bookmarkStart w:id="723" w:name="Tc_LinuR3qgWk2rLM5qVX8amQ_12_23"/>
      <w:bookmarkStart w:id="724" w:name="Tc_B6Q_Tl44EUOo4D7fYPOj8w_12_20"/>
      <w:bookmarkStart w:id="725" w:name="Tc_UMhKjNMZPE2hKOYlsabZiw_12_17"/>
      <w:bookmarkStart w:id="726" w:name="Tc_A5QSv4GUd0iPJrCiZN6b_w_12_15"/>
      <w:bookmarkStart w:id="727" w:name="Tc_YkH7uEWMgk-bA3WsoaXP0A_12_12"/>
      <w:bookmarkStart w:id="728" w:name="Tc_0W3lIqC7DU6ZtOmq9STxqg_12_10"/>
      <w:bookmarkStart w:id="729" w:name="Tc_cVpeWlDpck-_2JEjIFuhqQ_12_7"/>
      <w:bookmarkStart w:id="730" w:name="Tc_erHS0GlTvEOoQyQjHBt5Hw_12_5"/>
      <w:bookmarkStart w:id="731" w:name="Tc_NpKnSo7n20upJRhseBIKnA_12_2"/>
      <w:bookmarkStart w:id="732" w:name="Tc_NCrlRQKa5UaFeflB2MjHaw_12_0"/>
      <w:bookmarkStart w:id="733" w:name="Tc_pyN41kGbakyGfJp3gUzJ1A_11_40"/>
      <w:bookmarkStart w:id="734" w:name="Tc_MPqBycD3SU-zHH68RM2hBQ_11_37"/>
      <w:bookmarkStart w:id="735" w:name="Tc_32X5hyr24ky-u4GuxivttQ_11_31"/>
      <w:bookmarkStart w:id="736" w:name="Tc_LBe1MvngwEiihQrTceYHUg_11_28"/>
      <w:bookmarkStart w:id="737" w:name="Tc_J00VvD1XE0iYZXYTwqtc4g_11_26"/>
      <w:bookmarkStart w:id="738" w:name="Tc_NEKmH6BTTkyV5E0dvHVlgQ_11_23"/>
      <w:bookmarkStart w:id="739" w:name="Tc_tJ3f9RWa8USbefvLYRJy9g_11_20"/>
      <w:bookmarkStart w:id="740" w:name="Tc_iVExP1Jx9kOqrhGq7v9eZw_11_17"/>
      <w:bookmarkStart w:id="741" w:name="Tc_lzuQi0xJCEOfJFqMQ4QUcQ_11_15"/>
      <w:bookmarkStart w:id="742" w:name="Tc_AuceYwxWAk2lUWo2aI5waA_11_12"/>
      <w:bookmarkStart w:id="743" w:name="Tc_3El5JSmnfkSNm9xn0yISfA_11_10"/>
      <w:bookmarkStart w:id="744" w:name="Tc_ZAVUxk1EAESNfRiBIC_24g_11_7"/>
      <w:bookmarkStart w:id="745" w:name="Tc_xWsN9U4jxE6FrfSByR47jw_11_5"/>
      <w:bookmarkStart w:id="746" w:name="Tc_deJ-hgOC10y7Z1TzvnGBZQ_11_2"/>
      <w:bookmarkStart w:id="747" w:name="Tc_tFQi51xK20e2oiZDKRQiWw_11_0"/>
      <w:bookmarkStart w:id="748" w:name="Tc_Lr8g4EJRdEq4Y1o9vv-j8Q_10_40"/>
      <w:bookmarkStart w:id="749" w:name="Tc_TCowN0jOHUqQ6wraI8VFVw_10_37"/>
      <w:bookmarkStart w:id="750" w:name="Tc_5LVEzb3kVECeJSuqhAc9BQ_10_31"/>
      <w:bookmarkStart w:id="751" w:name="Tc_an-tvTIbE0a4JQwYNG2r2w_10_28"/>
      <w:bookmarkStart w:id="752" w:name="Tc_IfXikRCiS0yzTq3tsHiodg_10_26"/>
      <w:bookmarkStart w:id="753" w:name="Tc_aLxE2p8wtke_mYbokHqbZw_10_20"/>
      <w:bookmarkStart w:id="754" w:name="Tc_PanKPDwsakq2Su8EJ0Jugw_10_17"/>
      <w:bookmarkStart w:id="755" w:name="Tc_uh_AbzyOl0KKS_xUSOK9Pw_10_15"/>
      <w:bookmarkStart w:id="756" w:name="Tc_YNuQFAjrfEygA5giXkqmrQ_10_12"/>
      <w:bookmarkStart w:id="757" w:name="Tc_k2HMN9_R30qu1sShPyOeUg_10_10"/>
      <w:bookmarkStart w:id="758" w:name="Tc_XE_KgV0nE0Kz41GfkgaJxQ_10_7"/>
      <w:bookmarkStart w:id="759" w:name="Tc_nk0mjoT8uUqd3u7XG9ZP3Q_10_5"/>
      <w:bookmarkStart w:id="760" w:name="Tc_KpOK_ETSJkCledj-MzjwUw_10_2"/>
      <w:bookmarkStart w:id="761" w:name="Tc_tpqkBooSDEq3nspTWjZSjw_10_0"/>
      <w:bookmarkStart w:id="762" w:name="Tc_Ceu7pDmi30W7zu6x1WYDiQ_9_43"/>
      <w:bookmarkStart w:id="763" w:name="Tc_rK5mcKgJPkyoBnQ4JqDnRA_9_40"/>
      <w:bookmarkStart w:id="764" w:name="Tc_2YjTvuGF1kWOdj-1WKyehg_9_37"/>
      <w:bookmarkStart w:id="765" w:name="Tc_QjFurDYbBkeXmb9EgOAWaQ_9_34"/>
      <w:bookmarkStart w:id="766" w:name="Tc_aWvpqpHS1Eu10odaS7O0Fg_9_31"/>
      <w:bookmarkStart w:id="767" w:name="Tc_tW1sgg6Oy0WgA7Tr5cJ1pQ_9_28"/>
      <w:bookmarkStart w:id="768" w:name="Tc_X4hbZEfJfUG_hMsZpj2YzQ_9_26"/>
      <w:bookmarkStart w:id="769" w:name="Tc_O0PVChkWRkehGSsJe99B1w_9_20"/>
      <w:bookmarkStart w:id="770" w:name="Tc_bHV8DEpMfUm5OCdhZbd2lA_9_17"/>
      <w:bookmarkStart w:id="771" w:name="Tc_QwyqXEb_s0-bM-Bo4dCa9g_9_15"/>
      <w:bookmarkStart w:id="772" w:name="Tc_jFY-2uBqxkyN4V4xx6F4Lw_9_12"/>
      <w:bookmarkStart w:id="773" w:name="Tc_hiRZBbRei0-CR8bPiUzCkA_9_10"/>
      <w:bookmarkStart w:id="774" w:name="Tc_G9LuoITHFEaXevfwR368-Q_9_7"/>
      <w:bookmarkStart w:id="775" w:name="Tc_RVJyg18zEEuRvQbz70KOng_9_5"/>
      <w:bookmarkStart w:id="776" w:name="Tc_82g0leTJmUCRrKIV2wRvKQ_9_2"/>
      <w:bookmarkStart w:id="777" w:name="Tc_-hPeAyfvmk2EhaeWXSHGEA_9_0"/>
      <w:bookmarkStart w:id="778" w:name="Tc_L7rGWRLSSUSdhjeDnDBSiQ_8_40"/>
      <w:bookmarkStart w:id="779" w:name="Tc_c43cLG4CWEmWotok38vy_A_8_37"/>
      <w:bookmarkStart w:id="780" w:name="Tc_FtI-hdvBTUqCJzM1OdokBA_8_31"/>
      <w:bookmarkStart w:id="781" w:name="Tc_ZnAsEVq40E6UrjrslkkZCA_8_28"/>
      <w:bookmarkStart w:id="782" w:name="Tc_-mD1qmT_vkKTWPQTMdXtLg_8_20"/>
      <w:bookmarkStart w:id="783" w:name="Tc_oymmMAPF1k-T520iNs2_7w_8_17"/>
      <w:bookmarkStart w:id="784" w:name="Tc_4Z72Pe6DqEifmAd68-RtUQ_8_15"/>
      <w:bookmarkStart w:id="785" w:name="Tc_4ckYGLDpM0e2Jmo61kHsjA_8_12"/>
      <w:bookmarkStart w:id="786" w:name="Tc_tLblJKzbvkO4e4lD6X_h6g_8_10"/>
      <w:bookmarkStart w:id="787" w:name="Tc_-2p0X-_Fm02FlRKBfiHacQ_8_7"/>
      <w:bookmarkStart w:id="788" w:name="Tc_X2L_5_ThjECMZsRQRaC2bw_8_5"/>
      <w:bookmarkStart w:id="789" w:name="Tc_LiRhL5ntlE-YnXib_CHqvQ_8_2"/>
      <w:bookmarkStart w:id="790" w:name="Tc_HR-I17LmGkatoHy8x9qVIQ_8_0"/>
      <w:bookmarkStart w:id="791" w:name="Tc_54op6ibk5EGHzatb5b8qUQ_7_40"/>
      <w:bookmarkStart w:id="792" w:name="Tc_UNhuMK-m5UeVyeVIDxe1aQ_7_37"/>
      <w:bookmarkStart w:id="793" w:name="Tc_ngk37cMKBECyR-cuB45LOA_7_31"/>
      <w:bookmarkStart w:id="794" w:name="Tc_Cfv8H1ZeG0qwZd_UKMXIyg_7_28"/>
      <w:bookmarkStart w:id="795" w:name="Tc_8Ka3Rx31-Uaai0vCkDRx-A_7_0"/>
      <w:bookmarkStart w:id="796" w:name="Tc_0oDyQN-sgUKDcCgF2CgTpg_6_42"/>
      <w:bookmarkStart w:id="797" w:name="Tc_BBMqyocVkUG5x3B0a1ysLw_6_39"/>
      <w:bookmarkStart w:id="798" w:name="Tc_mKLrNA2KkUGOIhGUPALlTA_6_36"/>
      <w:bookmarkStart w:id="799" w:name="Tc_xAIvKkrBn0Sv0FE_H6xmWw_6_33"/>
      <w:bookmarkStart w:id="800" w:name="Tc_SZmoyU6zuE-cVZRQUKD9QA_6_31"/>
      <w:bookmarkStart w:id="801" w:name="Tc_pBietZDi_E2vO-VtCTf-ag_6_30"/>
      <w:bookmarkStart w:id="802" w:name="Tc_5pSTJa9hfUCZZlnli6E1yw_6_28"/>
      <w:bookmarkStart w:id="803" w:name="Tc_XiK_3YQ70kmCGf95U0UXcA_6_25"/>
      <w:bookmarkStart w:id="804" w:name="Tc_dH7FJfVjl0qhjm-rZ7dg6Q_6_19"/>
      <w:bookmarkStart w:id="805" w:name="Tc_swFTXY8HeUeZW6871iJvyA_6_14"/>
      <w:bookmarkStart w:id="806" w:name="Tc_g-IUJDgkJ06cQPl03UJN-w_6_9"/>
      <w:bookmarkStart w:id="807" w:name="Tc_7Jmp8RYhv0iqEotzHr20hw_6_4"/>
      <w:bookmarkStart w:id="808" w:name="Tc_sP_Ti262HUu3ZaS3b2I85w_6_0"/>
      <w:bookmarkStart w:id="809" w:name="Tc_GvXujUkRdEuK5zMzB6vpdg_5_42"/>
      <w:bookmarkStart w:id="810" w:name="Tc_iKdnRfopPkGT7A4323k6OA_5_39"/>
      <w:bookmarkStart w:id="811" w:name="Tc_J6RLk1vUXUKEYciuSRAXFA_5_36"/>
      <w:bookmarkStart w:id="812" w:name="Tc_H5Rn4Jd140qAiifac-lAFg_5_33"/>
      <w:bookmarkStart w:id="813" w:name="Tc_MvLsPvjk3E61q5gsvkZknQ_5_30"/>
      <w:bookmarkStart w:id="814" w:name="Tc_GZ1b_JG_N0296ho7k4DpEw_5_28"/>
      <w:bookmarkStart w:id="815" w:name="Tc_d_IKQd5LrUShWtqMmLGDOA_5_25"/>
      <w:bookmarkStart w:id="816" w:name="Tc_KaKrEglICUavDzGybMloRg_5_23"/>
      <w:bookmarkStart w:id="817" w:name="Tc_M-V5gy_ZikKdmFSuhwS1KQ_5_19"/>
      <w:bookmarkStart w:id="818" w:name="Tc_WdgIxcGO5Ea9KuQPNPLuVw_5_17"/>
      <w:bookmarkStart w:id="819" w:name="Tc_pkXKGHfKJUGwaWs9TvtWQw_5_14"/>
      <w:bookmarkStart w:id="820" w:name="Tc_o2xxrwzAbU6EApMLQrO8wA_5_12"/>
      <w:bookmarkStart w:id="821" w:name="Tc_0BkmRQI44UaRlyGCnI_y2Q_5_9"/>
      <w:bookmarkStart w:id="822" w:name="Tc_Uhwnla3Waki1KLOvuxKPMQ_5_7"/>
      <w:bookmarkStart w:id="823" w:name="Tc_0xyASJuaMkG5eEqNZlndwA_5_4"/>
      <w:bookmarkStart w:id="824" w:name="Tc_uWyjhCKfYEydbK0_24oLgw_5_2"/>
      <w:bookmarkStart w:id="825" w:name="Tc_jNa4-yhYAUWaE6_SeB1E7A_4_42"/>
      <w:bookmarkStart w:id="826" w:name="Tc_w-gQQLgz1kKZ53tSFr8Jhw_4_39"/>
      <w:bookmarkStart w:id="827" w:name="Tc_e7vh72-qsECZj6cRFxQ48Q_4_36"/>
      <w:bookmarkStart w:id="828" w:name="Tc_V9C2zqI91Eq4jmc8dB4VbQ_4_33"/>
      <w:bookmarkStart w:id="829" w:name="Tc_hFAo6RgNokWhzNtlGiHG_w_4_28"/>
      <w:bookmarkStart w:id="830" w:name="Tc_sQgpLik-UE6FTY6kGy853A_4_23"/>
      <w:bookmarkStart w:id="831" w:name="Tc_Ks0AUrzULU6u9EC6jqigFw_4_17"/>
      <w:bookmarkStart w:id="832" w:name="Tc_QbrEF95XtkmNBs3109s0_w_4_12"/>
      <w:bookmarkStart w:id="833" w:name="Tc_643UUmqWkk6dWGmWe8t1hg_4_7"/>
      <w:bookmarkStart w:id="834" w:name="Tc_IibpmKVXOESgc_sZ4XWn9Q_4_2"/>
      <w:bookmarkStart w:id="835" w:name="Tc_VnJ_mJrrrUKCOfOt9MmqEA_3_42"/>
      <w:bookmarkStart w:id="836" w:name="Tc_HS7MGOjZLEihDnIIo_KUgw_3_36"/>
      <w:bookmarkStart w:id="837" w:name="Tc_TK4LAej42Uu1bQUXv8_5RA_3_33"/>
      <w:bookmarkStart w:id="838" w:name="Tc_Ov8fPqCs30GiIpLt3XIAMQ_3_28"/>
      <w:bookmarkStart w:id="839" w:name="Tc_0eUEU-vphUSPLt2Cr09lqw_3_23"/>
      <w:bookmarkStart w:id="840" w:name="Tc_Drt8DZADTEevkcpE4l37yw_3_2"/>
      <w:bookmarkStart w:id="841" w:name="Tc_4zq9iz_IP0eBZE0cVaAl-Q_2_36"/>
      <w:bookmarkStart w:id="842" w:name="_ffb4b8c9_ed89_46a0_a7f7_c18154b813f9"/>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tbl>
      <w:tblPr>
        <w:tblW w:w="16234" w:type="dxa"/>
        <w:jc w:val="left"/>
        <w:tblInd w:w="0" w:type="dxa"/>
        <w:tblLayout w:type="fixed"/>
        <w:tblCellMar>
          <w:top w:w="0" w:type="dxa"/>
          <w:left w:w="0" w:type="dxa"/>
          <w:bottom w:w="0" w:type="dxa"/>
          <w:right w:w="0" w:type="dxa"/>
        </w:tblCellMar>
      </w:tblPr>
      <w:tblGrid>
        <w:gridCol w:w="1351"/>
        <w:gridCol w:w="206"/>
        <w:gridCol w:w="571"/>
        <w:gridCol w:w="206"/>
        <w:gridCol w:w="181"/>
        <w:gridCol w:w="571"/>
        <w:gridCol w:w="206"/>
        <w:gridCol w:w="571"/>
        <w:gridCol w:w="206"/>
        <w:gridCol w:w="181"/>
        <w:gridCol w:w="571"/>
        <w:gridCol w:w="206"/>
        <w:gridCol w:w="571"/>
        <w:gridCol w:w="206"/>
        <w:gridCol w:w="181"/>
        <w:gridCol w:w="646"/>
        <w:gridCol w:w="206"/>
        <w:gridCol w:w="556"/>
        <w:gridCol w:w="206"/>
        <w:gridCol w:w="206"/>
        <w:gridCol w:w="496"/>
        <w:gridCol w:w="206"/>
        <w:gridCol w:w="206"/>
        <w:gridCol w:w="601"/>
        <w:gridCol w:w="206"/>
        <w:gridCol w:w="207"/>
        <w:gridCol w:w="349"/>
        <w:gridCol w:w="206"/>
        <w:gridCol w:w="556"/>
        <w:gridCol w:w="206"/>
        <w:gridCol w:w="207"/>
        <w:gridCol w:w="349"/>
        <w:gridCol w:w="206"/>
        <w:gridCol w:w="206"/>
        <w:gridCol w:w="601"/>
        <w:gridCol w:w="206"/>
        <w:gridCol w:w="340"/>
        <w:gridCol w:w="711"/>
        <w:gridCol w:w="206"/>
        <w:gridCol w:w="221"/>
        <w:gridCol w:w="695"/>
        <w:gridCol w:w="206"/>
        <w:gridCol w:w="215"/>
        <w:gridCol w:w="82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57885" cy="175260"/>
                      <wp:effectExtent l="0" t="0" r="0" b="0"/>
                      <wp:wrapNone/>
                      <wp:docPr id="50" name="Frame5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52" name="Frame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0810" cy="175260"/>
                      <wp:effectExtent l="0" t="0" r="0" b="0"/>
                      <wp:wrapNone/>
                      <wp:docPr id="53" name="Frame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4" name="Frame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62585" cy="175260"/>
                      <wp:effectExtent l="0" t="0" r="0" b="0"/>
                      <wp:wrapNone/>
                      <wp:docPr id="55"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6" name="Frame5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2585" cy="175260"/>
                      <wp:effectExtent l="0" t="0" r="0" b="0"/>
                      <wp:wrapNone/>
                      <wp:docPr id="57"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59" name="Frame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60" name="Frame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1" name="Frame6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2585" cy="175260"/>
                      <wp:effectExtent l="0" t="0" r="0" b="0"/>
                      <wp:wrapNone/>
                      <wp:docPr id="62" name="Frame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0810" cy="175260"/>
                      <wp:effectExtent l="0" t="0" r="0" b="0"/>
                      <wp:wrapNone/>
                      <wp:docPr id="63" name="Frame6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0210" cy="175260"/>
                      <wp:effectExtent l="0" t="0" r="0" b="0"/>
                      <wp:wrapNone/>
                      <wp:docPr id="65" name="Frame6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0810" cy="175260"/>
                      <wp:effectExtent l="0" t="0" r="0" b="0"/>
                      <wp:wrapNone/>
                      <wp:docPr id="66"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53060" cy="175260"/>
                      <wp:effectExtent l="0" t="0" r="0" b="0"/>
                      <wp:wrapNone/>
                      <wp:docPr id="67" name="Frame6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0810" cy="175260"/>
                      <wp:effectExtent l="0" t="0" r="0" b="0"/>
                      <wp:wrapNone/>
                      <wp:docPr id="68" name="Frame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0810" cy="175260"/>
                      <wp:effectExtent l="0" t="0" r="0" b="0"/>
                      <wp:wrapNone/>
                      <wp:docPr id="69" name="Frame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14960" cy="175260"/>
                      <wp:effectExtent l="0" t="0" r="0" b="0"/>
                      <wp:wrapNone/>
                      <wp:docPr id="70" name="Frame7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0810" cy="175260"/>
                      <wp:effectExtent l="0" t="0" r="0" b="0"/>
                      <wp:wrapNone/>
                      <wp:docPr id="71" name="Frame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0810" cy="175260"/>
                      <wp:effectExtent l="0" t="0" r="0" b="0"/>
                      <wp:wrapNone/>
                      <wp:docPr id="72" name="Frame7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1635" cy="175260"/>
                      <wp:effectExtent l="0" t="0" r="0" b="0"/>
                      <wp:wrapNone/>
                      <wp:docPr id="73" name="Frame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0810" cy="175260"/>
                      <wp:effectExtent l="0" t="0" r="0" b="0"/>
                      <wp:wrapNone/>
                      <wp:docPr id="74" name="Frame7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1445" cy="175260"/>
                      <wp:effectExtent l="0" t="0" r="0" b="0"/>
                      <wp:wrapNone/>
                      <wp:docPr id="75" name="Frame75"/>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1615" cy="175260"/>
                      <wp:effectExtent l="0" t="0" r="0" b="0"/>
                      <wp:wrapNone/>
                      <wp:docPr id="76" name="Frame7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0810" cy="175260"/>
                      <wp:effectExtent l="0" t="0" r="0" b="0"/>
                      <wp:wrapNone/>
                      <wp:docPr id="77" name="Frame7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53060" cy="175260"/>
                      <wp:effectExtent l="0" t="0" r="0" b="0"/>
                      <wp:wrapNone/>
                      <wp:docPr id="78" name="Frame7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0810" cy="175260"/>
                      <wp:effectExtent l="0" t="0" r="0" b="0"/>
                      <wp:wrapNone/>
                      <wp:docPr id="79" name="Frame7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1445" cy="175260"/>
                      <wp:effectExtent l="0" t="0" r="0" b="0"/>
                      <wp:wrapNone/>
                      <wp:docPr id="80" name="Frame8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1615" cy="175260"/>
                      <wp:effectExtent l="0" t="0" r="0" b="0"/>
                      <wp:wrapNone/>
                      <wp:docPr id="81" name="Frame8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0810" cy="175260"/>
                      <wp:effectExtent l="0" t="0" r="0" b="0"/>
                      <wp:wrapNone/>
                      <wp:docPr id="82" name="Frame8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0810" cy="175260"/>
                      <wp:effectExtent l="0" t="0" r="0" b="0"/>
                      <wp:wrapNone/>
                      <wp:docPr id="83" name="Frame8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81635" cy="175260"/>
                      <wp:effectExtent l="0" t="0" r="0" b="0"/>
                      <wp:wrapNone/>
                      <wp:docPr id="84" name="Frame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0810" cy="175260"/>
                      <wp:effectExtent l="0" t="0" r="0" b="0"/>
                      <wp:wrapNone/>
                      <wp:docPr id="85" name="Frame8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5900" cy="175260"/>
                      <wp:effectExtent l="0" t="0" r="0" b="0"/>
                      <wp:wrapNone/>
                      <wp:docPr id="86" name="Frame8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1485" cy="175260"/>
                      <wp:effectExtent l="0" t="0" r="0" b="0"/>
                      <wp:wrapNone/>
                      <wp:docPr id="87" name="Frame8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0810" cy="175260"/>
                      <wp:effectExtent l="0" t="0" r="0" b="0"/>
                      <wp:wrapNone/>
                      <wp:docPr id="88" name="Frame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0335" cy="175260"/>
                      <wp:effectExtent l="0" t="0" r="0" b="0"/>
                      <wp:wrapNone/>
                      <wp:docPr id="89" name="Frame8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41325" cy="175260"/>
                      <wp:effectExtent l="0" t="0" r="0" b="0"/>
                      <wp:wrapNone/>
                      <wp:docPr id="90" name="Frame90"/>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0810" cy="175260"/>
                      <wp:effectExtent l="0" t="0" r="0" b="0"/>
                      <wp:wrapNone/>
                      <wp:docPr id="91" name="Frame9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6525" cy="175260"/>
                      <wp:effectExtent l="0" t="0" r="0" b="0"/>
                      <wp:wrapNone/>
                      <wp:docPr id="92" name="Frame9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1335" cy="175260"/>
                      <wp:effectExtent l="0" t="0" r="0" b="0"/>
                      <wp:wrapNone/>
                      <wp:docPr id="93" name="Frame93"/>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5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49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7"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5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7"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69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2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7"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7"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0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6744"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REDEEMABLE CONVERTIBLE PREFERRED SHARES</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363" w:type="dxa"/>
            <w:gridSpan w:val="4"/>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ORDINARY </w:t>
            </w:r>
          </w:p>
        </w:tc>
        <w:tc>
          <w:tcPr>
            <w:tcW w:w="206" w:type="dxa"/>
            <w:tcBorders/>
            <w:vAlign w:val="center"/>
          </w:tcPr>
          <w:p>
            <w:pPr>
              <w:pStyle w:val="TableContents"/>
              <w:bidi w:val="0"/>
              <w:spacing w:before="0" w:after="0"/>
              <w:ind w:left="0" w:right="0" w:hanging="0"/>
              <w:jc w:val="center"/>
              <w:rPr/>
            </w:pPr>
            <w:r>
              <w:rPr/>
              <w:t>​</w:t>
            </w:r>
          </w:p>
        </w:tc>
        <w:tc>
          <w:tcPr>
            <w:tcW w:w="1318" w:type="dxa"/>
            <w:gridSpan w:val="4"/>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NON-VOTING</w:t>
            </w:r>
          </w:p>
        </w:tc>
        <w:tc>
          <w:tcPr>
            <w:tcW w:w="206" w:type="dxa"/>
            <w:tcBorders/>
            <w:vAlign w:val="center"/>
          </w:tcPr>
          <w:p>
            <w:pPr>
              <w:pStyle w:val="TableContents"/>
              <w:bidi w:val="0"/>
              <w:spacing w:before="0" w:after="0"/>
              <w:ind w:left="0" w:right="0" w:hanging="0"/>
              <w:jc w:val="center"/>
              <w:rPr/>
            </w:pPr>
            <w:r>
              <w:rPr/>
              <w:t>​</w:t>
            </w:r>
          </w:p>
        </w:tc>
        <w:tc>
          <w:tcPr>
            <w:tcW w:w="80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ADDITIONAL</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OTHER</w:t>
            </w:r>
          </w:p>
        </w:tc>
        <w:tc>
          <w:tcPr>
            <w:tcW w:w="20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TOTAL</w:t>
            </w:r>
          </w:p>
        </w:tc>
      </w:tr>
      <w:tr>
        <w:trPr/>
        <w:tc>
          <w:tcPr>
            <w:tcW w:w="13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5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SERIES A</w:t>
            </w:r>
          </w:p>
        </w:tc>
        <w:tc>
          <w:tcPr>
            <w:tcW w:w="206" w:type="dxa"/>
            <w:tcBorders/>
            <w:vAlign w:val="center"/>
          </w:tcPr>
          <w:p>
            <w:pPr>
              <w:pStyle w:val="TableContents"/>
              <w:bidi w:val="0"/>
              <w:spacing w:before="0" w:after="0"/>
              <w:ind w:left="0" w:right="0" w:hanging="0"/>
              <w:jc w:val="center"/>
              <w:rPr/>
            </w:pPr>
            <w:r>
              <w:rPr/>
              <w:t>​</w:t>
            </w:r>
          </w:p>
        </w:tc>
        <w:tc>
          <w:tcPr>
            <w:tcW w:w="15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SERIES A+ </w:t>
            </w:r>
          </w:p>
        </w:tc>
        <w:tc>
          <w:tcPr>
            <w:tcW w:w="206" w:type="dxa"/>
            <w:tcBorders/>
            <w:vAlign w:val="center"/>
          </w:tcPr>
          <w:p>
            <w:pPr>
              <w:pStyle w:val="TableContents"/>
              <w:bidi w:val="0"/>
              <w:spacing w:before="0" w:after="0"/>
              <w:ind w:left="0" w:right="0" w:hanging="0"/>
              <w:jc w:val="center"/>
              <w:rPr/>
            </w:pPr>
            <w:r>
              <w:rPr/>
              <w:t>​</w:t>
            </w:r>
          </w:p>
        </w:tc>
        <w:tc>
          <w:tcPr>
            <w:tcW w:w="16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SERIES B</w:t>
            </w:r>
          </w:p>
        </w:tc>
        <w:tc>
          <w:tcPr>
            <w:tcW w:w="206" w:type="dxa"/>
            <w:tcBorders/>
            <w:vAlign w:val="center"/>
          </w:tcPr>
          <w:p>
            <w:pPr>
              <w:pStyle w:val="TableContents"/>
              <w:bidi w:val="0"/>
              <w:spacing w:before="0" w:after="0"/>
              <w:ind w:left="0" w:right="0" w:hanging="0"/>
              <w:jc w:val="center"/>
              <w:rPr/>
            </w:pPr>
            <w:r>
              <w:rPr/>
              <w:t>​</w:t>
            </w:r>
          </w:p>
        </w:tc>
        <w:tc>
          <w:tcPr>
            <w:tcW w:w="14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SERIES B-1</w:t>
            </w:r>
          </w:p>
        </w:tc>
        <w:tc>
          <w:tcPr>
            <w:tcW w:w="20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3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center"/>
              <w:rPr/>
            </w:pPr>
            <w:r>
              <w:rPr/>
              <w:t>​</w:t>
            </w:r>
          </w:p>
        </w:tc>
        <w:tc>
          <w:tcPr>
            <w:tcW w:w="13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ORDINARY SHARES</w:t>
            </w:r>
          </w:p>
        </w:tc>
        <w:tc>
          <w:tcPr>
            <w:tcW w:w="206" w:type="dxa"/>
            <w:tcBorders/>
            <w:vAlign w:val="center"/>
          </w:tcPr>
          <w:p>
            <w:pPr>
              <w:pStyle w:val="TableContents"/>
              <w:bidi w:val="0"/>
              <w:spacing w:before="0" w:after="0"/>
              <w:ind w:left="0" w:right="0" w:hanging="0"/>
              <w:jc w:val="center"/>
              <w:rPr/>
            </w:pPr>
            <w:r>
              <w:rPr/>
              <w:t>​</w:t>
            </w:r>
          </w:p>
        </w:tc>
        <w:tc>
          <w:tcPr>
            <w:tcW w:w="80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PAID-IN</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COMPREHENSIVE </w:t>
            </w:r>
          </w:p>
        </w:tc>
        <w:tc>
          <w:tcPr>
            <w:tcW w:w="20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0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SHAREHOLDERS’</w:t>
            </w:r>
          </w:p>
        </w:tc>
      </w:tr>
      <w:tr>
        <w:trPr/>
        <w:tc>
          <w:tcPr>
            <w:tcW w:w="13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06" w:type="dxa"/>
            <w:tcBorders/>
            <w:vAlign w:val="center"/>
          </w:tcPr>
          <w:p>
            <w:pPr>
              <w:pStyle w:val="TableContents"/>
              <w:bidi w:val="0"/>
              <w:spacing w:before="0" w:after="0"/>
              <w:ind w:left="0" w:right="0" w:hanging="0"/>
              <w:jc w:val="left"/>
              <w:rPr/>
            </w:pPr>
            <w:r>
              <w:rPr/>
              <w:t>  </w:t>
            </w:r>
          </w:p>
        </w:tc>
        <w:tc>
          <w:tcPr>
            <w:tcW w:w="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06" w:type="dxa"/>
            <w:tcBorders/>
            <w:vAlign w:val="center"/>
          </w:tcPr>
          <w:p>
            <w:pPr>
              <w:pStyle w:val="TableContents"/>
              <w:bidi w:val="0"/>
              <w:spacing w:before="0" w:after="0"/>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CAPITAL</w:t>
            </w:r>
          </w:p>
        </w:tc>
        <w:tc>
          <w:tcPr>
            <w:tcW w:w="20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INCOME (LOSS)</w:t>
            </w:r>
          </w:p>
        </w:tc>
        <w:tc>
          <w:tcPr>
            <w:tcW w:w="20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DEFICIT</w:t>
            </w:r>
          </w:p>
        </w:tc>
        <w:tc>
          <w:tcPr>
            <w:tcW w:w="20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EQUITY (DEFICIT)</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December 31, 2022</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19,200</w:t>
            </w:r>
          </w:p>
        </w:tc>
        <w:tc>
          <w:tcPr>
            <w:tcW w:w="20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32,001</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12,800</w:t>
            </w:r>
          </w:p>
        </w:tc>
        <w:tc>
          <w:tcPr>
            <w:tcW w:w="20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26,000</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32,857</w:t>
            </w:r>
          </w:p>
        </w:tc>
        <w:tc>
          <w:tcPr>
            <w:tcW w:w="20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133,015</w:t>
            </w:r>
          </w:p>
        </w:tc>
        <w:tc>
          <w:tcPr>
            <w:tcW w:w="206" w:type="dxa"/>
            <w:tcBorders/>
            <w:shd w:fill="CCEEFF" w:val="clear"/>
            <w:vAlign w:val="center"/>
          </w:tcPr>
          <w:p>
            <w:pPr>
              <w:pStyle w:val="TableContents"/>
              <w:bidi w:val="0"/>
              <w:spacing w:before="0" w:after="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2,161</w:t>
            </w:r>
          </w:p>
        </w:tc>
        <w:tc>
          <w:tcPr>
            <w:tcW w:w="20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8,959</w:t>
            </w:r>
          </w:p>
        </w:tc>
        <w:tc>
          <w:tcPr>
            <w:tcW w:w="20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10,527</w:t>
            </w:r>
          </w:p>
        </w:tc>
        <w:tc>
          <w:tcPr>
            <w:tcW w:w="20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w:t>
            </w:r>
          </w:p>
        </w:tc>
        <w:tc>
          <w:tcPr>
            <w:tcW w:w="206" w:type="dxa"/>
            <w:tcBorders/>
            <w:shd w:fill="CCEEFF" w:val="clear"/>
            <w:vAlign w:val="center"/>
          </w:tcPr>
          <w:p>
            <w:pPr>
              <w:pStyle w:val="TableContents"/>
              <w:bidi w:val="0"/>
              <w:spacing w:before="0" w:after="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1,921</w:t>
            </w:r>
          </w:p>
        </w:tc>
        <w:tc>
          <w:tcPr>
            <w:tcW w:w="206" w:type="dxa"/>
            <w:tcBorders/>
            <w:shd w:fill="CCEEFF" w:val="clear"/>
            <w:vAlign w:val="center"/>
          </w:tcPr>
          <w:p>
            <w:pPr>
              <w:pStyle w:val="TableContents"/>
              <w:bidi w:val="0"/>
              <w:spacing w:before="0" w:after="0"/>
              <w:ind w:left="0" w:right="0" w:hanging="0"/>
              <w:jc w:val="center"/>
              <w:rPr/>
            </w:pPr>
            <w:r>
              <w:rPr/>
              <w:t>​</w:t>
            </w:r>
          </w:p>
        </w:tc>
        <w:tc>
          <w:tcPr>
            <w:tcW w:w="34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w:t>
            </w:r>
          </w:p>
        </w:tc>
        <w:tc>
          <w:tcPr>
            <w:tcW w:w="20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9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(116,952)</w:t>
            </w:r>
          </w:p>
        </w:tc>
        <w:tc>
          <w:tcPr>
            <w:tcW w:w="20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(115,140)</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Conversion of redeemable convertible preferred shares into ordinary shares upon initial public offering</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(19,200)</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(32,001)</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(12,800)</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(26,000)</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(32,857)</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(133,015)</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(2,161)</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(8,959)</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67,018</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199,968</w:t>
            </w:r>
          </w:p>
        </w:tc>
        <w:tc>
          <w:tcPr>
            <w:tcW w:w="20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199,975</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initial public offering, net of issuance costs and underwriting discounts of $18,586</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37,053</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166,667</w:t>
            </w:r>
          </w:p>
        </w:tc>
        <w:tc>
          <w:tcPr>
            <w:tcW w:w="20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166,670</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exercise of ordinary share warrants</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w:t>
            </w:r>
          </w:p>
        </w:tc>
        <w:tc>
          <w:tcPr>
            <w:tcW w:w="20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2,533</w:t>
            </w:r>
          </w:p>
        </w:tc>
        <w:tc>
          <w:tcPr>
            <w:tcW w:w="20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2,533</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gain on investments, net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257</w:t>
            </w:r>
          </w:p>
        </w:tc>
        <w:tc>
          <w:tcPr>
            <w:tcW w:w="2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257</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(17,975)</w:t>
            </w:r>
          </w:p>
        </w:tc>
        <w:tc>
          <w:tcPr>
            <w:tcW w:w="206" w:type="dxa"/>
            <w:tcBorders/>
            <w:vAlign w:val="center"/>
          </w:tcPr>
          <w:p>
            <w:pPr>
              <w:pStyle w:val="TableContents"/>
              <w:bidi w:val="0"/>
              <w:spacing w:before="0" w:after="0"/>
              <w:ind w:left="0" w:right="0" w:hanging="0"/>
              <w:jc w:val="left"/>
              <w:rPr/>
            </w:pPr>
            <w:r>
              <w:rPr/>
              <w:t> </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(17,975)</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March 31, 2023</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114,730</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371,120</w:t>
            </w:r>
          </w:p>
        </w:tc>
        <w:tc>
          <w:tcPr>
            <w:tcW w:w="20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147</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(134,927)</w:t>
            </w:r>
          </w:p>
        </w:tc>
        <w:tc>
          <w:tcPr>
            <w:tcW w:w="20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236,351</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Exchange of ordinary shares to non-voting ordinary shares</w:t>
            </w:r>
          </w:p>
        </w:tc>
        <w:tc>
          <w:tcPr>
            <w:tcW w:w="20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(7,411)</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7,411</w:t>
            </w:r>
          </w:p>
        </w:tc>
        <w:tc>
          <w:tcPr>
            <w:tcW w:w="20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0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w:t>
            </w:r>
          </w:p>
        </w:tc>
        <w:tc>
          <w:tcPr>
            <w:tcW w:w="20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0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1,702</w:t>
            </w:r>
          </w:p>
        </w:tc>
        <w:tc>
          <w:tcPr>
            <w:tcW w:w="20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1,702</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0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(537)</w:t>
            </w:r>
          </w:p>
        </w:tc>
        <w:tc>
          <w:tcPr>
            <w:tcW w:w="2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(537)</w:t>
            </w:r>
          </w:p>
        </w:tc>
      </w:tr>
      <w:tr>
        <w:trPr/>
        <w:tc>
          <w:tcPr>
            <w:tcW w:w="135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0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(23,280)</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(23,280)</w:t>
            </w:r>
          </w:p>
        </w:tc>
      </w:tr>
      <w:tr>
        <w:trPr/>
        <w:tc>
          <w:tcPr>
            <w:tcW w:w="135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June 30, 2023</w:t>
            </w:r>
          </w:p>
        </w:tc>
        <w:tc>
          <w:tcPr>
            <w:tcW w:w="20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107,387</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7,411</w:t>
            </w:r>
          </w:p>
        </w:tc>
        <w:tc>
          <w:tcPr>
            <w:tcW w:w="20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373,001</w:t>
            </w:r>
          </w:p>
        </w:tc>
        <w:tc>
          <w:tcPr>
            <w:tcW w:w="20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(390)</w:t>
            </w:r>
          </w:p>
        </w:tc>
        <w:tc>
          <w:tcPr>
            <w:tcW w:w="20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(158,207)</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214,415</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843" w:name="_a65f1627_26ae_4376_981a_7186a07d6ae6"/>
      <w:bookmarkEnd w:id="843"/>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844" w:name="STATEMENTSOFCASHFLOWS_628124"/>
      <w:bookmarkStart w:id="845" w:name="SOCF"/>
      <w:bookmarkEnd w:id="844"/>
      <w:bookmarkEnd w:id="845"/>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846" w:name="Tc_7cOfzDagVUqignYKEsNTCQ_38_5"/>
      <w:bookmarkStart w:id="847" w:name="Tc_JS2h_PLAXEaupn-JJ39Qqw_38_3"/>
      <w:bookmarkStart w:id="848" w:name="Tc_PGvZMKB1bk63Vz9dHxbYjw_38_2"/>
      <w:bookmarkStart w:id="849" w:name="Tc_0_6lKEZeGkOChWd58qbZJg_38_0"/>
      <w:bookmarkStart w:id="850" w:name="Tc_nXUhx4kZiE6FXI4VLSOjGg_37_5"/>
      <w:bookmarkStart w:id="851" w:name="Tc_Es7kCVVnZUqRr5uF1jwo9g_37_3"/>
      <w:bookmarkStart w:id="852" w:name="Tc_ZmGN_QjlJEus7R0XoFwELQ_37_2"/>
      <w:bookmarkStart w:id="853" w:name="Tc_7jQjOuej-0Sxpc-lyvuKdA_37_0"/>
      <w:bookmarkStart w:id="854" w:name="Tc_lXYi9R5Jg0isSg3JN-NkGA_36_6"/>
      <w:bookmarkStart w:id="855" w:name="Tc_NXNl6AoGrEGgfIvIMu0kJw_36_5"/>
      <w:bookmarkStart w:id="856" w:name="Tc_p2qbaY8-10CGkCsJraVL0Q_36_2"/>
      <w:bookmarkStart w:id="857" w:name="Tc_YE3D1YKbxkC7IELq0g84vg_36_0"/>
      <w:bookmarkStart w:id="858" w:name="Tc_0zXaK-TlQEiiI9AdTfz7IA_35_0"/>
      <w:bookmarkStart w:id="859" w:name="Tc_exLhAS7X5UWGMHdqZ2b3vg_34_5"/>
      <w:bookmarkStart w:id="860" w:name="Tc_wCjDi9lRn027lt200qDGQg_34_2"/>
      <w:bookmarkStart w:id="861" w:name="Tc_jMpNTdE6u0ev_--gZCZsWA_34_0"/>
      <w:bookmarkStart w:id="862" w:name="Tc_9c7B3kqn5k6QbG8tI42YTg_33_0"/>
      <w:bookmarkStart w:id="863" w:name="Tc_Ezx9UuD42EuyU9FAE9v40Q_32_0"/>
      <w:bookmarkStart w:id="864" w:name="Tc_AC58jLD04Uelma95GJwcMg_31_0"/>
      <w:bookmarkStart w:id="865" w:name="Tc_SXjwURQd60ilwNcIg_Ih6A_30_0"/>
      <w:bookmarkStart w:id="866" w:name="Tc_QCdfd_8zXkqNsZ-Wfu574w_29_0"/>
      <w:bookmarkStart w:id="867" w:name="Tc_XPuy3YhgbkKzKoY74taiKA_28_6"/>
      <w:bookmarkStart w:id="868" w:name="Tc_8hGxyMkaxU2UBZIcxMR-iQ_28_0"/>
      <w:bookmarkStart w:id="869" w:name="Tc_Sp1m8l4KjUaFGAIGDJBQKA_27_0"/>
      <w:bookmarkStart w:id="870" w:name="Tc_6UY1ECNfiES_bS0iQaL8VA_26_3"/>
      <w:bookmarkStart w:id="871" w:name="Tc_pbg14pPPj0-yrirMLv50WQ_26_0"/>
      <w:bookmarkStart w:id="872" w:name="Tc_0gY6iDD7J0icneYruVRcAQ_25_6"/>
      <w:bookmarkStart w:id="873" w:name="Tc_d8RtTqRJ5k6QUE4vbcE2XA_25_0"/>
      <w:bookmarkStart w:id="874" w:name="Tc_dTqmDdA8bUG815aiagXdlQ_24_0"/>
      <w:bookmarkStart w:id="875" w:name="Tc_5Qg-NbF6NE6swbBMv-_MGQ_23_0"/>
      <w:bookmarkStart w:id="876" w:name="Tc_NeEyBzlOiE2mNwRkrpJN4A_22_0"/>
      <w:bookmarkStart w:id="877" w:name="Tc_fDF5sK2CP0uom7nFdWPm-A_21_0"/>
      <w:bookmarkStart w:id="878" w:name="Tc_PW3Wra7-hUCeCYmIJJDlcg_20_0"/>
      <w:bookmarkStart w:id="879" w:name="Tc_FbTCyiFmoka__BJ9UkqkhQ_19_0"/>
      <w:bookmarkStart w:id="880" w:name="Tc_u0vFIPCrtEihtFc8uqvLTw_18_0"/>
      <w:bookmarkStart w:id="881" w:name="Tc_ct5iDznV9UyvCgX7Mj8Xtw_17_0"/>
      <w:bookmarkStart w:id="882" w:name="Tc_bsEjYixN_0KNdBrCMjFJUQ_16_0"/>
      <w:bookmarkStart w:id="883" w:name="Tc_mUGVr15rEE6ounfS9EqvvQ_15_0"/>
      <w:bookmarkStart w:id="884" w:name="Tc_FBHRxZB8zkaISZlyIkZ3nw_14_0"/>
      <w:bookmarkStart w:id="885" w:name="Tc_tM2IYheQvUKsSd9Z9ve3Cg_13_0"/>
      <w:bookmarkStart w:id="886" w:name="Tc_UpB9pp7vy0KvaiPDmNKe3g_12_0"/>
      <w:bookmarkStart w:id="887" w:name="Tc_lFdoQnz7ikGJ2dQ943N8cg_11_0"/>
      <w:bookmarkStart w:id="888" w:name="Tc_1JLOk67NmEyV1kqaxFNtoA_10_0"/>
      <w:bookmarkStart w:id="889" w:name="Tc_BM50Co97ek6ZF2FWh6UZOA_9_0"/>
      <w:bookmarkStart w:id="890" w:name="Tc_AkoPIItbf0--UuEGbEZIkQ_8_0"/>
      <w:bookmarkStart w:id="891" w:name="Tc_EfPF0cLUpUibxB1JYV7WHQ_7_0"/>
      <w:bookmarkStart w:id="892" w:name="Tc_OPA2IEfzGUme1XJvZ0OuSw_6_5"/>
      <w:bookmarkStart w:id="893" w:name="Tc_f4KLh3ETEEq_LxliGxCCQw_6_2"/>
      <w:bookmarkStart w:id="894" w:name="Tc_0VWj0PX20U6cHHJyOdgcHg_6_0"/>
      <w:bookmarkStart w:id="895" w:name="Tc_OCs-G395G0mSfWomuWSWcw_5_0"/>
      <w:bookmarkStart w:id="896" w:name="Tc_9JRGSu3b1E-XUOJF18s5Aw_4_5"/>
      <w:bookmarkStart w:id="897" w:name="Tc_Y60Cf9Fo5UOaCottUzXrNw_4_2"/>
      <w:bookmarkStart w:id="898" w:name="Tc_ZiTArx3nxEWwE7EVOGbrjg_3_2"/>
      <w:bookmarkStart w:id="899" w:name="Tc_Es_A_tY7YkaFJCB2XQ5MDA_2_2"/>
      <w:bookmarkStart w:id="900" w:name="_bf446877_470c_482f_a7d1_cc2f6c0b5b83"/>
      <w:bookmarkStart w:id="901" w:name="Tc_7cOfzDagVUqignYKEsNTCQ_38_5"/>
      <w:bookmarkStart w:id="902" w:name="Tc_JS2h_PLAXEaupn-JJ39Qqw_38_3"/>
      <w:bookmarkStart w:id="903" w:name="Tc_PGvZMKB1bk63Vz9dHxbYjw_38_2"/>
      <w:bookmarkStart w:id="904" w:name="Tc_0_6lKEZeGkOChWd58qbZJg_38_0"/>
      <w:bookmarkStart w:id="905" w:name="Tc_nXUhx4kZiE6FXI4VLSOjGg_37_5"/>
      <w:bookmarkStart w:id="906" w:name="Tc_Es7kCVVnZUqRr5uF1jwo9g_37_3"/>
      <w:bookmarkStart w:id="907" w:name="Tc_ZmGN_QjlJEus7R0XoFwELQ_37_2"/>
      <w:bookmarkStart w:id="908" w:name="Tc_7jQjOuej-0Sxpc-lyvuKdA_37_0"/>
      <w:bookmarkStart w:id="909" w:name="Tc_lXYi9R5Jg0isSg3JN-NkGA_36_6"/>
      <w:bookmarkStart w:id="910" w:name="Tc_NXNl6AoGrEGgfIvIMu0kJw_36_5"/>
      <w:bookmarkStart w:id="911" w:name="Tc_p2qbaY8-10CGkCsJraVL0Q_36_2"/>
      <w:bookmarkStart w:id="912" w:name="Tc_YE3D1YKbxkC7IELq0g84vg_36_0"/>
      <w:bookmarkStart w:id="913" w:name="Tc_0zXaK-TlQEiiI9AdTfz7IA_35_0"/>
      <w:bookmarkStart w:id="914" w:name="Tc_exLhAS7X5UWGMHdqZ2b3vg_34_5"/>
      <w:bookmarkStart w:id="915" w:name="Tc_wCjDi9lRn027lt200qDGQg_34_2"/>
      <w:bookmarkStart w:id="916" w:name="Tc_jMpNTdE6u0ev_--gZCZsWA_34_0"/>
      <w:bookmarkStart w:id="917" w:name="Tc_9c7B3kqn5k6QbG8tI42YTg_33_0"/>
      <w:bookmarkStart w:id="918" w:name="Tc_Ezx9UuD42EuyU9FAE9v40Q_32_0"/>
      <w:bookmarkStart w:id="919" w:name="Tc_AC58jLD04Uelma95GJwcMg_31_0"/>
      <w:bookmarkStart w:id="920" w:name="Tc_SXjwURQd60ilwNcIg_Ih6A_30_0"/>
      <w:bookmarkStart w:id="921" w:name="Tc_QCdfd_8zXkqNsZ-Wfu574w_29_0"/>
      <w:bookmarkStart w:id="922" w:name="Tc_XPuy3YhgbkKzKoY74taiKA_28_6"/>
      <w:bookmarkStart w:id="923" w:name="Tc_8hGxyMkaxU2UBZIcxMR-iQ_28_0"/>
      <w:bookmarkStart w:id="924" w:name="Tc_Sp1m8l4KjUaFGAIGDJBQKA_27_0"/>
      <w:bookmarkStart w:id="925" w:name="Tc_6UY1ECNfiES_bS0iQaL8VA_26_3"/>
      <w:bookmarkStart w:id="926" w:name="Tc_pbg14pPPj0-yrirMLv50WQ_26_0"/>
      <w:bookmarkStart w:id="927" w:name="Tc_0gY6iDD7J0icneYruVRcAQ_25_6"/>
      <w:bookmarkStart w:id="928" w:name="Tc_d8RtTqRJ5k6QUE4vbcE2XA_25_0"/>
      <w:bookmarkStart w:id="929" w:name="Tc_dTqmDdA8bUG815aiagXdlQ_24_0"/>
      <w:bookmarkStart w:id="930" w:name="Tc_5Qg-NbF6NE6swbBMv-_MGQ_23_0"/>
      <w:bookmarkStart w:id="931" w:name="Tc_NeEyBzlOiE2mNwRkrpJN4A_22_0"/>
      <w:bookmarkStart w:id="932" w:name="Tc_fDF5sK2CP0uom7nFdWPm-A_21_0"/>
      <w:bookmarkStart w:id="933" w:name="Tc_PW3Wra7-hUCeCYmIJJDlcg_20_0"/>
      <w:bookmarkStart w:id="934" w:name="Tc_FbTCyiFmoka__BJ9UkqkhQ_19_0"/>
      <w:bookmarkStart w:id="935" w:name="Tc_u0vFIPCrtEihtFc8uqvLTw_18_0"/>
      <w:bookmarkStart w:id="936" w:name="Tc_ct5iDznV9UyvCgX7Mj8Xtw_17_0"/>
      <w:bookmarkStart w:id="937" w:name="Tc_bsEjYixN_0KNdBrCMjFJUQ_16_0"/>
      <w:bookmarkStart w:id="938" w:name="Tc_mUGVr15rEE6ounfS9EqvvQ_15_0"/>
      <w:bookmarkStart w:id="939" w:name="Tc_FBHRxZB8zkaISZlyIkZ3nw_14_0"/>
      <w:bookmarkStart w:id="940" w:name="Tc_tM2IYheQvUKsSd9Z9ve3Cg_13_0"/>
      <w:bookmarkStart w:id="941" w:name="Tc_UpB9pp7vy0KvaiPDmNKe3g_12_0"/>
      <w:bookmarkStart w:id="942" w:name="Tc_lFdoQnz7ikGJ2dQ943N8cg_11_0"/>
      <w:bookmarkStart w:id="943" w:name="Tc_1JLOk67NmEyV1kqaxFNtoA_10_0"/>
      <w:bookmarkStart w:id="944" w:name="Tc_BM50Co97ek6ZF2FWh6UZOA_9_0"/>
      <w:bookmarkStart w:id="945" w:name="Tc_AkoPIItbf0--UuEGbEZIkQ_8_0"/>
      <w:bookmarkStart w:id="946" w:name="Tc_EfPF0cLUpUibxB1JYV7WHQ_7_0"/>
      <w:bookmarkStart w:id="947" w:name="Tc_OPA2IEfzGUme1XJvZ0OuSw_6_5"/>
      <w:bookmarkStart w:id="948" w:name="Tc_f4KLh3ETEEq_LxliGxCCQw_6_2"/>
      <w:bookmarkStart w:id="949" w:name="Tc_0VWj0PX20U6cHHJyOdgcHg_6_0"/>
      <w:bookmarkStart w:id="950" w:name="Tc_OCs-G395G0mSfWomuWSWcw_5_0"/>
      <w:bookmarkStart w:id="951" w:name="Tc_9JRGSu3b1E-XUOJF18s5Aw_4_5"/>
      <w:bookmarkStart w:id="952" w:name="Tc_Y60Cf9Fo5UOaCottUzXrNw_4_2"/>
      <w:bookmarkStart w:id="953" w:name="Tc_ZiTArx3nxEWwE7EVOGbrjg_3_2"/>
      <w:bookmarkStart w:id="954" w:name="Tc_Es_A_tY7YkaFJCB2XQ5MDA_2_2"/>
      <w:bookmarkStart w:id="955" w:name="_bf446877_470c_482f_a7d1_cc2f6c0b5b83"/>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tbl>
      <w:tblPr>
        <w:tblW w:w="10205" w:type="dxa"/>
        <w:jc w:val="left"/>
        <w:tblInd w:w="0" w:type="dxa"/>
        <w:tblLayout w:type="fixed"/>
        <w:tblCellMar>
          <w:top w:w="0" w:type="dxa"/>
          <w:left w:w="0" w:type="dxa"/>
          <w:bottom w:w="0" w:type="dxa"/>
          <w:right w:w="0" w:type="dxa"/>
        </w:tblCellMar>
      </w:tblPr>
      <w:tblGrid>
        <w:gridCol w:w="6993"/>
        <w:gridCol w:w="326"/>
        <w:gridCol w:w="211"/>
        <w:gridCol w:w="883"/>
        <w:gridCol w:w="326"/>
        <w:gridCol w:w="211"/>
        <w:gridCol w:w="883"/>
        <w:gridCol w:w="372"/>
      </w:tblGrid>
      <w:tr>
        <w:trPr/>
        <w:tc>
          <w:tcPr>
            <w:tcW w:w="6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40555" cy="175260"/>
                      <wp:effectExtent l="0" t="0" r="0" b="0"/>
                      <wp:wrapNone/>
                      <wp:docPr id="94" name="Frame94"/>
                      <a:graphic xmlns:a="http://schemas.openxmlformats.org/drawingml/2006/main">
                        <a:graphicData uri="http://schemas.microsoft.com/office/word/2010/wordprocessingShape">
                          <wps:wsp>
                            <wps:cNvSpPr txBox="1"/>
                            <wps:spPr>
                              <a:xfrm>
                                <a:off x="0" y="0"/>
                                <a:ext cx="444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0705" cy="175260"/>
                      <wp:effectExtent l="0" t="0" r="0" b="0"/>
                      <wp:wrapNone/>
                      <wp:docPr id="97" name="Frame97"/>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0705" cy="175260"/>
                      <wp:effectExtent l="0" t="0" r="0" b="0"/>
                      <wp:wrapNone/>
                      <wp:docPr id="100" name="Frame100"/>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6220" cy="175260"/>
                      <wp:effectExtent l="0" t="0" r="0" b="0"/>
                      <wp:wrapNone/>
                      <wp:docPr id="101" name="Frame10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9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8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8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2"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2" w:type="dxa"/>
            <w:tcBorders/>
            <w:vAlign w:val="center"/>
          </w:tcPr>
          <w:p>
            <w:pPr>
              <w:pStyle w:val="TableContents"/>
              <w:bidi w:val="0"/>
              <w:spacing w:before="0" w:after="1"/>
              <w:ind w:left="0" w:right="0" w:hanging="0"/>
              <w:jc w:val="left"/>
              <w:rPr/>
            </w:pPr>
            <w:r>
              <w:rPr/>
              <w:t>    </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(52,070)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(41,255)</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4,235</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144</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lease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172</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 of net investment discounts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(1,387)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122</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2,922</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(60,473)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(37,202)</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short-term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(315,508)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(165,836)</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Maturities of short-term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48,300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(191)</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(117,727)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ordinary shares in Follow-On Offering, net of underwriting discounts and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514,573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ordinary shares in initial public offering, net of underwriting discounts and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172,296</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 of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(3,077)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ordinary shares under employee share purchase plan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 of share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515,405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169,429</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change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251,835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14,500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Beginning of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129,792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26,091</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End of the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381,627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40,591</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Supplemental disclosures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3"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Offering costs included in accounts payable and 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Conversion of redeemable convertible preferred shares into ordinary shares upon initial public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199,975</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6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Exchange of ordinary shares to non-voting ordinary shares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w:t>
            </w:r>
          </w:p>
        </w:tc>
        <w:tc>
          <w:tcPr>
            <w:tcW w:w="372" w:type="dxa"/>
            <w:tcBorders/>
            <w:vAlign w:val="center"/>
          </w:tcPr>
          <w:p>
            <w:pPr>
              <w:pStyle w:val="TableContents"/>
              <w:bidi w:val="0"/>
              <w:spacing w:before="0" w:after="1"/>
              <w:ind w:left="0" w:right="0" w:hanging="0"/>
              <w:jc w:val="left"/>
              <w:rPr/>
            </w:pPr>
            <w:r>
              <w:rPr/>
              <w:t>​</w:t>
            </w:r>
          </w:p>
        </w:tc>
      </w:tr>
      <w:tr>
        <w:trPr/>
        <w:tc>
          <w:tcPr>
            <w:tcW w:w="69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bookmarkStart w:id="956" w:name="_Hlk133314408"/>
      <w:bookmarkEnd w:id="956"/>
      <w:r>
        <w:rPr>
          <w:rFonts w:ascii="Arial;Helvetica;sans-serif" w:hAnsi="Arial;Helvetica;sans-serif"/>
          <w:sz w:val="20"/>
        </w:rPr>
        <w:t>NOTES TO UNAUDITED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57" w:name="_Hlk148370691"/>
      <w:bookmarkStart w:id="958" w:name="_Hlk127808238"/>
      <w:bookmarkStart w:id="959" w:name="Notes"/>
      <w:bookmarkEnd w:id="957"/>
      <w:bookmarkEnd w:id="958"/>
      <w:bookmarkEnd w:id="959"/>
      <w:r>
        <w:rPr>
          <w:rFonts w:ascii="Arial;Helvetica;sans-serif" w:hAnsi="Arial;Helvetica;sans-serif"/>
          <w:b/>
          <w:sz w:val="20"/>
        </w:rPr>
        <w:t>1. Organization and Nature of the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Structure Therapeutics Inc. (the “Company”) is a clinical stage global biopharmaceutical company aiming to develop and deliver novel oral therapeutics to treat a wide range of chronic diseases with unmet medical need. The Company was incorporated in February 2019 in the Cayman Islands, with operating subsidiaries in the United States and China. In June 2022, the Company changed its name from ShouTi Inc. to Structure Therapeutics Inc.</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Initial Public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February 2023, the Company closed its initial public offering (“IPO”) of American Depositary Shares (“ADSs”). Each ADS represents three ordinary shares. The net proceeds from the IPO were approximately $166.7 million after deducting underwriting discounts and commissions and estimated offering costs.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Upon the closing of the IPO, all outstanding shares of the Company’s redeemable convertible preferred shares converted into 67,018,087 ordinary shares. In connection with the completion of its IPO, the Company’s memorandum of association was amended and restated to provide for 500,000,000 authorized ordinary shares with a par value of $0.0001 per share and 100,000,000 authorized undesignated shares with a par value of $0.0001 per share, of such class or classes as may be designated by the Company’s board of directors in accordance with the Company’s articles of association.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Private Placement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September 29, 2023, the Company entered into a share purchase agreement with certain institutional investors (the “Purchasers”), pursuant to which the Company agreed to sell and issue to the Purchasers an aggregate of 21,617,295 ordinary shares and 2,401,920 newly designated non-voting ordinary shares at a purchase price of $12.49 per share (or the equivalent of $37.47 per ADS), the closing price of its ADS on the Nasdaq Global Market on September 28, 2023 (the “Private Placement”). Each holder of non-voting ordinary shares had the right to convert each non-voting ordinary share held by such holder into one ordinary share, subject to certain beneficial ownership limitations. The Private Placement closed on October 3, 2023, and the Company received $281.5 million in net proceeds after deducting placement agent fees and other private placement expenses. As of December 31, 2023, all outstanding non-voting ordinary shares had been converted into ordinary shares.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Follow-On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June 5, 2024, the Company entered into an underwriting agreement with Goldman Sachs &amp; Co. LLC, Morgan Stanley &amp; Co. LLC, Jefferies LLC and Leerink Partners LLC, as representatives of the underwriters named therein (collectively, the “Underwriters”), pursuant to which the Company proposed to issue and sell to the Underwriters an aggregate of 9,066,972 ADSs, each representing three ordinary shares of the Company, and granted the underwriters an option (the “Underwriters’ Option”) to purchase up to an aggregate of 1,360,045 additional ADSs (the “Follow-On Offering”). The Follow-On Offering closed on June 7, 2024, at which time the Company issued 10,427,017 ADSs, including the issuance of 1,360,045 ADSs in connection with the full exercise of the Underwriters’ Option, at a price of $52.50 per ADS. The net proceeds from the Follow-On Offering were approximately $512.7 million after deducting underwriting discounts and commissions and estimated offering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 and Capital Resources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has incurred significant net operating losses and negative cash flows from operations since inception and had an accumulated deficit of $258.6 million as of June 30, 2024. Prior to completion of its IPO,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financed its operations primarily through the private placement of equity securities. In February 2023, the Company completed its IPO for net proceeds of approximately $166.7 million, after deducting underwriting discounts and estimated offering costs. In October 2023, the Company closed its Private Placement for net proceeds of approximately $281.5 million after deducting placement agent fees and other private placement expenses. In June 2024, the Company closed its Follow-On Offering, including the full exercise of the Underwriters’ Option, for net proceeds of approximately $512.7 million, after deducting underwriting discounts and commissions and estimated offering costs.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the Company had cash, cash equivalents and short-term investments of $927.1 million. Based on its current business plan, the Company believes that its current cash, cash equivalents and short-term investments will be sufficient to fund its projected operations for at least 12 months from the date of the issuance of these condensed consolidated financial statements.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Impact of Geopolitical and Macroeconomic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may be significant uncertainty resulting from the impact of other geopolitical and macroeconomic factors, including global pandemics, inflation, supply chain issues, rising interest rates, future bank failures, increased geopolitical tensions between the U.S. and China and the impact of the Russia/Ukraine conflict and the Israel-Hamas war. No adjustments have been made to these condensed consolidated financial statements as a result of these uncertainties.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2. Summary of Significant Accounting Policies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and related disclosures have been prepared in conformity with accounting principles generally accepted in the United States of America (“GAAP”). The condensed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Unaudited Interim Financial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balance sheet as of December 31, 2023 was derived from the Company’s audited financial statements, but does not include all disclosures required by GAAP. The accompanying unaudited condensed consolidated financial statements as of June 30, 2024 and for the three and six months ended June 30,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financial statements should be read in conjunction with the audited financial statements as of and for the year ended December 31, 2023 and notes thereto, included in the Company’s Annual Report on Form 10-K for the year ended December 31, 2023 filed with the SEC on March 8, 2024. In the opinion of management, all adjustments, consisting only of normal recurring adjustments necessary for a fair statement of the Company’s condensed consolidated financial position as of June 30, 2024 and condensed consolidated results of operations for the three and six months ended June 30, 2024 and 2023 and condensed consolidated cash flows for the six months ended June 30, 2024 and 2023 have been made. The results of operations for the three and six months ended June 30, 2024 are not necessarily indicative of the results of operations that may be expected for the year ending December 31, 2024.</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960" w:name="_Hlk133316561"/>
      <w:bookmarkEnd w:id="960"/>
      <w:r>
        <w:rPr>
          <w:rFonts w:ascii="Arial;Helvetica;sans-serif" w:hAnsi="Arial;Helvetica;sans-serif"/>
          <w:b/>
          <w:i/>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share-based compensation and certain other accrued liabilities. Actual results could differ from those estimates.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Concentration of Credit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investing in investment-grade securities and using banks and institutions it believes are creditworthy.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Risks and Uncertainties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Company’s product candidates are still in development and, to date, none of the Company’s product candidates have been approved for sale and, therefore, the Company has not generated any revenue from any of its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any revenue from any of its products. The Company operates in an environment of rapid change in technology and substantial competition from other pharmaceutical and biotechnology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relies and expects to continue to rely on a small number of vendors to manufacture supplies and materials for use in its clinical trial programs. These programs could be adversely affected by a significant interruption in these manufacturing services.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961" w:name="_Hlk133317680"/>
      <w:bookmarkEnd w:id="961"/>
      <w:r>
        <w:rPr>
          <w:rFonts w:ascii="Arial;Helvetica;sans-serif" w:hAnsi="Arial;Helvetica;sans-serif"/>
          <w:b/>
          <w:i/>
          <w:sz w:val="20"/>
        </w:rPr>
        <w:t>Fair Value of Financial Instruments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Offering Costs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capitalizes, within other non-current assets, certain legal, accounting and other third-party fees that are directly related to the Company’s in-process equity financings, including its IPO, Private Placement and Follow-On Offering, until such financings are consummated. After consummation of the equity financing, these costs are recorded as a reduction of the proceeds received as a result of the equity financing. Should a planned equity financing be abandoned, terminated or significantly delayed, the deferred offering costs will be immediately written off to general and administrative expenses. Upon closing the IPO, Private Placement and Follow-On Offering, all deferred offering costs were charged against the proceeds from the IPO, Private Placement and Follow-On Offering and recorded in shareholders’ equity as a reduction of additional paid-in capital. As of June 30, 2024, there were no deferred offering costs recorded on the condensed consolidated balance sheets.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Loss Per Share Attributable to Ordinary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net loss per ordinary share is calculated by dividing the net loss attributable to ordinary shareholders by the weighted-average number of ordinary shares, including non-voting ordinary shares, outstanding during the period, without consideration of potentially dilutive securities. Diluted net loss per share is computed by dividing the net loss attributable to ordinary shareholders by the weighted-average number of ordinary shares, including non-voting ordinary shares, and potentially dilutive securities outstanding for the period. For purposes of the diluted net loss per share calculation, the unvested restricted share units, ordinary shares committed under the employee share purchase plan and share options are considered to be potentially dilutive securities. Because the Company has reported a net loss for all periods presented, diluted net loss per ordinary share is the same as basic net loss per ordinary share for those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Recent Accounting Pronouncements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Accounting Pronouncements Not Yet Adopted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December 2023, the Financial Accounting Standards Board (“FASB”) issued Account Standards Update (“ASU”) 2023-09, </w:t>
      </w:r>
      <w:r>
        <w:rPr>
          <w:rFonts w:ascii="Arial;Helvetica;sans-serif" w:hAnsi="Arial;Helvetica;sans-serif"/>
          <w:i/>
          <w:sz w:val="20"/>
        </w:rPr>
        <w:t>Improvements to Income Tax Disclosures</w:t>
      </w:r>
      <w:r>
        <w:rPr>
          <w:rFonts w:ascii="Arial;Helvetica;sans-serif" w:hAnsi="Arial;Helvetica;sans-serif"/>
          <w:sz w:val="20"/>
        </w:rPr>
        <w:t>. 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This ASU should be applied on a prospective basis although retrospective application is permitted. The Company is currently evaluating the impact the adoption of this ASU will have on its consolidated financial statements and related disclosures.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November 2023, the FASB issued ASU 2023-07, </w:t>
      </w:r>
      <w:r>
        <w:rPr>
          <w:rFonts w:ascii="Arial;Helvetica;sans-serif" w:hAnsi="Arial;Helvetica;sans-serif"/>
          <w:i/>
          <w:sz w:val="20"/>
        </w:rPr>
        <w:t>Segment Reporting (Topic 280): Improvements to Reportable Segment Disclosures</w:t>
      </w:r>
      <w:r>
        <w:rPr>
          <w:rFonts w:ascii="Arial;Helvetica;sans-serif" w:hAnsi="Arial;Helvetica;sans-serif"/>
          <w:sz w:val="20"/>
        </w:rPr>
        <w:t>.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The Company is currently evaluating the impact of this standard on its consolidated financial statements and related disclosures, and does not expect the standard will have a material impact on the Company’s consolidated financial statements and related disclosures.</w:t>
      </w:r>
    </w:p>
    <w:p>
      <w:pPr>
        <w:pStyle w:val="TextBody"/>
        <w:bidi w:val="0"/>
        <w:spacing w:before="0" w:after="240"/>
        <w:ind w:left="0" w:right="0" w:hanging="0"/>
        <w:jc w:val="left"/>
        <w:rPr>
          <w:rFonts w:ascii="Arial;Helvetica;sans-serif" w:hAnsi="Arial;Helvetica;sans-serif"/>
          <w:b/>
          <w:sz w:val="20"/>
        </w:rPr>
      </w:pPr>
      <w:bookmarkStart w:id="962" w:name="Tc_zpxESiG-n0OPxYZZio2PdA_10_5"/>
      <w:bookmarkStart w:id="963" w:name="Tc_Ens_QiPBv0yZn71_y2UbLA_10_2"/>
      <w:bookmarkStart w:id="964" w:name="Tc_1osszf6K30erKL-PqVlMUQ_10_0"/>
      <w:bookmarkStart w:id="965" w:name="Tc_sqMKI2Z-DEaT7SQbkXH02w_9_0"/>
      <w:bookmarkStart w:id="966" w:name="Tc_bhCLQmzoSkiE_RbLOMNswQ_8_0"/>
      <w:bookmarkStart w:id="967" w:name="Tc_SoHMYdjC4kG_HydERVYpjQ_7_0"/>
      <w:bookmarkStart w:id="968" w:name="Tc__5js8dKOWESopcp_gP_dVA_6_0"/>
      <w:bookmarkStart w:id="969" w:name="Tc_Bf5JJ8fhiEq8VR23fbpRKg_5_0"/>
      <w:bookmarkStart w:id="970" w:name="Tc_9a25eXKzNUaWqER7OAYw-A_4_5"/>
      <w:bookmarkStart w:id="971" w:name="Tc_kNEK_VTWG0iYYHAFouPp3Q_4_2"/>
      <w:bookmarkStart w:id="972" w:name="Tc_ImTaWoD3VE6bWKJptiInrw_4_0"/>
      <w:bookmarkStart w:id="973" w:name="Tc_N6qXWz9qLEyJMnOLy20tsQ_3_5"/>
      <w:bookmarkStart w:id="974" w:name="Tc_9ETLCD_PvUu5DRfMjLbdvA_3_2"/>
      <w:bookmarkStart w:id="975" w:name="Tc_4WChuHqwxkSJ4A9epNK72w_2_5"/>
      <w:bookmarkStart w:id="976" w:name="Tc_gPM0ayGWb0CMs92j34jqCQ_2_2"/>
      <w:bookmarkStart w:id="977" w:name="_50e35cd8_db4c_4093_8965_d4a803c85488"/>
      <w:bookmarkStart w:id="978" w:name="Tc_ZhzUiOIS8ka_9lHl1xBn4A_10_5"/>
      <w:bookmarkStart w:id="979" w:name="Tc_XpQCGttoH0uMDWpU6K5W7g_10_2"/>
      <w:bookmarkStart w:id="980" w:name="Tc_n9cQdLVAekSEVUA-QQdeig_10_0"/>
      <w:bookmarkStart w:id="981" w:name="Tc_aLtK_8DJo0CrhwosRxnJQQ_9_0"/>
      <w:bookmarkStart w:id="982" w:name="Tc_lZa0_7VmqEun7CZQ4zA9Dw_8_5"/>
      <w:bookmarkStart w:id="983" w:name="Tc_Y86RJHgmVUajFagOQKhWPA_8_2"/>
      <w:bookmarkStart w:id="984" w:name="Tc_MA338uWD2U65N4x-KIQPjA_7_0"/>
      <w:bookmarkStart w:id="985" w:name="Tc_X8LOneAeH0qX0txwKl2mIA_6_0"/>
      <w:bookmarkStart w:id="986" w:name="Tc_LT05RwrbnkWneDf-TCmAKg_5_0"/>
      <w:bookmarkStart w:id="987" w:name="Tc_WzlJbJPpv0m2vCFocpvRQw_4_5"/>
      <w:bookmarkStart w:id="988" w:name="Tc_uNSXzHtB702wdigB-aSLtg_4_2"/>
      <w:bookmarkStart w:id="989" w:name="Tc_gvJGVG974E-wXpQ0A5lSWA_4_0"/>
      <w:bookmarkStart w:id="990" w:name="Tc_tWRNqbefq0GAFuXsaNK-NQ_3_5"/>
      <w:bookmarkStart w:id="991" w:name="Tc_HgJ9F4AkvEGV69RPrBTelQ_3_2"/>
      <w:bookmarkStart w:id="992" w:name="Tc_ixzsvPhUf0yYQFCxavZecA_2_5"/>
      <w:bookmarkStart w:id="993" w:name="Tc_rDJhufLzRUqOaXlk3dZq2A_2_2"/>
      <w:bookmarkStart w:id="994" w:name="_c3e7a8a0_b74d_4578_a89e_5b0268462457"/>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rPr>
          <w:rFonts w:ascii="Arial;Helvetica;sans-serif" w:hAnsi="Arial;Helvetica;sans-serif"/>
          <w:b/>
          <w:sz w:val="20"/>
        </w:rPr>
        <w:t>3. Composition of Certain Consolidated Financial Statement Line Items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Property and equipment, net consists of the following (in thousands):</w:t>
      </w:r>
    </w:p>
    <w:tbl>
      <w:tblPr>
        <w:tblW w:w="6381" w:type="dxa"/>
        <w:jc w:val="left"/>
        <w:tblInd w:w="0" w:type="dxa"/>
        <w:tblLayout w:type="fixed"/>
        <w:tblCellMar>
          <w:top w:w="0" w:type="dxa"/>
          <w:left w:w="0" w:type="dxa"/>
          <w:bottom w:w="0" w:type="dxa"/>
          <w:right w:w="0" w:type="dxa"/>
        </w:tblCellMar>
      </w:tblPr>
      <w:tblGrid>
        <w:gridCol w:w="3091"/>
        <w:gridCol w:w="326"/>
        <w:gridCol w:w="211"/>
        <w:gridCol w:w="706"/>
        <w:gridCol w:w="326"/>
        <w:gridCol w:w="356"/>
        <w:gridCol w:w="994"/>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62785" cy="175260"/>
                      <wp:effectExtent l="0" t="0" r="0" b="0"/>
                      <wp:wrapNone/>
                      <wp:docPr id="102" name="Frame10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48310" cy="175260"/>
                      <wp:effectExtent l="0" t="0" r="0" b="0"/>
                      <wp:wrapNone/>
                      <wp:docPr id="105" name="Frame10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26060" cy="175260"/>
                      <wp:effectExtent l="0" t="0" r="0" b="0"/>
                      <wp:wrapNone/>
                      <wp:docPr id="107" name="Frame10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31190" cy="175260"/>
                      <wp:effectExtent l="0" t="0" r="0" b="0"/>
                      <wp:wrapNone/>
                      <wp:docPr id="108" name="Frame108"/>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5585" cy="175260"/>
                      <wp:effectExtent l="0" t="0" r="0" b="0"/>
                      <wp:wrapNone/>
                      <wp:docPr id="109" name="Frame10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9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71" w:type="dxa"/>
            <w:tcBorders/>
            <w:vAlign w:val="center"/>
          </w:tcPr>
          <w:p>
            <w:pPr>
              <w:pStyle w:val="TableContents"/>
              <w:bidi w:val="0"/>
              <w:spacing w:before="0" w:after="0"/>
              <w:ind w:left="0" w:right="0" w:hanging="0"/>
              <w:jc w:val="center"/>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2,323</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w:t>
            </w:r>
          </w:p>
        </w:tc>
        <w:tc>
          <w:tcPr>
            <w:tcW w:w="32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 </w:t>
            </w:r>
          </w:p>
        </w:tc>
        <w:tc>
          <w:tcPr>
            <w:tcW w:w="99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1,360</w:t>
            </w:r>
          </w:p>
        </w:tc>
        <w:tc>
          <w:tcPr>
            <w:tcW w:w="326"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1,360</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4,413</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3,872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(1,098)</w:t>
            </w:r>
          </w:p>
        </w:tc>
        <w:tc>
          <w:tcPr>
            <w:tcW w:w="326"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(644)</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3,315</w:t>
            </w:r>
          </w:p>
        </w:tc>
        <w:tc>
          <w:tcPr>
            <w:tcW w:w="326" w:type="dxa"/>
            <w:tcBorders/>
            <w:shd w:fill="CCEEFF" w:val="clear"/>
            <w:vAlign w:val="center"/>
          </w:tcPr>
          <w:p>
            <w:pPr>
              <w:pStyle w:val="TableContents"/>
              <w:bidi w:val="0"/>
              <w:spacing w:before="0" w:after="0"/>
              <w:ind w:left="0" w:right="0" w:hanging="0"/>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Accrued expenses and other current liabilities consisted of the following (in thousands):</w:t>
      </w:r>
    </w:p>
    <w:tbl>
      <w:tblPr>
        <w:tblW w:w="7821" w:type="dxa"/>
        <w:jc w:val="left"/>
        <w:tblInd w:w="0" w:type="dxa"/>
        <w:tblLayout w:type="fixed"/>
        <w:tblCellMar>
          <w:top w:w="0" w:type="dxa"/>
          <w:left w:w="0" w:type="dxa"/>
          <w:bottom w:w="0" w:type="dxa"/>
          <w:right w:w="0" w:type="dxa"/>
        </w:tblCellMar>
      </w:tblPr>
      <w:tblGrid>
        <w:gridCol w:w="4546"/>
        <w:gridCol w:w="326"/>
        <w:gridCol w:w="211"/>
        <w:gridCol w:w="691"/>
        <w:gridCol w:w="326"/>
        <w:gridCol w:w="314"/>
        <w:gridCol w:w="1036"/>
        <w:gridCol w:w="371"/>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886710" cy="175260"/>
                      <wp:effectExtent l="0" t="0" r="0" b="0"/>
                      <wp:wrapNone/>
                      <wp:docPr id="110" name="Frame110"/>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785" cy="175260"/>
                      <wp:effectExtent l="0" t="0" r="0" b="0"/>
                      <wp:wrapNone/>
                      <wp:docPr id="113" name="Frame1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99390" cy="175260"/>
                      <wp:effectExtent l="0" t="0" r="0" b="0"/>
                      <wp:wrapNone/>
                      <wp:docPr id="115" name="Frame11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6" name="Frame1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35585" cy="175260"/>
                      <wp:effectExtent l="0" t="0" r="0" b="0"/>
                      <wp:wrapNone/>
                      <wp:docPr id="117" name="Frame1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14"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71" w:type="dxa"/>
            <w:tcBorders/>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    </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4,005</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3,143</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4,719</w:t>
            </w:r>
          </w:p>
        </w:tc>
        <w:tc>
          <w:tcPr>
            <w:tcW w:w="371"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clinical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4,167</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professional services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4,157</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2,633</w:t>
            </w:r>
          </w:p>
        </w:tc>
        <w:tc>
          <w:tcPr>
            <w:tcW w:w="371"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and VAT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other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3,308</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1,113</w:t>
            </w:r>
          </w:p>
        </w:tc>
        <w:tc>
          <w:tcPr>
            <w:tcW w:w="371"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18,821</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18,558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5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95" w:name="Tc_ipfPn6ZErESrBwZ-eoeozg_12_23"/>
      <w:bookmarkStart w:id="996" w:name="Tc_VkO2oKtaK068PMVUCUPdfQ_12_21"/>
      <w:bookmarkStart w:id="997" w:name="Tc_qiuUptnTnUmS-tyQSlB_1g_12_20"/>
      <w:bookmarkStart w:id="998" w:name="Tc_1m59PsqcTUmhiiirBiIHHA_12_17"/>
      <w:bookmarkStart w:id="999" w:name="Tc_Uu8XoLVs7kOR1cdfmH4o-A_12_14"/>
      <w:bookmarkStart w:id="1000" w:name="Tc_rJE7ZRYi80CB2RJEko_oeQ_12_11"/>
      <w:bookmarkStart w:id="1001" w:name="Tc_mZtdGPbWrk6qjTFPrn-74Q_12_9"/>
      <w:bookmarkStart w:id="1002" w:name="Tc_zpqVfxwX2UW2ofiCUUZrsQ_12_8"/>
      <w:bookmarkStart w:id="1003" w:name="Tc_bOVWZfgahkqmXHVgS9GwYA_12_5"/>
      <w:bookmarkStart w:id="1004" w:name="Tc_Im8vemZUXECPLkAUtp1w9Q_12_2"/>
      <w:bookmarkStart w:id="1005" w:name="Tc_lPV9YFVBXUGgm6ZcI6LT3A_12_0"/>
      <w:bookmarkStart w:id="1006" w:name="Tc_aAYGVRTvC0-1zArc4BNLPw_11_21"/>
      <w:bookmarkStart w:id="1007" w:name="Tc_me5MuffjbUqCQ68FmSeFrA_11_9"/>
      <w:bookmarkStart w:id="1008" w:name="Tc_mZfdZ-UwpUegO39CO_ExMQ_11_0"/>
      <w:bookmarkStart w:id="1009" w:name="Tc_xsOH_0mv9kSA6xZNG-1-lA_10_21"/>
      <w:bookmarkStart w:id="1010" w:name="Tc_b1yl8TapuUW9UgFn2bxfAw_10_15"/>
      <w:bookmarkStart w:id="1011" w:name="Tc_OHGjXm94l0eRLpswV68jZw_10_9"/>
      <w:bookmarkStart w:id="1012" w:name="Tc_zn5vEhcwREaWMUvC7RsxAw_10_3"/>
      <w:bookmarkStart w:id="1013" w:name="Tc_5pEYfMiVh0SkX-uDEJVKxQ_10_0"/>
      <w:bookmarkStart w:id="1014" w:name="Tc_PeAG17Ztb0SAJvHA4stnCg_9_21"/>
      <w:bookmarkStart w:id="1015" w:name="Tc_93J_7UgzYEeOPtR8pTEuWQ_9_15"/>
      <w:bookmarkStart w:id="1016" w:name="Tc_GFk8dH6EJ0SvFDWEreyVcQ_9_9"/>
      <w:bookmarkStart w:id="1017" w:name="Tc_GUk8lkx20kKpOMVw2RFi7g_9_3"/>
      <w:bookmarkStart w:id="1018" w:name="Tc_vvTIb_Gbmk-SYZxaWVBhWQ_9_0"/>
      <w:bookmarkStart w:id="1019" w:name="Tc_gG5VMkwmjEmwZI-aI8OhSw_8_21"/>
      <w:bookmarkStart w:id="1020" w:name="Tc_bq24J5HO60GbUDCc1m_jLg_8_18"/>
      <w:bookmarkStart w:id="1021" w:name="Tc_9sPHwjDLh0uNYlltmGvJMA_8_9"/>
      <w:bookmarkStart w:id="1022" w:name="Tc_XeedTn3dPk-q56wYh2bThw_8_6"/>
      <w:bookmarkStart w:id="1023" w:name="Tc_GmX30Tb5AEWTi40O4qCvkw_8_0"/>
      <w:bookmarkStart w:id="1024" w:name="Tc_4asiIs9AGU-2BBZJVihhIg_6_21"/>
      <w:bookmarkStart w:id="1025" w:name="Tc_BR15Zr2hHEeBS_Uhr0R90w_6_18"/>
      <w:bookmarkStart w:id="1026" w:name="Tc_B-1przmZ0Uqd4D7axnKPRw_6_9"/>
      <w:bookmarkStart w:id="1027" w:name="Tc_dLpyWNf6l0-tce2ShgmIcg_6_6"/>
      <w:bookmarkStart w:id="1028" w:name="Tc_wKnLykZ0eU-RmOQEc05RJQ_6_0"/>
      <w:bookmarkStart w:id="1029" w:name="Tc_JGPVSB7O9Ey84pRGCM57Kw_5_23"/>
      <w:bookmarkStart w:id="1030" w:name="Tc_yfN7vnjN40iyeG8XeEoDMQ_5_21"/>
      <w:bookmarkStart w:id="1031" w:name="Tc_ET6Xk9CMyUGWkxD8IjubcA_5_20"/>
      <w:bookmarkStart w:id="1032" w:name="Tc_QINuRsSiikyekXbKdSIy_Q_5_18"/>
      <w:bookmarkStart w:id="1033" w:name="Tc_0bRdQy1yt0ycQlgKKOgAWw_5_17"/>
      <w:bookmarkStart w:id="1034" w:name="Tc_FbBJD17rp0a3Uvwk7Qbiag_5_14"/>
      <w:bookmarkStart w:id="1035" w:name="Tc_OQe7AFlUR0WFCuL-V3DJOg_5_11"/>
      <w:bookmarkStart w:id="1036" w:name="Tc_N5pn_I9UiEu7NzUH4aidcQ_5_9"/>
      <w:bookmarkStart w:id="1037" w:name="Tc_VJZlzrMuSE2AFHwKl637TQ_5_8"/>
      <w:bookmarkStart w:id="1038" w:name="Tc_EzWzHvgOUUWaPlkEtbT7WQ_5_6"/>
      <w:bookmarkStart w:id="1039" w:name="Tc_8CKTw5F_z0WQtU4MiCTNcw_5_5"/>
      <w:bookmarkStart w:id="1040" w:name="Tc_DeYto_7AO0SOn_bCVw9Hyg_5_2"/>
      <w:bookmarkStart w:id="1041" w:name="Tc_YQT7H6-dRUmJaZ-KQiIwYw_5_0"/>
      <w:bookmarkStart w:id="1042" w:name="Tc_NtxOGjQv-kujphauPiw3yg_4_23"/>
      <w:bookmarkStart w:id="1043" w:name="Tc_uUAFQ0z6m0i4OcRkjFNjDw_4_20"/>
      <w:bookmarkStart w:id="1044" w:name="Tc_zkV0XVCXtUekLzATW84vIw_4_17"/>
      <w:bookmarkStart w:id="1045" w:name="Tc_XcT9TR6ISEWXTv3sX3IpKw_4_14"/>
      <w:bookmarkStart w:id="1046" w:name="Tc_1k1oVZ1m-0STf4gYkxsjAQ_4_11"/>
      <w:bookmarkStart w:id="1047" w:name="Tc_wGGV2UrLf0SfNj24kNbseg_4_8"/>
      <w:bookmarkStart w:id="1048" w:name="Tc_BcIGyQg2XUG5TWqU3-SrRA_4_5"/>
      <w:bookmarkStart w:id="1049" w:name="Tc_osrv1LYJ9kqv-wHWkBekrQ_4_2"/>
      <w:bookmarkStart w:id="1050" w:name="Tc_m8CZtnZzlkmVnvUu-eM-ww_3_14"/>
      <w:bookmarkStart w:id="1051" w:name="Tc_ST5zZyhGwkyuRY2ffS8WEg_3_2"/>
      <w:bookmarkStart w:id="1052" w:name="Tc_saI6Zwshk0Wdt5u4PI44RQ_2_14"/>
      <w:bookmarkStart w:id="1053" w:name="Tc_TbDaP0NQ_kWc8pZGYMuyyA_2_2"/>
      <w:bookmarkStart w:id="1054" w:name="_5fb3457c_fe35_4811_b34f_ed670ef31edb"/>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Arial;Helvetica;sans-serif" w:hAnsi="Arial;Helvetica;sans-serif"/>
          <w:b/>
          <w:sz w:val="20"/>
        </w:rPr>
        <w:t>4. Fair Value Measurements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Level 1—Observable inputs, such as quoted prices in active markets for identical assets or liabilities;</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tables present information about the Company’s financial assets measured at fair value on a recurring basis and indicates the level of the fair value hierarchy utilized to determine such fair values (in thousands):</w:t>
      </w:r>
    </w:p>
    <w:tbl>
      <w:tblPr>
        <w:tblW w:w="10839" w:type="dxa"/>
        <w:jc w:val="left"/>
        <w:tblInd w:w="0" w:type="dxa"/>
        <w:tblLayout w:type="fixed"/>
        <w:tblCellMar>
          <w:top w:w="0" w:type="dxa"/>
          <w:left w:w="0" w:type="dxa"/>
          <w:bottom w:w="0" w:type="dxa"/>
          <w:right w:w="0" w:type="dxa"/>
        </w:tblCellMar>
      </w:tblPr>
      <w:tblGrid>
        <w:gridCol w:w="1006"/>
        <w:gridCol w:w="326"/>
        <w:gridCol w:w="196"/>
        <w:gridCol w:w="691"/>
        <w:gridCol w:w="326"/>
        <w:gridCol w:w="196"/>
        <w:gridCol w:w="691"/>
        <w:gridCol w:w="326"/>
        <w:gridCol w:w="196"/>
        <w:gridCol w:w="570"/>
        <w:gridCol w:w="326"/>
        <w:gridCol w:w="196"/>
        <w:gridCol w:w="691"/>
        <w:gridCol w:w="326"/>
        <w:gridCol w:w="196"/>
        <w:gridCol w:w="691"/>
        <w:gridCol w:w="326"/>
        <w:gridCol w:w="196"/>
        <w:gridCol w:w="691"/>
        <w:gridCol w:w="326"/>
        <w:gridCol w:w="196"/>
        <w:gridCol w:w="570"/>
        <w:gridCol w:w="326"/>
        <w:gridCol w:w="196"/>
        <w:gridCol w:w="691"/>
        <w:gridCol w:w="371"/>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38810" cy="175260"/>
                      <wp:effectExtent l="0" t="0" r="0" b="0"/>
                      <wp:wrapNone/>
                      <wp:docPr id="118" name="Frame11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61950" cy="175260"/>
                      <wp:effectExtent l="0" t="0" r="0" b="0"/>
                      <wp:wrapNone/>
                      <wp:docPr id="127" name="Frame127"/>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29" name="Frame1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38785" cy="175260"/>
                      <wp:effectExtent l="0" t="0" r="0" b="0"/>
                      <wp:wrapNone/>
                      <wp:docPr id="130" name="Frame1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3"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5" name="Frame1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38785" cy="175260"/>
                      <wp:effectExtent l="0" t="0" r="0" b="0"/>
                      <wp:wrapNone/>
                      <wp:docPr id="136" name="Frame1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8" name="Frame1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61950" cy="175260"/>
                      <wp:effectExtent l="0" t="0" r="0" b="0"/>
                      <wp:wrapNone/>
                      <wp:docPr id="139" name="Frame139"/>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1" name="Frame1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38785" cy="175260"/>
                      <wp:effectExtent l="0" t="0" r="0" b="0"/>
                      <wp:wrapNone/>
                      <wp:docPr id="142"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5585" cy="175260"/>
                      <wp:effectExtent l="0" t="0" r="0" b="0"/>
                      <wp:wrapNone/>
                      <wp:docPr id="143" name="Frame14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5" w:type="dxa"/>
            <w:gridSpan w:val="11"/>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4405" w:type="dxa"/>
            <w:gridSpan w:val="11"/>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71"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0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w:t>
            </w:r>
          </w:p>
        </w:tc>
        <w:tc>
          <w:tcPr>
            <w:tcW w:w="440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71" w:type="dxa"/>
            <w:tcBorders/>
            <w:vAlign w:val="center"/>
          </w:tcPr>
          <w:p>
            <w:pPr>
              <w:pStyle w:val="TableContents"/>
              <w:bidi w:val="0"/>
              <w:spacing w:before="0" w:after="0"/>
              <w:ind w:left="0" w:right="0" w:hanging="0"/>
              <w:jc w:val="left"/>
              <w:rPr/>
            </w:pPr>
            <w:r>
              <w:rPr/>
              <w:t>    </w:t>
            </w:r>
          </w:p>
        </w:tc>
      </w:tr>
      <w:tr>
        <w:trPr/>
        <w:tc>
          <w:tcPr>
            <w:tcW w:w="100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124,443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124,443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124,443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124,443</w:t>
            </w:r>
          </w:p>
        </w:tc>
        <w:tc>
          <w:tcPr>
            <w:tcW w:w="371" w:type="dxa"/>
            <w:tcBorders/>
            <w:vAlign w:val="center"/>
          </w:tcPr>
          <w:p>
            <w:pPr>
              <w:pStyle w:val="TableContents"/>
              <w:bidi w:val="0"/>
              <w:spacing w:before="0" w:after="0"/>
              <w:ind w:left="0" w:right="0" w:hanging="0"/>
              <w:jc w:val="left"/>
              <w:rPr/>
            </w:pPr>
            <w:r>
              <w:rPr/>
              <w:t>​</w:t>
            </w:r>
          </w:p>
        </w:tc>
      </w:tr>
      <w:tr>
        <w:trPr/>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U.S. government bonds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232,451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232,451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84,935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84,935</w:t>
            </w:r>
          </w:p>
        </w:tc>
        <w:tc>
          <w:tcPr>
            <w:tcW w:w="371" w:type="dxa"/>
            <w:tcBorders/>
            <w:vAlign w:val="center"/>
          </w:tcPr>
          <w:p>
            <w:pPr>
              <w:pStyle w:val="TableContents"/>
              <w:bidi w:val="0"/>
              <w:spacing w:before="0" w:after="0"/>
              <w:ind w:left="0" w:right="0" w:hanging="0"/>
              <w:jc w:val="left"/>
              <w:rPr/>
            </w:pPr>
            <w:r>
              <w:rPr/>
              <w:t>​</w:t>
            </w:r>
          </w:p>
        </w:tc>
      </w:tr>
      <w:tr>
        <w:trPr/>
        <w:tc>
          <w:tcPr>
            <w:tcW w:w="100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65,297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65,297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82,340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82,340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debt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247,744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247,744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170,256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170,256</w:t>
            </w:r>
          </w:p>
        </w:tc>
        <w:tc>
          <w:tcPr>
            <w:tcW w:w="371" w:type="dxa"/>
            <w:tcBorders/>
            <w:vAlign w:val="center"/>
          </w:tcPr>
          <w:p>
            <w:pPr>
              <w:pStyle w:val="TableContents"/>
              <w:bidi w:val="0"/>
              <w:spacing w:before="0" w:after="0"/>
              <w:ind w:left="0" w:right="0" w:hanging="0"/>
              <w:jc w:val="left"/>
              <w:rPr/>
            </w:pPr>
            <w:r>
              <w:rPr/>
              <w:t>​</w:t>
            </w:r>
          </w:p>
        </w:tc>
      </w:tr>
      <w:tr>
        <w:trPr/>
        <w:tc>
          <w:tcPr>
            <w:tcW w:w="100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232,451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313,041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545,492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84,935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252,596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337,531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fair value of financial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605,296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313,041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918,337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209,378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252,596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461,974</w:t>
            </w:r>
          </w:p>
        </w:tc>
        <w:tc>
          <w:tcPr>
            <w:tcW w:w="371" w:type="dxa"/>
            <w:tcBorders/>
            <w:vAlign w:val="center"/>
          </w:tcPr>
          <w:p>
            <w:pPr>
              <w:pStyle w:val="TableContents"/>
              <w:bidi w:val="0"/>
              <w:spacing w:before="0" w:after="0"/>
              <w:ind w:left="0" w:right="0" w:hanging="0"/>
              <w:jc w:val="left"/>
              <w:rPr/>
            </w:pPr>
            <w:r>
              <w:rPr/>
              <w:t>​</w:t>
            </w:r>
          </w:p>
        </w:tc>
      </w:tr>
      <w:tr>
        <w:trPr/>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55" w:name="Tc_4t_Dc9eZl020yQr0TNU7mg_13_23"/>
      <w:bookmarkStart w:id="1056" w:name="Tc_0NdBHLWoWEOC_sK_yw2egA_13_20"/>
      <w:bookmarkStart w:id="1057" w:name="Tc_z7mLAyh06UyMhAPTYORdAg_13_17"/>
      <w:bookmarkStart w:id="1058" w:name="Tc_RubI6TJJB0mTuhXtufD0jQ_13_14"/>
      <w:bookmarkStart w:id="1059" w:name="Tc_Q5u5_35q2kaCLF9RX1olcg_13_11"/>
      <w:bookmarkStart w:id="1060" w:name="Tc_deskb_ep_kuQor5Mu0tKvA_13_8"/>
      <w:bookmarkStart w:id="1061" w:name="Tc_k3jz6wrIE0e6e3g2emJsCQ_13_5"/>
      <w:bookmarkStart w:id="1062" w:name="Tc_j3MB5_dzn0eQ40syPRnPUw_13_2"/>
      <w:bookmarkStart w:id="1063" w:name="Tc_94d3yeQ88kWqyEYrXE_oMQ_13_0"/>
      <w:bookmarkStart w:id="1064" w:name="Tc_GeJc53BPx0ersPRwX8njyA_12_0"/>
      <w:bookmarkStart w:id="1065" w:name="Tc_lHo-OpuQSE6c0k_iTzUCpw_11_0"/>
      <w:bookmarkStart w:id="1066" w:name="Tc_Dm_Gbr0_10GuO_Gkeqr46g_10_9"/>
      <w:bookmarkStart w:id="1067" w:name="Tc_gEMT-tPicUGLL1PKYXvT7A_10_0"/>
      <w:bookmarkStart w:id="1068" w:name="Tc_zzAN2WUsfkWMvK9NAmfSVA_9_0"/>
      <w:bookmarkStart w:id="1069" w:name="Tc_Qzu2aMMoaEeUIel-XOyRbw_7_21"/>
      <w:bookmarkStart w:id="1070" w:name="Tc__xDRkEjbqE-d5AWdpj0XOA_7_18"/>
      <w:bookmarkStart w:id="1071" w:name="Tc_JWlAetgZNUiZ3sOa_JZd6w_7_9"/>
      <w:bookmarkStart w:id="1072" w:name="Tc_B1ZrCjd86EmjLIglryXPIg_7_6"/>
      <w:bookmarkStart w:id="1073" w:name="Tc_9kt_-SiW50K__eYvFc1d4w_7_0"/>
      <w:bookmarkStart w:id="1074" w:name="Tc_tD4NkcKL60ClG4EcRqja6Q_6_23"/>
      <w:bookmarkStart w:id="1075" w:name="Tc_DZZxiLjzzU6MjzwdT6wueQ_6_21"/>
      <w:bookmarkStart w:id="1076" w:name="Tc_h1vlxM_5JEym1qe7KxCCXQ_6_20"/>
      <w:bookmarkStart w:id="1077" w:name="Tc_YhHMcWJkxEy_I_IMHVIneA_6_18"/>
      <w:bookmarkStart w:id="1078" w:name="Tc_ZwgceH03akWvwN9v_rmL1g_6_17"/>
      <w:bookmarkStart w:id="1079" w:name="Tc_R1MBkfDxf0uQQ5U8TFlEDg_6_14"/>
      <w:bookmarkStart w:id="1080" w:name="Tc_-76iex0-GUqRw9AlHAbhWw_6_11"/>
      <w:bookmarkStart w:id="1081" w:name="Tc_0ScZfWMXy0anXdL5GgxYpQ_6_9"/>
      <w:bookmarkStart w:id="1082" w:name="Tc_3Q0h0oGam0mnz71KW5-RIA_6_8"/>
      <w:bookmarkStart w:id="1083" w:name="Tc_n3bkXWuTFUqLOFj_HchAEg_6_6"/>
      <w:bookmarkStart w:id="1084" w:name="Tc_9LLUnbDlbE-8_nAKDjL5tg_6_5"/>
      <w:bookmarkStart w:id="1085" w:name="Tc_t9YO2gA0jEKqetYXcC0deQ_6_2"/>
      <w:bookmarkStart w:id="1086" w:name="Tc_ZIxRxcMARUiC-CW4GoDsBg_6_0"/>
      <w:bookmarkStart w:id="1087" w:name="Tc_bgNNWz1vHE6M7s7H2wLbiQ_5_23"/>
      <w:bookmarkStart w:id="1088" w:name="Tc_7QAFpDMQ10GT_i7fGOt4FQ_5_20"/>
      <w:bookmarkStart w:id="1089" w:name="Tc_KGw8epPRpUKXqPJT3FdlnQ_5_17"/>
      <w:bookmarkStart w:id="1090" w:name="Tc_rFpmNzadyECpg6m8KPeE8A_5_14"/>
      <w:bookmarkStart w:id="1091" w:name="Tc_-e7MmXzgMk2BSaV9sD38oA_5_11"/>
      <w:bookmarkStart w:id="1092" w:name="Tc_phLLopLrNUuJuFs_9sqlMQ_5_8"/>
      <w:bookmarkStart w:id="1093" w:name="Tc_gvugzW4pYEqWEY3hun-7mA_5_5"/>
      <w:bookmarkStart w:id="1094" w:name="Tc_hpoxt5Q8WESa3uu6SjvgEQ_5_2"/>
      <w:bookmarkStart w:id="1095" w:name="Tc_Dg3tYc304UKD5evdB9fnXA_4_23"/>
      <w:bookmarkStart w:id="1096" w:name="Tc_HOHbvrB9i0it8DWglG7l2w_4_17"/>
      <w:bookmarkStart w:id="1097" w:name="Tc_hufMvDopz0S_qdKSpa5PWQ_4_15"/>
      <w:bookmarkStart w:id="1098" w:name="Tc_zDIF5dB7ZE2XuKYbfMTc3g_4_11"/>
      <w:bookmarkStart w:id="1099" w:name="Tc_j8rH2jbbTE-yroNbHYe5KA_4_5"/>
      <w:bookmarkStart w:id="1100" w:name="Tc_ZEjcX8fUw0umhZahPCqrrw_4_3"/>
      <w:bookmarkStart w:id="1101" w:name="Tc_2LdGGxIJ-06ZJ0-tIlvCTg_3_14"/>
      <w:bookmarkStart w:id="1102" w:name="Tc_CG1YXDy7eUCE_bqTignDCw_3_2"/>
      <w:bookmarkStart w:id="1103" w:name="Tc_osv6CcAZA0qS4tUm4OLxTg_2_14"/>
      <w:bookmarkStart w:id="1104" w:name="Tc_yMUniNzRx02XyQCHn6uUVA_2_2"/>
      <w:bookmarkStart w:id="1105" w:name="_e1f15a35_96ca_471b_b396_b249b5e92536"/>
      <w:bookmarkStart w:id="1106" w:name="Tc_4t_Dc9eZl020yQr0TNU7mg_13_23"/>
      <w:bookmarkStart w:id="1107" w:name="Tc_0NdBHLWoWEOC_sK_yw2egA_13_20"/>
      <w:bookmarkStart w:id="1108" w:name="Tc_z7mLAyh06UyMhAPTYORdAg_13_17"/>
      <w:bookmarkStart w:id="1109" w:name="Tc_RubI6TJJB0mTuhXtufD0jQ_13_14"/>
      <w:bookmarkStart w:id="1110" w:name="Tc_Q5u5_35q2kaCLF9RX1olcg_13_11"/>
      <w:bookmarkStart w:id="1111" w:name="Tc_deskb_ep_kuQor5Mu0tKvA_13_8"/>
      <w:bookmarkStart w:id="1112" w:name="Tc_k3jz6wrIE0e6e3g2emJsCQ_13_5"/>
      <w:bookmarkStart w:id="1113" w:name="Tc_j3MB5_dzn0eQ40syPRnPUw_13_2"/>
      <w:bookmarkStart w:id="1114" w:name="Tc_94d3yeQ88kWqyEYrXE_oMQ_13_0"/>
      <w:bookmarkStart w:id="1115" w:name="Tc_GeJc53BPx0ersPRwX8njyA_12_0"/>
      <w:bookmarkStart w:id="1116" w:name="Tc_lHo-OpuQSE6c0k_iTzUCpw_11_0"/>
      <w:bookmarkStart w:id="1117" w:name="Tc_Dm_Gbr0_10GuO_Gkeqr46g_10_9"/>
      <w:bookmarkStart w:id="1118" w:name="Tc_gEMT-tPicUGLL1PKYXvT7A_10_0"/>
      <w:bookmarkStart w:id="1119" w:name="Tc_zzAN2WUsfkWMvK9NAmfSVA_9_0"/>
      <w:bookmarkStart w:id="1120" w:name="Tc_Qzu2aMMoaEeUIel-XOyRbw_7_21"/>
      <w:bookmarkStart w:id="1121" w:name="Tc__xDRkEjbqE-d5AWdpj0XOA_7_18"/>
      <w:bookmarkStart w:id="1122" w:name="Tc_JWlAetgZNUiZ3sOa_JZd6w_7_9"/>
      <w:bookmarkStart w:id="1123" w:name="Tc_B1ZrCjd86EmjLIglryXPIg_7_6"/>
      <w:bookmarkStart w:id="1124" w:name="Tc_9kt_-SiW50K__eYvFc1d4w_7_0"/>
      <w:bookmarkStart w:id="1125" w:name="Tc_tD4NkcKL60ClG4EcRqja6Q_6_23"/>
      <w:bookmarkStart w:id="1126" w:name="Tc_DZZxiLjzzU6MjzwdT6wueQ_6_21"/>
      <w:bookmarkStart w:id="1127" w:name="Tc_h1vlxM_5JEym1qe7KxCCXQ_6_20"/>
      <w:bookmarkStart w:id="1128" w:name="Tc_YhHMcWJkxEy_I_IMHVIneA_6_18"/>
      <w:bookmarkStart w:id="1129" w:name="Tc_ZwgceH03akWvwN9v_rmL1g_6_17"/>
      <w:bookmarkStart w:id="1130" w:name="Tc_R1MBkfDxf0uQQ5U8TFlEDg_6_14"/>
      <w:bookmarkStart w:id="1131" w:name="Tc_-76iex0-GUqRw9AlHAbhWw_6_11"/>
      <w:bookmarkStart w:id="1132" w:name="Tc_0ScZfWMXy0anXdL5GgxYpQ_6_9"/>
      <w:bookmarkStart w:id="1133" w:name="Tc_3Q0h0oGam0mnz71KW5-RIA_6_8"/>
      <w:bookmarkStart w:id="1134" w:name="Tc_n3bkXWuTFUqLOFj_HchAEg_6_6"/>
      <w:bookmarkStart w:id="1135" w:name="Tc_9LLUnbDlbE-8_nAKDjL5tg_6_5"/>
      <w:bookmarkStart w:id="1136" w:name="Tc_t9YO2gA0jEKqetYXcC0deQ_6_2"/>
      <w:bookmarkStart w:id="1137" w:name="Tc_ZIxRxcMARUiC-CW4GoDsBg_6_0"/>
      <w:bookmarkStart w:id="1138" w:name="Tc_bgNNWz1vHE6M7s7H2wLbiQ_5_23"/>
      <w:bookmarkStart w:id="1139" w:name="Tc_7QAFpDMQ10GT_i7fGOt4FQ_5_20"/>
      <w:bookmarkStart w:id="1140" w:name="Tc_KGw8epPRpUKXqPJT3FdlnQ_5_17"/>
      <w:bookmarkStart w:id="1141" w:name="Tc_rFpmNzadyECpg6m8KPeE8A_5_14"/>
      <w:bookmarkStart w:id="1142" w:name="Tc_-e7MmXzgMk2BSaV9sD38oA_5_11"/>
      <w:bookmarkStart w:id="1143" w:name="Tc_phLLopLrNUuJuFs_9sqlMQ_5_8"/>
      <w:bookmarkStart w:id="1144" w:name="Tc_gvugzW4pYEqWEY3hun-7mA_5_5"/>
      <w:bookmarkStart w:id="1145" w:name="Tc_hpoxt5Q8WESa3uu6SjvgEQ_5_2"/>
      <w:bookmarkStart w:id="1146" w:name="Tc_Dg3tYc304UKD5evdB9fnXA_4_23"/>
      <w:bookmarkStart w:id="1147" w:name="Tc_HOHbvrB9i0it8DWglG7l2w_4_17"/>
      <w:bookmarkStart w:id="1148" w:name="Tc_hufMvDopz0S_qdKSpa5PWQ_4_15"/>
      <w:bookmarkStart w:id="1149" w:name="Tc_zDIF5dB7ZE2XuKYbfMTc3g_4_11"/>
      <w:bookmarkStart w:id="1150" w:name="Tc_j8rH2jbbTE-yroNbHYe5KA_4_5"/>
      <w:bookmarkStart w:id="1151" w:name="Tc_ZEjcX8fUw0umhZahPCqrrw_4_3"/>
      <w:bookmarkStart w:id="1152" w:name="Tc_2LdGGxIJ-06ZJ0-tIlvCTg_3_14"/>
      <w:bookmarkStart w:id="1153" w:name="Tc_CG1YXDy7eUCE_bqTignDCw_3_2"/>
      <w:bookmarkStart w:id="1154" w:name="Tc_osv6CcAZA0qS4tUm4OLxTg_2_14"/>
      <w:bookmarkStart w:id="1155" w:name="Tc_yMUniNzRx02XyQCHn6uUVA_2_2"/>
      <w:bookmarkStart w:id="1156" w:name="_e1f15a35_96ca_471b_b396_b249b5e92536"/>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p>
    <w:tbl>
      <w:tblPr>
        <w:tblW w:w="10703" w:type="dxa"/>
        <w:jc w:val="left"/>
        <w:tblInd w:w="0" w:type="dxa"/>
        <w:tblLayout w:type="fixed"/>
        <w:tblCellMar>
          <w:top w:w="0" w:type="dxa"/>
          <w:left w:w="0" w:type="dxa"/>
          <w:bottom w:w="0" w:type="dxa"/>
          <w:right w:w="0" w:type="dxa"/>
        </w:tblCellMar>
      </w:tblPr>
      <w:tblGrid>
        <w:gridCol w:w="1006"/>
        <w:gridCol w:w="326"/>
        <w:gridCol w:w="196"/>
        <w:gridCol w:w="1096"/>
        <w:gridCol w:w="326"/>
        <w:gridCol w:w="265"/>
        <w:gridCol w:w="501"/>
        <w:gridCol w:w="109"/>
        <w:gridCol w:w="265"/>
        <w:gridCol w:w="366"/>
        <w:gridCol w:w="326"/>
        <w:gridCol w:w="196"/>
        <w:gridCol w:w="691"/>
        <w:gridCol w:w="326"/>
        <w:gridCol w:w="196"/>
        <w:gridCol w:w="1096"/>
        <w:gridCol w:w="326"/>
        <w:gridCol w:w="277"/>
        <w:gridCol w:w="489"/>
        <w:gridCol w:w="109"/>
        <w:gridCol w:w="220"/>
        <w:gridCol w:w="411"/>
        <w:gridCol w:w="326"/>
        <w:gridCol w:w="196"/>
        <w:gridCol w:w="691"/>
        <w:gridCol w:w="371"/>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8810" cy="175260"/>
                      <wp:effectExtent l="0" t="0" r="0" b="0"/>
                      <wp:wrapNone/>
                      <wp:docPr id="144" name="Frame14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5960" cy="175260"/>
                      <wp:effectExtent l="0" t="0" r="0" b="0"/>
                      <wp:wrapNone/>
                      <wp:docPr id="147" name="Frame14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8275" cy="175260"/>
                      <wp:effectExtent l="0" t="0" r="0" b="0"/>
                      <wp:wrapNone/>
                      <wp:docPr id="149" name="Frame14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18135" cy="175260"/>
                      <wp:effectExtent l="0" t="0" r="0" b="0"/>
                      <wp:wrapNone/>
                      <wp:docPr id="150" name="Frame15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8275" cy="175260"/>
                      <wp:effectExtent l="0" t="0" r="0" b="0"/>
                      <wp:wrapNone/>
                      <wp:docPr id="152" name="Frame15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32410" cy="175260"/>
                      <wp:effectExtent l="0" t="0" r="0" b="0"/>
                      <wp:wrapNone/>
                      <wp:docPr id="153" name="Frame15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5" name="Frame1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6" name="Frame1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8" name="Frame1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5960" cy="175260"/>
                      <wp:effectExtent l="0" t="0" r="0" b="0"/>
                      <wp:wrapNone/>
                      <wp:docPr id="159" name="Frame15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5895" cy="175260"/>
                      <wp:effectExtent l="0" t="0" r="0" b="0"/>
                      <wp:wrapNone/>
                      <wp:docPr id="161" name="Frame16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10515" cy="175260"/>
                      <wp:effectExtent l="0" t="0" r="0" b="0"/>
                      <wp:wrapNone/>
                      <wp:docPr id="162" name="Frame16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9700" cy="175260"/>
                      <wp:effectExtent l="0" t="0" r="0" b="0"/>
                      <wp:wrapNone/>
                      <wp:docPr id="164" name="Frame16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0985" cy="175260"/>
                      <wp:effectExtent l="0" t="0" r="0" b="0"/>
                      <wp:wrapNone/>
                      <wp:docPr id="165" name="Frame16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8785" cy="175260"/>
                      <wp:effectExtent l="0" t="0" r="0" b="0"/>
                      <wp:wrapNone/>
                      <wp:docPr id="168" name="Frame1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35585" cy="175260"/>
                      <wp:effectExtent l="0" t="0" r="0" b="0"/>
                      <wp:wrapNone/>
                      <wp:docPr id="169" name="Frame16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6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0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6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6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77"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8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20"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7" w:type="dxa"/>
            <w:gridSpan w:val="11"/>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4337" w:type="dxa"/>
            <w:gridSpan w:val="11"/>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71" w:type="dxa"/>
            <w:tcBorders/>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3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433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 </w:t>
            </w:r>
          </w:p>
        </w:tc>
      </w:tr>
      <w:tr>
        <w:trPr/>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5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UNREALIZED</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5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UNREALIZED</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c>
          <w:tcPr>
            <w:tcW w:w="371" w:type="dxa"/>
            <w:tcBorders/>
            <w:vAlign w:val="center"/>
          </w:tcPr>
          <w:p>
            <w:pPr>
              <w:pStyle w:val="TableContents"/>
              <w:bidi w:val="0"/>
              <w:spacing w:before="0" w:after="1"/>
              <w:ind w:left="0" w:right="0" w:hanging="0"/>
              <w:jc w:val="left"/>
              <w:rPr/>
            </w:pPr>
            <w:r>
              <w:rPr/>
              <w:t>    </w:t>
            </w:r>
          </w:p>
        </w:tc>
      </w:tr>
      <w:tr>
        <w:trPr/>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71" w:type="dxa"/>
            <w:tcBorders/>
            <w:vAlign w:val="center"/>
          </w:tcPr>
          <w:p>
            <w:pPr>
              <w:pStyle w:val="TableContents"/>
              <w:bidi w:val="0"/>
              <w:spacing w:before="0" w:after="1"/>
              <w:ind w:left="0" w:right="0" w:hanging="0"/>
              <w:jc w:val="left"/>
              <w:rPr/>
            </w:pPr>
            <w:r>
              <w:rPr/>
              <w:t> </w:t>
            </w:r>
          </w:p>
        </w:tc>
      </w:tr>
      <w:tr>
        <w:trPr/>
        <w:tc>
          <w:tcPr>
            <w:tcW w:w="1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124,443</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124,443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3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372,845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124,443</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124,443</w:t>
            </w:r>
          </w:p>
        </w:tc>
        <w:tc>
          <w:tcPr>
            <w:tcW w:w="371" w:type="dxa"/>
            <w:tcBorders/>
            <w:vAlign w:val="center"/>
          </w:tcPr>
          <w:p>
            <w:pPr>
              <w:pStyle w:val="TableContents"/>
              <w:bidi w:val="0"/>
              <w:spacing w:before="0" w:after="1"/>
              <w:ind w:left="0" w:right="0" w:hanging="0"/>
              <w:jc w:val="lef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U.S. government bonds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232,554</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w:t>
            </w:r>
          </w:p>
        </w:tc>
        <w:tc>
          <w:tcPr>
            <w:tcW w:w="109"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232,451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84,783</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84,935</w:t>
            </w:r>
          </w:p>
        </w:tc>
        <w:tc>
          <w:tcPr>
            <w:tcW w:w="371" w:type="dxa"/>
            <w:tcBorders/>
            <w:vAlign w:val="center"/>
          </w:tcPr>
          <w:p>
            <w:pPr>
              <w:pStyle w:val="TableContents"/>
              <w:bidi w:val="0"/>
              <w:spacing w:before="0" w:after="1"/>
              <w:ind w:left="0" w:right="0" w:hanging="0"/>
              <w:jc w:val="left"/>
              <w:rPr/>
            </w:pPr>
            <w:r>
              <w:rPr/>
              <w:t>​</w:t>
            </w:r>
          </w:p>
        </w:tc>
      </w:tr>
      <w:tr>
        <w:trPr/>
        <w:tc>
          <w:tcPr>
            <w:tcW w:w="1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U.S. government agency bonds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65,338</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w:t>
            </w:r>
          </w:p>
        </w:tc>
        <w:tc>
          <w:tcPr>
            <w:tcW w:w="109"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65,297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82,185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82,340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Corporate debt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248,087</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(351)</w:t>
            </w:r>
          </w:p>
        </w:tc>
        <w:tc>
          <w:tcPr>
            <w:tcW w:w="109"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247,744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170,042</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170,256</w:t>
            </w:r>
          </w:p>
        </w:tc>
        <w:tc>
          <w:tcPr>
            <w:tcW w:w="371" w:type="dxa"/>
            <w:tcBorders/>
            <w:vAlign w:val="center"/>
          </w:tcPr>
          <w:p>
            <w:pPr>
              <w:pStyle w:val="TableContents"/>
              <w:bidi w:val="0"/>
              <w:spacing w:before="0" w:after="1"/>
              <w:ind w:left="0" w:right="0" w:hanging="0"/>
              <w:jc w:val="left"/>
              <w:rPr/>
            </w:pPr>
            <w:r>
              <w:rPr/>
              <w:t>​</w:t>
            </w:r>
          </w:p>
        </w:tc>
      </w:tr>
      <w:tr>
        <w:trPr/>
        <w:tc>
          <w:tcPr>
            <w:tcW w:w="1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Short-term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545,979</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(504)</w:t>
            </w:r>
          </w:p>
        </w:tc>
        <w:tc>
          <w:tcPr>
            <w:tcW w:w="109"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545,492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337,010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(90)</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337,531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fair value of financial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918,824</w:t>
            </w:r>
          </w:p>
        </w:tc>
        <w:tc>
          <w:tcPr>
            <w:tcW w:w="326"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(504)</w:t>
            </w:r>
          </w:p>
        </w:tc>
        <w:tc>
          <w:tcPr>
            <w:tcW w:w="109"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918,337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461,453</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(90)</w:t>
            </w:r>
          </w:p>
        </w:tc>
        <w:tc>
          <w:tcPr>
            <w:tcW w:w="109"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611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461,974</w:t>
            </w:r>
          </w:p>
        </w:tc>
        <w:tc>
          <w:tcPr>
            <w:tcW w:w="371" w:type="dxa"/>
            <w:tcBorders/>
            <w:vAlign w:val="center"/>
          </w:tcPr>
          <w:p>
            <w:pPr>
              <w:pStyle w:val="TableContents"/>
              <w:bidi w:val="0"/>
              <w:spacing w:before="0" w:after="1"/>
              <w:ind w:left="0" w:right="0" w:hanging="0"/>
              <w:jc w:val="left"/>
              <w:rPr/>
            </w:pPr>
            <w:r>
              <w:rPr/>
              <w:t>​</w:t>
            </w:r>
          </w:p>
        </w:tc>
      </w:tr>
      <w:tr>
        <w:trPr/>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and December 31, 2023, the Company did not have any liabilities measured at fair value on a recurring basis. There were no transfers in and out of Level 3 during the three and six months ended June 30, 2024 and 2023. Contractual maturities of short-term investments are generally not more than one year. As of June 30, 2024, the remaining contractual maturities of $450.5 million of investments were within one year and $95.0 million of investments were after one year through two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unrealized losses for marketable securities related to changes in interest rates and the Company has the intent and ability to hold the underlying securities until the estimated date of recovery of its amortized cost. No allowance for credit losses was recorded at either June 30, 2024 or December 31, 2023, and no impairment losses were recognized for the three and six months ended June 30, 2024 and 2023.</w:t>
      </w:r>
    </w:p>
    <w:p>
      <w:pPr>
        <w:pStyle w:val="TextBody"/>
        <w:bidi w:val="0"/>
        <w:spacing w:before="0" w:after="240"/>
        <w:ind w:left="0" w:right="0" w:hanging="0"/>
        <w:jc w:val="left"/>
        <w:rPr>
          <w:rFonts w:ascii="Arial;Helvetica;sans-serif" w:hAnsi="Arial;Helvetica;sans-serif"/>
          <w:b/>
          <w:sz w:val="20"/>
        </w:rPr>
      </w:pPr>
      <w:bookmarkStart w:id="1157" w:name="_Hlk140671206"/>
      <w:bookmarkEnd w:id="1157"/>
      <w:r>
        <w:rPr>
          <w:rFonts w:ascii="Arial;Helvetica;sans-serif" w:hAnsi="Arial;Helvetica;sans-serif"/>
          <w:b/>
          <w:sz w:val="20"/>
        </w:rPr>
        <w:t>5. Commitments and Contingencies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June 2023, Shanghai ShouTi Biotechnology Co., Ltd. (“Shanghai ShouTi”), the Company’s wholly-owned subsidiary, entered into a lease agreement for approximately 22,500 square feet of office space in Shanghai, China, for its research and development operations office, which commenced in July 2023 and will expire on December 31, 2026. The annual base rent is approximately $0.7 million based on the exchange rate upon entering into this lease agreement, and Shanghai ShouTi is also responsible for the payment of additional costs and fees related to its use of the premises.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According to the lease agreement, the Company is obligated to restore the premises and all fixtures, fittings and equipment in the premises to its original condition. The Company’s asset retirement obligations are primarily associated with leasehold improvements which the Company is contractually obligated to remove at the end of a lease to comply with the lease agreement. The Company recognized an asset retirement obligation at the inception of a lease at its estimated fair value based on the expected timing of payment of the related costs. In the determination of fair value for an asset retirement obligation, the Company uses various assumptions and judgments, including such factors as the existence of a legal obligation, estimated amounts and timing of settlements, discount and inflation rates. The key estimates as of the inception date were the fair value of the asset retirement obligation of $0.4 million, timing of the settlement of 3.4 years and the discount rate of 6.8%. The associated estimated asset retirement costs are capitalized as part of the carrying amount of the leasehold improvements and depreciated over its useful life. As of June 30, 2024 and December 31, 2023, the Company had asset retirement obligations of $0.3 million and $0.3 million,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bookmarkStart w:id="1158" w:name="_Hlk127801866"/>
      <w:bookmarkStart w:id="1159" w:name="Tc_3U0dVpdjyEe7UIAu4LOBKg_12_2"/>
      <w:bookmarkStart w:id="1160" w:name="Tc_k-ZDv77pWU6q7ATNEtoRGQ_12_0"/>
      <w:bookmarkStart w:id="1161" w:name="Tc_vaTd9LrBl0qxrEmmF8otBw_11_0"/>
      <w:bookmarkStart w:id="1162" w:name="Tc_aQTXJEWV6k6dp_eXYMP3Bw_10_0"/>
      <w:bookmarkStart w:id="1163" w:name="Tc_hvIMieHDqEi0yZVBP0Zh_Q_9_0"/>
      <w:bookmarkStart w:id="1164" w:name="Tc_4YKZnv_hqk6ViFmGxw1j-A_8_0"/>
      <w:bookmarkStart w:id="1165" w:name="Tc_eYqGcFdhfUqtvhCCUsj-ig_7_0"/>
      <w:bookmarkStart w:id="1166" w:name="Tc_Qfp88BrU_0CqrkQLxhP0Gw_6_0"/>
      <w:bookmarkStart w:id="1167" w:name="Tc_zq8F46dCKUyK6WdIdIMOAA_5_0"/>
      <w:bookmarkStart w:id="1168" w:name="Tc_6baEnNmEC0mA1Df1eNKKHQ_4_2"/>
      <w:bookmarkStart w:id="1169" w:name="Tc_M1cwqXM2fUK5BIGEC1i0eg_4_0"/>
      <w:bookmarkStart w:id="1170" w:name="Tc_ZdNr30ESmUSvcucZqXMQIw_3_2"/>
      <w:bookmarkStart w:id="1171" w:name="Tc_FJlZcgCkBEKpMfKuWtbG1A_2_2"/>
      <w:bookmarkStart w:id="1172" w:name="_a9c2dd86_0e5e_4415_ac46_71bf0a58662d"/>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ascii="Arial;Helvetica;sans-serif" w:hAnsi="Arial;Helvetica;sans-serif"/>
          <w:sz w:val="20"/>
        </w:rPr>
        <w:t>respectively, which are recorded in other non-current liabilities on the condensed consolidated balance sheets.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June 2023, Structure Therapeutics USA Inc. (“Structure USA”), the Company’s wholly-owned subsidiary, entered into a sublease agreement for approximately 11,800 square feet of office space located in South San Francisco, California for its corporate headquarters. The lease commenced in July 2023 and will expire on August 31, 2027. The annual base rent will initially be approximately $0.5 million and will increase annually by 3%, and Structure USA will also be responsible for the payment of additional costs and fees related to its use of the premises.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June 2023, Shanghai ShouTi entered into another lease agreement for approximately 8,400 square feet of laboratory space located in Shanghai, China for its research and development activities. The lease commenced in December 2023 and will expire on January 31, 2027. The annual base rent will be approximately $0.3 million based on the exchange rate upon entering into this lease agreement, and Shanghai ShouTi is also responsible for the payment of additional costs and fees related to its use of the premises.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maturities of operating lease liabilities as of June 30, 2024, were as follows (in thousands):</w:t>
      </w:r>
    </w:p>
    <w:tbl>
      <w:tblPr>
        <w:tblW w:w="5292" w:type="dxa"/>
        <w:jc w:val="left"/>
        <w:tblInd w:w="0" w:type="dxa"/>
        <w:tblLayout w:type="fixed"/>
        <w:tblCellMar>
          <w:top w:w="0" w:type="dxa"/>
          <w:left w:w="0" w:type="dxa"/>
          <w:bottom w:w="0" w:type="dxa"/>
          <w:right w:w="0" w:type="dxa"/>
        </w:tblCellMar>
      </w:tblPr>
      <w:tblGrid>
        <w:gridCol w:w="4066"/>
        <w:gridCol w:w="326"/>
        <w:gridCol w:w="225"/>
        <w:gridCol w:w="675"/>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81910" cy="175260"/>
                      <wp:effectExtent l="0" t="0" r="0" b="0"/>
                      <wp:wrapNone/>
                      <wp:docPr id="170" name="Frame170"/>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2875" cy="175260"/>
                      <wp:effectExtent l="0" t="0" r="0" b="0"/>
                      <wp:wrapNone/>
                      <wp:docPr id="172" name="Frame17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8625" cy="175260"/>
                      <wp:effectExtent l="0" t="0" r="0" b="0"/>
                      <wp:wrapNone/>
                      <wp:docPr id="173" name="Frame173"/>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 (remaining six months)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958</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1,933</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1,888</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5,160</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4,674</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1,629</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3,045</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 cost was $0.7 million and $0.3 million for the three months ended June 30, 2024 and 2023, respectively, including $0.2 million and $0.2 million short-term lease costs for the three months ended June 30, 2024 and 2023, respectively. Operating lease cost was $1.3 million and $0.6 million for the six months ended June 30, 2024 and 2023, respectively, including $0.4 million and $0.4 million short-term lease costs for the six months ended June 30, 2024 and 2023, respectively. As of June 30, 2024, the weighted average remaining lease term was 2.7 years, and the weighted average discount rate used to measure the lease liabilities for such operating leases upon recognition was 7.6%. During the six months ended June 30, 2024 and 2023, cash paid for amounts included in operating lease liabilities of $0.8 million and $0.2 million, respectively, was included in cash flows from operating activities on the condensed consolidated statements of cash flows.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Indemnification Agreements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June 30, 2024 and December 31, 2023, the Company did not have any material indemnification claims that were probable or reasonably possible and consequently had not recognized any related liabilities.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Legal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6. Redeemable Convertible Preferred Shares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Company’s Memorandum and Articles of Association, as amended, prior to the IPO, the Company’s redeemable convertible preferred shares were issuable in series. Upon closing of the Company’s IPO, all outstanding redeemable convertible preferred shares automatically converted into 67,018,087 ordinary shares on a one-for-one basis. There were no issued and outstanding redeemable convertible preferred shares as of June 30, 2024 and December 31, 2023.</w:t>
      </w:r>
    </w:p>
    <w:p>
      <w:pPr>
        <w:pStyle w:val="TextBody"/>
        <w:bidi w:val="0"/>
        <w:spacing w:before="0" w:after="240"/>
        <w:ind w:left="0" w:right="0" w:hanging="0"/>
        <w:jc w:val="left"/>
        <w:rPr>
          <w:rFonts w:ascii="Arial;Helvetica;sans-serif" w:hAnsi="Arial;Helvetica;sans-serif"/>
          <w:b/>
          <w:sz w:val="20"/>
        </w:rPr>
      </w:pPr>
      <w:bookmarkStart w:id="1173" w:name="_c54193c6_e03e_4f8d_893f_8dcfe551f535"/>
      <w:bookmarkEnd w:id="1173"/>
      <w:r>
        <w:rPr>
          <w:rFonts w:ascii="Arial;Helvetica;sans-serif" w:hAnsi="Arial;Helvetica;sans-serif"/>
          <w:b/>
          <w:sz w:val="20"/>
        </w:rPr>
        <w:t>7. Shareholders’ Equity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June 30, 2024, the Company’s Memorandum and Articles of Association, as amended, authorizes the Company to issue 500,000,000 ordinary shares and 100,000,000 undesignated shares, of which 9,812,438 shares have been designated as </w:t>
      </w:r>
      <w:r>
        <w:rPr>
          <w:rFonts w:ascii="Arial;Helvetica;sans-serif" w:hAnsi="Arial;Helvetica;sans-serif"/>
          <w:b w:val="false"/>
          <w:i w:val="false"/>
          <w:caps w:val="false"/>
          <w:smallCaps w:val="false"/>
          <w:sz w:val="20"/>
        </w:rPr>
        <w:t>non-voting</w:t>
      </w:r>
      <w:r>
        <w:rPr>
          <w:rFonts w:ascii="Arial;Helvetica;sans-serif" w:hAnsi="Arial;Helvetica;sans-serif"/>
          <w:sz w:val="20"/>
        </w:rPr>
        <w:t xml:space="preserve"> ordinary shares and 90,187,562 remain undesignated shares, all with a par value of $0.0001 per share. The undesignated shares may be designated by the Company’s board of directors in accordance with the Company’s Articles of Association.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May 2023 and September 2023, the Company’s board of directors designated 7,410,518 and 2,401,920 non-voting ordinary shares, respectively, in accordance with the Articles of Association. As of December 31, 2023, all outstanding non-voting ordinary shares had been converted into 9,812,438 ordinary shares.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non-voting ordinary shares ranked on parity with the ordinary shares as to distributions of assets upon liquidation, dissolution or winding up of the Company, whether voluntary or involuntary. The non-voting ordinary shares were entitled on an equal basis to any dividends declared on the ordinary shares on an as-converted to ordinary share basis. Each non-voting ordinary shareholder had the right to convert each non-voting ordinary share into one ordinary share, subject to appropriate adjustment in the event of any dividend, split, reverse split, combination or other similar recapitalization with respect to the ordinary shares, at such holder’s election by providing written notice to the Company.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May 2023, the Company entered into an Exchange Agreement with Biotechnology Value Fund, L.P., Biotechnology Value Fund II, L.P., and Biotechnology Value Trading Fund OS, L.P. (collectively referred to as “BVF”), who in the aggregate held at the time of the transaction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bookmarkStart w:id="1174" w:name="Tc_KWhvv3R9m0CBSXS1cBvc0Q_15_0"/>
      <w:bookmarkStart w:id="1175" w:name="Tc_UfUuKDTLsU-epKXFnbj-Xw_14_0"/>
      <w:bookmarkStart w:id="1176" w:name="Tc_Wj28XRKmWEG1VO6pGeirXA_13_0"/>
      <w:bookmarkStart w:id="1177" w:name="Tc_t3tpdr4UUEOAbmQyv98x5g_12_0"/>
      <w:bookmarkStart w:id="1178" w:name="Tc_NpbcUgnU2UexqILtRX1Dyg_11_0"/>
      <w:bookmarkStart w:id="1179" w:name="Tc_CqnujmhvPkOqTL8b40rBMQ_10_0"/>
      <w:bookmarkStart w:id="1180" w:name="Tc_rL_WBJ9oMEuxEQVT1ABpHw_9_0"/>
      <w:bookmarkStart w:id="1181" w:name="Tc_6B6oNUyYl0ycDW_pdVCJ4g_8_9"/>
      <w:bookmarkStart w:id="1182" w:name="Tc_xkB-PVBga0WskCK316zEvQ_8_7"/>
      <w:bookmarkStart w:id="1183" w:name="Tc_-dHZo0Om2EeKHCvYcBP1jg_8_4"/>
      <w:bookmarkStart w:id="1184" w:name="Tc_FQlZwOATi0Cj6xWwFWteaA_8_2"/>
      <w:bookmarkStart w:id="1185" w:name="Tc_9MaaL80IBE6QumuNwNFvgA_7_9"/>
      <w:bookmarkStart w:id="1186" w:name="Tc_4tZu-dxunEGb5BPfTaaeTQ_7_7"/>
      <w:bookmarkStart w:id="1187" w:name="Tc_5zP-pVyloEWipwSRrrSDJQ_7_4"/>
      <w:bookmarkStart w:id="1188" w:name="Tc_vlBsbQvfqkeaWYsV0qq0QA_7_2"/>
      <w:bookmarkStart w:id="1189" w:name="Tc_P-TAx2_5lEKAkVivgowUug_6_9"/>
      <w:bookmarkStart w:id="1190" w:name="Tc_R-fQou1Up0uYzQMsDypzsQ_6_7"/>
      <w:bookmarkStart w:id="1191" w:name="Tc_lEPYKsAUL0aKQx-nwOmk2A_6_4"/>
      <w:bookmarkStart w:id="1192" w:name="Tc_wgd7JWWXSEC80WRZR9ID5g_6_2"/>
      <w:bookmarkStart w:id="1193" w:name="Tc_LH-xOUaoe0ehcB0EG3QxCA_5_7"/>
      <w:bookmarkStart w:id="1194" w:name="Tc_AstkB_g04kaX00ksujA3Ug_5_4"/>
      <w:bookmarkStart w:id="1195" w:name="Tc_VGD4AuRmJka6wcYTTPWWQw_5_2"/>
      <w:bookmarkStart w:id="1196" w:name="Tc_NRXdM-LpHkeScK0sCNKlUg_4_7"/>
      <w:bookmarkStart w:id="1197" w:name="Tc_SFMjvnyXH02dJP7j3cuIbA_4_2"/>
      <w:bookmarkStart w:id="1198" w:name="Tc_KTHrIeJngEmhLW7Se9-AZg_3_7"/>
      <w:bookmarkStart w:id="1199" w:name="Tc_zZnOgeHZ_UCAqz8MZmL_Jw_2_2"/>
      <w:bookmarkStart w:id="1200" w:name="_a83ff2f3_40da_463e_9da7_d731fc3d1617"/>
      <w:bookmarkStart w:id="1201" w:name="Tc_tPC2eMk45UGxY2d2TNwhMw_9_0"/>
      <w:bookmarkStart w:id="1202" w:name="Tc_Lorbvx4DV0SjNcfjOqYUuA_8_0"/>
      <w:bookmarkStart w:id="1203" w:name="Tc_DuSrk_N9pUSQXH-Ws1FUxg_7_0"/>
      <w:bookmarkStart w:id="1204" w:name="Tc_HyxXWulX1EqbHn_4OcvUQw_6_0"/>
      <w:bookmarkStart w:id="1205" w:name="Tc_kcq0_w5uOE6AwRACxdEYvg_5_0"/>
      <w:bookmarkStart w:id="1206" w:name="Tc_6IZ4-9Zr90-NbMud1IBW2w_4_2"/>
      <w:bookmarkStart w:id="1207" w:name="Tc_h8zYA7hFWkiVNFHXVLOAWg_3_2"/>
      <w:bookmarkStart w:id="1208" w:name="Tc_nQqRR4rLz0eZxabvu5c74Q_2_2"/>
      <w:bookmarkStart w:id="1209" w:name="_b1a7c349_d73a_44f9_9f75_c6d9567fab05"/>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Fonts w:ascii="Arial;Helvetica;sans-serif" w:hAnsi="Arial;Helvetica;sans-serif"/>
          <w:sz w:val="20"/>
        </w:rPr>
        <w:t>In September 2023, the Company entered into a share purchase agreement to issue certain shares to purchasers, including 2,401,920 newly designated non-voting ordinary shares at a purchase price of $12.49 per share (or the equivalent of $37.47 per ADS) in the Private Placement which closed on October 3, 2023.</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Ordinary shareholders are entitled to dividends if and when declared by the Company’s board of directors. As of June 30, 2024 and December 31, 2023, no dividends on ordinary shares had been declared by the board of directors.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Options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summary of shares available for grant is set forth below (in thousands):</w:t>
      </w:r>
    </w:p>
    <w:tbl>
      <w:tblPr>
        <w:tblW w:w="4648" w:type="dxa"/>
        <w:jc w:val="left"/>
        <w:tblInd w:w="0" w:type="dxa"/>
        <w:tblLayout w:type="fixed"/>
        <w:tblCellMar>
          <w:top w:w="0" w:type="dxa"/>
          <w:left w:w="0" w:type="dxa"/>
          <w:bottom w:w="0" w:type="dxa"/>
          <w:right w:w="0" w:type="dxa"/>
        </w:tblCellMar>
      </w:tblPr>
      <w:tblGrid>
        <w:gridCol w:w="3166"/>
        <w:gridCol w:w="326"/>
        <w:gridCol w:w="115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10410" cy="175260"/>
                      <wp:effectExtent l="0" t="0" r="0" b="0"/>
                      <wp:wrapNone/>
                      <wp:docPr id="174" name="Frame17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34060" cy="175260"/>
                      <wp:effectExtent l="0" t="0" r="0" b="0"/>
                      <wp:wrapNone/>
                      <wp:docPr id="176" name="Frame17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15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AVAILABLE</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FOR GRANT</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8,192</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Authorized</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5,569</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Granted/Awarded</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(3,779)</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Cancelled</w:t>
            </w:r>
          </w:p>
        </w:tc>
        <w:tc>
          <w:tcPr>
            <w:tcW w:w="32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1,258</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Balance as of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11,240</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summary of share option activity is set forth below (in thousands except per share amounts and years):</w:t>
      </w:r>
    </w:p>
    <w:tbl>
      <w:tblPr>
        <w:tblW w:w="10205" w:type="dxa"/>
        <w:jc w:val="left"/>
        <w:tblInd w:w="0" w:type="dxa"/>
        <w:tblLayout w:type="fixed"/>
        <w:tblCellMar>
          <w:top w:w="0" w:type="dxa"/>
          <w:left w:w="0" w:type="dxa"/>
          <w:bottom w:w="0" w:type="dxa"/>
          <w:right w:w="0" w:type="dxa"/>
        </w:tblCellMar>
      </w:tblPr>
      <w:tblGrid>
        <w:gridCol w:w="3894"/>
        <w:gridCol w:w="326"/>
        <w:gridCol w:w="1336"/>
        <w:gridCol w:w="326"/>
        <w:gridCol w:w="163"/>
        <w:gridCol w:w="880"/>
        <w:gridCol w:w="326"/>
        <w:gridCol w:w="1396"/>
        <w:gridCol w:w="326"/>
        <w:gridCol w:w="182"/>
        <w:gridCol w:w="1050"/>
      </w:tblGrid>
      <w:tr>
        <w:trPr/>
        <w:tc>
          <w:tcPr>
            <w:tcW w:w="3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72690" cy="175260"/>
                      <wp:effectExtent l="0" t="0" r="0" b="0"/>
                      <wp:wrapNone/>
                      <wp:docPr id="177" name="Frame177"/>
                      <a:graphic xmlns:a="http://schemas.openxmlformats.org/drawingml/2006/main">
                        <a:graphicData uri="http://schemas.microsoft.com/office/word/2010/wordprocessingShape">
                          <wps:wsp>
                            <wps:cNvSpPr txBox="1"/>
                            <wps:spPr>
                              <a:xfrm>
                                <a:off x="0" y="0"/>
                                <a:ext cx="2472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48360" cy="175260"/>
                      <wp:effectExtent l="0" t="0" r="0" b="0"/>
                      <wp:wrapNone/>
                      <wp:docPr id="179" name="Frame179"/>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3505" cy="175260"/>
                      <wp:effectExtent l="0" t="0" r="0" b="0"/>
                      <wp:wrapNone/>
                      <wp:docPr id="181" name="Frame181"/>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58800" cy="175260"/>
                      <wp:effectExtent l="0" t="0" r="0" b="0"/>
                      <wp:wrapNone/>
                      <wp:docPr id="182" name="Frame182"/>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86460" cy="175260"/>
                      <wp:effectExtent l="0" t="0" r="0" b="0"/>
                      <wp:wrapNone/>
                      <wp:docPr id="184" name="Frame184"/>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5570" cy="175260"/>
                      <wp:effectExtent l="0" t="0" r="0" b="0"/>
                      <wp:wrapNone/>
                      <wp:docPr id="186" name="Frame186"/>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66750" cy="175260"/>
                      <wp:effectExtent l="0" t="0" r="0" b="0"/>
                      <wp:wrapNone/>
                      <wp:docPr id="187" name="Frame187"/>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9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985" w:type="dxa"/>
            <w:gridSpan w:val="9"/>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8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 AWARDS</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center"/>
              <w:rPr/>
            </w:pPr>
            <w:r>
              <w:rPr/>
              <w:t>​</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center"/>
              <w:rPr/>
            </w:pPr>
            <w:r>
              <w:rPr/>
              <w:t>​</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vAlign w:val="center"/>
          </w:tcPr>
          <w:p>
            <w:pPr>
              <w:pStyle w:val="TableContents"/>
              <w:bidi w:val="0"/>
              <w:spacing w:before="0" w:after="0"/>
              <w:ind w:left="0" w:right="0" w:hanging="0"/>
              <w:jc w:val="left"/>
              <w:rPr/>
            </w:pPr>
            <w:r>
              <w:rPr/>
              <w:t>​</w:t>
            </w:r>
          </w:p>
        </w:tc>
        <w:tc>
          <w:tcPr>
            <w:tcW w:w="1043"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center"/>
              <w:rPr/>
            </w:pPr>
            <w:r>
              <w:rPr/>
              <w:t>​</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UNDERLYING</w:t>
            </w:r>
          </w:p>
        </w:tc>
        <w:tc>
          <w:tcPr>
            <w:tcW w:w="326" w:type="dxa"/>
            <w:tcBorders/>
            <w:vAlign w:val="center"/>
          </w:tcPr>
          <w:p>
            <w:pPr>
              <w:pStyle w:val="TableContents"/>
              <w:bidi w:val="0"/>
              <w:spacing w:before="0" w:after="0"/>
              <w:ind w:left="0" w:right="0" w:hanging="0"/>
              <w:jc w:val="left"/>
              <w:rPr/>
            </w:pPr>
            <w:r>
              <w:rPr/>
              <w:t>​</w:t>
            </w:r>
          </w:p>
        </w:tc>
        <w:tc>
          <w:tcPr>
            <w:tcW w:w="1043"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23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1043"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TERM </w:t>
            </w:r>
          </w:p>
        </w:tc>
        <w:tc>
          <w:tcPr>
            <w:tcW w:w="326" w:type="dxa"/>
            <w:tcBorders/>
            <w:vAlign w:val="center"/>
          </w:tcPr>
          <w:p>
            <w:pPr>
              <w:pStyle w:val="TableContents"/>
              <w:bidi w:val="0"/>
              <w:spacing w:before="0" w:after="0"/>
              <w:ind w:left="0" w:right="0" w:hanging="0"/>
              <w:jc w:val="left"/>
              <w:rPr/>
            </w:pPr>
            <w:r>
              <w:rPr/>
              <w:t>​</w:t>
            </w:r>
          </w:p>
        </w:tc>
        <w:tc>
          <w:tcPr>
            <w:tcW w:w="123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8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vAlign w:val="center"/>
          </w:tcPr>
          <w:p>
            <w:pPr>
              <w:pStyle w:val="TableContents"/>
              <w:bidi w:val="0"/>
              <w:spacing w:before="0" w:after="0"/>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89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11,899</w:t>
            </w:r>
          </w:p>
        </w:tc>
        <w:tc>
          <w:tcPr>
            <w:tcW w:w="32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3.94</w:t>
            </w:r>
          </w:p>
        </w:tc>
        <w:tc>
          <w:tcPr>
            <w:tcW w:w="32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8.27</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117,093</w:t>
            </w:r>
          </w:p>
        </w:tc>
      </w:tr>
      <w:tr>
        <w:trPr/>
        <w:tc>
          <w:tcPr>
            <w:tcW w:w="389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2,835</w:t>
            </w:r>
          </w:p>
        </w:tc>
        <w:tc>
          <w:tcPr>
            <w:tcW w:w="32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12.83</w:t>
            </w:r>
          </w:p>
        </w:tc>
        <w:tc>
          <w:tcPr>
            <w:tcW w:w="32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 </w:t>
            </w:r>
          </w:p>
        </w:tc>
        <w:tc>
          <w:tcPr>
            <w:tcW w:w="1050" w:type="dxa"/>
            <w:tcBorders/>
            <w:vAlign w:val="center"/>
          </w:tcPr>
          <w:p>
            <w:pPr>
              <w:pStyle w:val="TableContents"/>
              <w:bidi w:val="0"/>
              <w:spacing w:before="0" w:after="0"/>
              <w:ind w:left="0" w:right="0" w:hanging="0"/>
              <w:jc w:val="right"/>
              <w:rPr/>
            </w:pPr>
            <w:r>
              <w:rPr/>
              <w:t>  </w:t>
            </w:r>
          </w:p>
        </w:tc>
      </w:tr>
      <w:tr>
        <w:trPr/>
        <w:tc>
          <w:tcPr>
            <w:tcW w:w="38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(1,062)</w:t>
            </w:r>
          </w:p>
        </w:tc>
        <w:tc>
          <w:tcPr>
            <w:tcW w:w="32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w:t>
            </w:r>
          </w:p>
        </w:tc>
        <w:tc>
          <w:tcPr>
            <w:tcW w:w="32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pPr>
            <w:r>
              <w:rPr/>
              <w:t>  </w:t>
            </w:r>
          </w:p>
        </w:tc>
      </w:tr>
      <w:tr>
        <w:trPr/>
        <w:tc>
          <w:tcPr>
            <w:tcW w:w="389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(1,258)</w:t>
            </w:r>
          </w:p>
        </w:tc>
        <w:tc>
          <w:tcPr>
            <w:tcW w:w="32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5.21</w:t>
            </w:r>
          </w:p>
        </w:tc>
        <w:tc>
          <w:tcPr>
            <w:tcW w:w="32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 </w:t>
            </w:r>
          </w:p>
        </w:tc>
        <w:tc>
          <w:tcPr>
            <w:tcW w:w="1050" w:type="dxa"/>
            <w:tcBorders/>
            <w:vAlign w:val="center"/>
          </w:tcPr>
          <w:p>
            <w:pPr>
              <w:pStyle w:val="TableContents"/>
              <w:bidi w:val="0"/>
              <w:spacing w:before="0" w:after="0"/>
              <w:ind w:left="0" w:right="0" w:hanging="0"/>
              <w:jc w:val="right"/>
              <w:rPr/>
            </w:pPr>
            <w:r>
              <w:rPr/>
              <w:t>  </w:t>
            </w:r>
          </w:p>
        </w:tc>
      </w:tr>
      <w:tr>
        <w:trPr/>
        <w:tc>
          <w:tcPr>
            <w:tcW w:w="3894"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 of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12,414</w:t>
            </w:r>
          </w:p>
        </w:tc>
        <w:tc>
          <w:tcPr>
            <w:tcW w:w="32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w:t>
            </w:r>
          </w:p>
        </w:tc>
        <w:tc>
          <w:tcPr>
            <w:tcW w:w="32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91,104</w:t>
            </w:r>
          </w:p>
        </w:tc>
      </w:tr>
      <w:tr>
        <w:trPr/>
        <w:tc>
          <w:tcPr>
            <w:tcW w:w="389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Exercisable at June 30, 2024</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5,407</w:t>
            </w:r>
          </w:p>
        </w:tc>
        <w:tc>
          <w:tcPr>
            <w:tcW w:w="32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7.32</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57,550</w:t>
            </w:r>
          </w:p>
        </w:tc>
      </w:tr>
      <w:tr>
        <w:trPr/>
        <w:tc>
          <w:tcPr>
            <w:tcW w:w="38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 and expected to vest at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12,414</w:t>
            </w:r>
          </w:p>
        </w:tc>
        <w:tc>
          <w:tcPr>
            <w:tcW w:w="32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w:t>
            </w:r>
          </w:p>
        </w:tc>
        <w:tc>
          <w:tcPr>
            <w:tcW w:w="32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w:t>
            </w:r>
          </w:p>
        </w:tc>
        <w:tc>
          <w:tcPr>
            <w:tcW w:w="326"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 </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91,104</w:t>
            </w:r>
          </w:p>
        </w:tc>
      </w:tr>
      <w:tr>
        <w:trPr/>
        <w:tc>
          <w:tcPr>
            <w:tcW w:w="38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total fair value of options that vested during the three months ended June 30, 2024 and 2023 was $3.5 million and $0.5 million, respectively. The total fair value of options that vested during the six months ended June 30, 2024 and 2023 was $9.3 million and $1.7 million, respectively.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Employee Share Purchase Plan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February 2023, the Company adopted the 2023 Employee Share Purchase Plan (“ESPP”). The Company allows eligible employees to purchase shares of the Company’s ordinary shares through payroll deductions at a price equal to 85% of the lesser of the fair market value of the ordinary shares as of the first date of each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bookmarkStart w:id="1210" w:name="Tc_-Ck2VZTfnUy6oztc9crQUg_7_11"/>
      <w:bookmarkStart w:id="1211" w:name="Tc_qnhk_5GtH0azNkyUC8-wDw_7_8"/>
      <w:bookmarkStart w:id="1212" w:name="Tc_MiNfYitiAEyH7EOKh0FMBA_7_5"/>
      <w:bookmarkStart w:id="1213" w:name="Tc_dF_KE-QB5ke7YK18_iBarw_7_2"/>
      <w:bookmarkStart w:id="1214" w:name="Tc_hqjZt6DPCUW8yVAvjQz-3A_7_0"/>
      <w:bookmarkStart w:id="1215" w:name="Tc_Ey0qBE-ZpkS6L1rbjQA2rw_6_0"/>
      <w:bookmarkStart w:id="1216" w:name="Tc_B-YQZ37x0EyC1htwtgTykA_5_11"/>
      <w:bookmarkStart w:id="1217" w:name="Tc_9zYUGwbGOk6oqfxfFeWIvg_5_8"/>
      <w:bookmarkStart w:id="1218" w:name="Tc_tTBaqHGxFkujKVm5kkeppw_5_5"/>
      <w:bookmarkStart w:id="1219" w:name="Tc_QdotcJnduU2SjQFxOZlPpQ_5_2"/>
      <w:bookmarkStart w:id="1220" w:name="Tc_DWbsyG1N002SDL5smysAyw_5_0"/>
      <w:bookmarkStart w:id="1221" w:name="Tc_5cQhWJvdhkKiPCaQY9gSMw_4_11"/>
      <w:bookmarkStart w:id="1222" w:name="Tc_RUj0YPPNj0m8t7N_CYMHLQ_4_8"/>
      <w:bookmarkStart w:id="1223" w:name="Tc_8CLUvcCgQ0i27pFuT-U1fg_4_5"/>
      <w:bookmarkStart w:id="1224" w:name="Tc_VjiMFDel9Eaa6UpC_SLgrA_4_2"/>
      <w:bookmarkStart w:id="1225" w:name="Tc_pHT38VQMyUKj66qMhk-Dvg_3_8"/>
      <w:bookmarkStart w:id="1226" w:name="Tc_PiilR0v3ekGqIV3GQfR4pw_3_2"/>
      <w:bookmarkStart w:id="1227" w:name="Tc_Mx-Qs5J_r0i8cvQi1FHzMQ_2_8"/>
      <w:bookmarkStart w:id="1228" w:name="Tc_Q-_8nNYYD02DnFg6g54mMA_2_2"/>
      <w:bookmarkStart w:id="1229" w:name="_4e801253_8490_4d0e_bf8c_d0ab56138ccd"/>
      <w:bookmarkStart w:id="1230" w:name="Tc_xO0lh2pR9UuFoCGAFsZ1ig_9_4"/>
      <w:bookmarkStart w:id="1231" w:name="Tc_I5mwAqDWhkC7fqmGm3QShw_9_0"/>
      <w:bookmarkStart w:id="1232" w:name="Tc_b1rTGMNNx0Oe2XKWWIh1-A_8_2"/>
      <w:bookmarkStart w:id="1233" w:name="Tc_1O3T-8oP_kysaDXTkvQ2Hw_8_0"/>
      <w:bookmarkStart w:id="1234" w:name="Tc_4d35MJgAvkGwdxGvo2MssA_7_4"/>
      <w:bookmarkStart w:id="1235" w:name="Tc_Ny-jAwWErEO9hQjJ9obDbg_7_0"/>
      <w:bookmarkStart w:id="1236" w:name="Tc_Ez2NfQl4MkuVvsF8BAfoUg_6_2"/>
      <w:bookmarkStart w:id="1237" w:name="Tc_v3ihA85eQkOUpfVocAak3g_6_0"/>
      <w:bookmarkStart w:id="1238" w:name="Tc_7UoLqDTWZE2Vy5-24ZMJdQ_5_4"/>
      <w:bookmarkStart w:id="1239" w:name="Tc_LBDHlJTXpE6LPc6KjDFWmA_5_2"/>
      <w:bookmarkStart w:id="1240" w:name="Tc_PTpjkOJ-LU2Bx_7bFAlpCQ_4_4"/>
      <w:bookmarkStart w:id="1241" w:name="Tc_MNTQqozZlUWJW_CBSptszw_4_2"/>
      <w:bookmarkStart w:id="1242" w:name="Tc_nGWIL7quMkO0tq1zp0Rigw_3_4"/>
      <w:bookmarkStart w:id="1243" w:name="Tc_sgW0rx7dqUG5D1Br09PPjg_3_2"/>
      <w:bookmarkStart w:id="1244" w:name="Tc_KpqNetNPYUCsnZh__qHsdw_2_4"/>
      <w:bookmarkStart w:id="1245" w:name="_deca8da6_ee6f_42c9_8e92_4093f7d51235"/>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Arial;Helvetica;sans-serif" w:hAnsi="Arial;Helvetica;sans-serif"/>
          <w:sz w:val="20"/>
        </w:rPr>
        <w:t>offering period or the ending date of each purchase period. Each offering period is typically 24 months consisting of four purchase periods of six months. There were 1,000,000 ordinary shares initially reserved for issuance under the ESPP. In January 2024, the number of ordinary shares available for issuance under the ESPP was increased by 1,392,210 shares as a result of the automatic increase provision in the ESPP.</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offering period and purchase periods are determined by the board of directors. The first offering period for approximately 24 months was initiated during the fourth quarter of 2023 and consists of four purchase periods of approximately six months. The second offering period of 24 months was initiated during the second quarter of 2024 and consists of four purchase periods of approximately six months. The Company issued 25,794 shares under the ESPP during the six months ended June 30, 2024. As of June 30, 2024, 2,366,416 shares under the ESPP remain available for purchase.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Restricted Share Units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summary of restricted share unit activity is set forth below (in thousands except per share amounts):</w:t>
      </w:r>
    </w:p>
    <w:tbl>
      <w:tblPr>
        <w:tblW w:w="8604" w:type="dxa"/>
        <w:jc w:val="left"/>
        <w:tblInd w:w="0" w:type="dxa"/>
        <w:tblLayout w:type="fixed"/>
        <w:tblCellMar>
          <w:top w:w="0" w:type="dxa"/>
          <w:left w:w="0" w:type="dxa"/>
          <w:bottom w:w="0" w:type="dxa"/>
          <w:right w:w="0" w:type="dxa"/>
        </w:tblCellMar>
      </w:tblPr>
      <w:tblGrid>
        <w:gridCol w:w="5371"/>
        <w:gridCol w:w="326"/>
        <w:gridCol w:w="1336"/>
        <w:gridCol w:w="326"/>
        <w:gridCol w:w="311"/>
        <w:gridCol w:w="934"/>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410585" cy="175260"/>
                      <wp:effectExtent l="0" t="0" r="0" b="0"/>
                      <wp:wrapNone/>
                      <wp:docPr id="188" name="Frame188"/>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48360" cy="175260"/>
                      <wp:effectExtent l="0" t="0" r="0" b="0"/>
                      <wp:wrapNone/>
                      <wp:docPr id="190" name="Frame19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97485" cy="175260"/>
                      <wp:effectExtent l="0" t="0" r="0" b="0"/>
                      <wp:wrapNone/>
                      <wp:docPr id="192" name="Frame19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3090" cy="175260"/>
                      <wp:effectExtent l="0" t="0" r="0" b="0"/>
                      <wp:wrapNone/>
                      <wp:docPr id="193" name="Frame193"/>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907" w:type="dxa"/>
            <w:gridSpan w:val="4"/>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5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5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5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UNITS</w:t>
            </w:r>
          </w:p>
        </w:tc>
        <w:tc>
          <w:tcPr>
            <w:tcW w:w="326"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 DATE</w:t>
            </w:r>
          </w:p>
        </w:tc>
      </w:tr>
      <w:tr>
        <w:trPr/>
        <w:tc>
          <w:tcPr>
            <w:tcW w:w="5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537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Outstanding,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pPr>
            <w:r>
              <w:rPr/>
              <w:t>​</w:t>
            </w:r>
          </w:p>
        </w:tc>
      </w:tr>
      <w:tr>
        <w:trPr/>
        <w:tc>
          <w:tcPr>
            <w:tcW w:w="53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 (including performance-based restricted share units)</w:t>
            </w:r>
          </w:p>
        </w:tc>
        <w:tc>
          <w:tcPr>
            <w:tcW w:w="32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945</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11.75</w:t>
            </w:r>
          </w:p>
        </w:tc>
      </w:tr>
      <w:tr>
        <w:trPr/>
        <w:tc>
          <w:tcPr>
            <w:tcW w:w="53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pPr>
            <w:r>
              <w:rPr/>
              <w:t>​</w:t>
            </w:r>
          </w:p>
        </w:tc>
      </w:tr>
      <w:tr>
        <w:trPr/>
        <w:tc>
          <w:tcPr>
            <w:tcW w:w="537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Outstanding, June 30, 2024</w:t>
            </w:r>
          </w:p>
        </w:tc>
        <w:tc>
          <w:tcPr>
            <w:tcW w:w="326" w:type="dxa"/>
            <w:tcBorders/>
            <w:vAlign w:val="center"/>
          </w:tcPr>
          <w:p>
            <w:pPr>
              <w:pStyle w:val="TableContents"/>
              <w:bidi w:val="0"/>
              <w:spacing w:before="0" w:after="1"/>
              <w:ind w:left="0" w:right="0" w:hanging="0"/>
              <w:jc w:val="left"/>
              <w:rPr/>
            </w:pPr>
            <w:r>
              <w:rPr/>
              <w:t> </w:t>
            </w:r>
          </w:p>
        </w:tc>
        <w:tc>
          <w:tcPr>
            <w:tcW w:w="13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945</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11.75</w:t>
            </w:r>
          </w:p>
        </w:tc>
      </w:tr>
      <w:tr>
        <w:trPr/>
        <w:tc>
          <w:tcPr>
            <w:tcW w:w="5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March 2024, the Company granted 381,252 restricted share units with service and performance conditions to certain employees, none of which vested during the six months ended June 30, 2024. Vesting of these awards is contingent on the occurrence of certain milestone events and fulfilment of any remaining service condition. As a result, the related compensation cost is recognized as an expense when achievement of the milestones is considered probable. The expense to be recognized for these awards is based on the grant date fair value of the Company’s ordinary shares multiplied by the number of units granted, which resulted in an aggregate fair value of approximately $4.5 million. The achievement of performance milestones was not probable as of June 30, 2024. As such, no share-based compensation expense has been recognized for performance-based restricted share units during the three and six months ended June 30, 2024.</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Share-Based Compensation Associated with Awards to Employees and Non-Employees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recognized share-based compensation as follows (in thousands):</w:t>
      </w:r>
    </w:p>
    <w:tbl>
      <w:tblPr>
        <w:tblW w:w="7983" w:type="dxa"/>
        <w:jc w:val="left"/>
        <w:tblInd w:w="0" w:type="dxa"/>
        <w:tblLayout w:type="fixed"/>
        <w:tblCellMar>
          <w:top w:w="0" w:type="dxa"/>
          <w:left w:w="0" w:type="dxa"/>
          <w:bottom w:w="0" w:type="dxa"/>
          <w:right w:w="0" w:type="dxa"/>
        </w:tblCellMar>
      </w:tblPr>
      <w:tblGrid>
        <w:gridCol w:w="2956"/>
        <w:gridCol w:w="326"/>
        <w:gridCol w:w="229"/>
        <w:gridCol w:w="636"/>
        <w:gridCol w:w="354"/>
        <w:gridCol w:w="229"/>
        <w:gridCol w:w="636"/>
        <w:gridCol w:w="326"/>
        <w:gridCol w:w="211"/>
        <w:gridCol w:w="586"/>
        <w:gridCol w:w="326"/>
        <w:gridCol w:w="211"/>
        <w:gridCol w:w="586"/>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877060" cy="175260"/>
                      <wp:effectExtent l="0" t="0" r="0" b="0"/>
                      <wp:wrapNone/>
                      <wp:docPr id="194" name="Frame19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5415" cy="175260"/>
                      <wp:effectExtent l="0" t="0" r="0" b="0"/>
                      <wp:wrapNone/>
                      <wp:docPr id="196" name="Frame19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3860" cy="175260"/>
                      <wp:effectExtent l="0" t="0" r="0" b="0"/>
                      <wp:wrapNone/>
                      <wp:docPr id="197" name="Frame197"/>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4790" cy="175260"/>
                      <wp:effectExtent l="0" t="0" r="0" b="0"/>
                      <wp:wrapNone/>
                      <wp:docPr id="198" name="Frame19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5415" cy="175260"/>
                      <wp:effectExtent l="0" t="0" r="0" b="0"/>
                      <wp:wrapNone/>
                      <wp:docPr id="199" name="Frame19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03860" cy="175260"/>
                      <wp:effectExtent l="0" t="0" r="0" b="0"/>
                      <wp:wrapNone/>
                      <wp:docPr id="200" name="Frame200"/>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72110" cy="175260"/>
                      <wp:effectExtent l="0" t="0" r="0" b="0"/>
                      <wp:wrapNone/>
                      <wp:docPr id="203" name="Frame2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2110" cy="175260"/>
                      <wp:effectExtent l="0" t="0" r="0" b="0"/>
                      <wp:wrapNone/>
                      <wp:docPr id="206" name="Frame20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5585" cy="175260"/>
                      <wp:effectExtent l="0" t="0" r="0" b="0"/>
                      <wp:wrapNone/>
                      <wp:docPr id="207" name="Frame20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    </w:t>
            </w:r>
          </w:p>
        </w:tc>
        <w:tc>
          <w:tcPr>
            <w:tcW w:w="2084"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    </w:t>
            </w:r>
          </w:p>
        </w:tc>
        <w:tc>
          <w:tcPr>
            <w:tcW w:w="1920"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8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92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54" w:type="dxa"/>
            <w:tcBorders/>
            <w:vAlign w:val="center"/>
          </w:tcPr>
          <w:p>
            <w:pPr>
              <w:pStyle w:val="TableContents"/>
              <w:bidi w:val="0"/>
              <w:spacing w:before="0" w:after="1"/>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2,023</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2,173</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4,196</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6" w:name="Tc_Wwx0La8liUm8tfIgXIR3iw_7_11"/>
      <w:bookmarkStart w:id="1247" w:name="Tc_zS_WHOVO9ECIbute8PH_wQ_7_8"/>
      <w:bookmarkStart w:id="1248" w:name="Tc_3nirl_4riEqHK2Y3BDbV5A_7_5"/>
      <w:bookmarkStart w:id="1249" w:name="Tc_L9FwAqzr2ECFnfcngM2Pkw_7_2"/>
      <w:bookmarkStart w:id="1250" w:name="Tc_mp6cSC3B2Uiwm6m_V6tPIA_7_0"/>
      <w:bookmarkStart w:id="1251" w:name="Tc_9bFXZERrI06mwZVIBTHd6Q_6_12"/>
      <w:bookmarkStart w:id="1252" w:name="Tc_m3Jh4t8D4UCXISsjQbIiLg_6_6"/>
      <w:bookmarkStart w:id="1253" w:name="Tc__dnd16sHSkWesCQ1N2JZgg_6_0"/>
      <w:bookmarkStart w:id="1254" w:name="Tc_aH-WyN93uEi5GHG64vbXTA_5_11"/>
      <w:bookmarkStart w:id="1255" w:name="Tc_nUVyVM3KPkqPjnsGWCSXlQ_5_8"/>
      <w:bookmarkStart w:id="1256" w:name="Tc_CGHrPfEVJUSvPS-SW8vcLg_5_5"/>
      <w:bookmarkStart w:id="1257" w:name="Tc_zgnIoqoIXUmdsiS-D-laNA_5_2"/>
      <w:bookmarkStart w:id="1258" w:name="Tc_m-A62JwHjU6QlD8T2tnWiQ_5_0"/>
      <w:bookmarkStart w:id="1259" w:name="Tc_UU0G97YVuEK_Rl63ECTOQQ_4_11"/>
      <w:bookmarkStart w:id="1260" w:name="Tc_7u1ROxz9CUmgw23v6-PLqw_4_8"/>
      <w:bookmarkStart w:id="1261" w:name="Tc_8mTLiFngnECn4oFz8IfXew_4_5"/>
      <w:bookmarkStart w:id="1262" w:name="Tc_8gqPRIh-j0CVDRTJIEhs8A_4_2"/>
      <w:bookmarkStart w:id="1263" w:name="Tc_VgqG6syEZUKI-12MLa8Uvw_3_8"/>
      <w:bookmarkStart w:id="1264" w:name="Tc_PVOwMwZvgUqwWxUdiybA_w_3_2"/>
      <w:bookmarkStart w:id="1265" w:name="Tc_iRe8_pxJy0-rnPqQaTDAsw_2_8"/>
      <w:bookmarkStart w:id="1266" w:name="Tc_KqDGDejHDEu9lNXxjCWxrA_2_2"/>
      <w:bookmarkStart w:id="1267" w:name="_efa1bf40_3983_453a_ad58_974ddca5879c"/>
      <w:bookmarkStart w:id="1268" w:name="Tc_Wwx0La8liUm8tfIgXIR3iw_7_11"/>
      <w:bookmarkStart w:id="1269" w:name="Tc_zS_WHOVO9ECIbute8PH_wQ_7_8"/>
      <w:bookmarkStart w:id="1270" w:name="Tc_3nirl_4riEqHK2Y3BDbV5A_7_5"/>
      <w:bookmarkStart w:id="1271" w:name="Tc_L9FwAqzr2ECFnfcngM2Pkw_7_2"/>
      <w:bookmarkStart w:id="1272" w:name="Tc_mp6cSC3B2Uiwm6m_V6tPIA_7_0"/>
      <w:bookmarkStart w:id="1273" w:name="Tc_9bFXZERrI06mwZVIBTHd6Q_6_12"/>
      <w:bookmarkStart w:id="1274" w:name="Tc_m3Jh4t8D4UCXISsjQbIiLg_6_6"/>
      <w:bookmarkStart w:id="1275" w:name="Tc__dnd16sHSkWesCQ1N2JZgg_6_0"/>
      <w:bookmarkStart w:id="1276" w:name="Tc_aH-WyN93uEi5GHG64vbXTA_5_11"/>
      <w:bookmarkStart w:id="1277" w:name="Tc_nUVyVM3KPkqPjnsGWCSXlQ_5_8"/>
      <w:bookmarkStart w:id="1278" w:name="Tc_CGHrPfEVJUSvPS-SW8vcLg_5_5"/>
      <w:bookmarkStart w:id="1279" w:name="Tc_zgnIoqoIXUmdsiS-D-laNA_5_2"/>
      <w:bookmarkStart w:id="1280" w:name="Tc_m-A62JwHjU6QlD8T2tnWiQ_5_0"/>
      <w:bookmarkStart w:id="1281" w:name="Tc_UU0G97YVuEK_Rl63ECTOQQ_4_11"/>
      <w:bookmarkStart w:id="1282" w:name="Tc_7u1ROxz9CUmgw23v6-PLqw_4_8"/>
      <w:bookmarkStart w:id="1283" w:name="Tc_8mTLiFngnECn4oFz8IfXew_4_5"/>
      <w:bookmarkStart w:id="1284" w:name="Tc_8gqPRIh-j0CVDRTJIEhs8A_4_2"/>
      <w:bookmarkStart w:id="1285" w:name="Tc_VgqG6syEZUKI-12MLa8Uvw_3_8"/>
      <w:bookmarkStart w:id="1286" w:name="Tc_PVOwMwZvgUqwWxUdiybA_w_3_2"/>
      <w:bookmarkStart w:id="1287" w:name="Tc_iRe8_pxJy0-rnPqQaTDAsw_2_8"/>
      <w:bookmarkStart w:id="1288" w:name="Tc_KqDGDejHDEu9lNXxjCWxrA_2_2"/>
      <w:bookmarkStart w:id="1289" w:name="_efa1bf40_3983_453a_ad58_974ddca5879c"/>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p>
    <w:tbl>
      <w:tblPr>
        <w:tblW w:w="8613" w:type="dxa"/>
        <w:jc w:val="left"/>
        <w:tblInd w:w="0" w:type="dxa"/>
        <w:tblLayout w:type="fixed"/>
        <w:tblCellMar>
          <w:top w:w="0" w:type="dxa"/>
          <w:left w:w="0" w:type="dxa"/>
          <w:bottom w:w="0" w:type="dxa"/>
          <w:right w:w="0" w:type="dxa"/>
        </w:tblCellMar>
      </w:tblPr>
      <w:tblGrid>
        <w:gridCol w:w="3586"/>
        <w:gridCol w:w="326"/>
        <w:gridCol w:w="229"/>
        <w:gridCol w:w="636"/>
        <w:gridCol w:w="354"/>
        <w:gridCol w:w="229"/>
        <w:gridCol w:w="636"/>
        <w:gridCol w:w="326"/>
        <w:gridCol w:w="211"/>
        <w:gridCol w:w="586"/>
        <w:gridCol w:w="326"/>
        <w:gridCol w:w="211"/>
        <w:gridCol w:w="586"/>
        <w:gridCol w:w="37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77110" cy="175260"/>
                      <wp:effectExtent l="0" t="0" r="0" b="0"/>
                      <wp:wrapNone/>
                      <wp:docPr id="208" name="Frame20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5415" cy="175260"/>
                      <wp:effectExtent l="0" t="0" r="0" b="0"/>
                      <wp:wrapNone/>
                      <wp:docPr id="210" name="Frame21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03860" cy="175260"/>
                      <wp:effectExtent l="0" t="0" r="0" b="0"/>
                      <wp:wrapNone/>
                      <wp:docPr id="211" name="Frame211"/>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4790" cy="175260"/>
                      <wp:effectExtent l="0" t="0" r="0" b="0"/>
                      <wp:wrapNone/>
                      <wp:docPr id="212" name="Frame21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5415" cy="175260"/>
                      <wp:effectExtent l="0" t="0" r="0" b="0"/>
                      <wp:wrapNone/>
                      <wp:docPr id="213" name="Frame21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03860" cy="175260"/>
                      <wp:effectExtent l="0" t="0" r="0" b="0"/>
                      <wp:wrapNone/>
                      <wp:docPr id="214" name="Frame21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72110" cy="175260"/>
                      <wp:effectExtent l="0" t="0" r="0" b="0"/>
                      <wp:wrapNone/>
                      <wp:docPr id="217" name="Frame2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72110" cy="175260"/>
                      <wp:effectExtent l="0" t="0" r="0" b="0"/>
                      <wp:wrapNone/>
                      <wp:docPr id="220" name="Frame2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35585" cy="175260"/>
                      <wp:effectExtent l="0" t="0" r="0" b="0"/>
                      <wp:wrapNone/>
                      <wp:docPr id="221" name="Frame22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    </w:t>
            </w:r>
          </w:p>
        </w:tc>
        <w:tc>
          <w:tcPr>
            <w:tcW w:w="2084"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center"/>
              <w:rPr/>
            </w:pPr>
            <w:r>
              <w:rPr/>
              <w:t>    </w:t>
            </w:r>
          </w:p>
        </w:tc>
        <w:tc>
          <w:tcPr>
            <w:tcW w:w="1920"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r>
      <w:tr>
        <w:trPr/>
        <w:tc>
          <w:tcPr>
            <w:tcW w:w="3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8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92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1"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54" w:type="dxa"/>
            <w:tcBorders/>
            <w:vAlign w:val="center"/>
          </w:tcPr>
          <w:p>
            <w:pPr>
              <w:pStyle w:val="TableContents"/>
              <w:bidi w:val="0"/>
              <w:spacing w:before="0" w:after="1"/>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 </w:t>
            </w:r>
          </w:p>
        </w:tc>
      </w:tr>
      <w:tr>
        <w:trPr/>
        <w:tc>
          <w:tcPr>
            <w:tcW w:w="3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 options and restricted share units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4,020</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ESPP</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4,196</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the total unrecognized share-based compensation expense related to unvested share options and restricted share units was $56.4 million, which is expected to be recognized over the remaining weighted-average vesting period of 3.2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the total unrecognized share-based compensation expense related to the ESPP was $0.6 million, which is expected to be recognized over a weighted-average period of 1.7 years.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Performance Options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February 2023, the Company’s board of directors approved the grant of performance share options for 1,200,000 ordinary shares, which were granted under the 2023 Equity Incentive Plan. Each share option would vest over four years, subject to the achievement of certain clinical milestones as determined by the Company’s compensation committee in the first year following the grant, and subject to the employees’ continuous service through each vesting date. The performance milestones were not achieved in the first year following the grant, and the performance share options were cancelled in February 2024. As such, no share-based compensation expense has been or will be recognized for such performance share options.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Ordinary Share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connection with entering into a Loan and Security Agreement (the “SVB Agreement”) with Silicon Valley Bank (“SVB”), the Company issued SVB a warrant to purchase shares of its ordinary shares at an exercise price of $0.48 per share (“SVB Warrant”). The SVB Warrant was immediately exercisable for 112,279 ordinary shares of the Company and could have been exercisable for an additional number of ordinary shares equal to 44,567 ordinary shares upon draw of Tranche A under the SVB Agreement and 22,283 ordinary shares upon draw of Tranche B under the SVB Agreement. The warrant for Tranche A shares and Tranche B shares expired on July 31, 2021 and July 31, 2022, respectively, as the Company elected to allow the Tranche A and Tranche B financings to expire unused on July 31, 2021 and July 31, 2022, respectively. In February 2023, SVB fully exercised the SVB Warrant for 106,060 ordinary shares through a cashless exercise.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8. Net Loss Per Share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following table sets forth the computation of basic and diluted net loss per share attributable to ordinary shareholders, which excludes unvested restricted shares and shares which are legally outstanding, but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bookmarkStart w:id="1290" w:name="Tc_TjU4fUTbHk605ac85ZmkIQ_8_0"/>
      <w:bookmarkStart w:id="1291" w:name="Tc_WIrU1l4s3UmsswV6pty6jg_7_4"/>
      <w:bookmarkStart w:id="1292" w:name="Tc_WYCSg4AbJ0CARWRfEPRLhA_7_0"/>
      <w:bookmarkStart w:id="1293" w:name="Tc_4zp41P-mNEC8FA6Gcwzlsg_6_4"/>
      <w:bookmarkStart w:id="1294" w:name="Tc_-z9p9B5nYkmcYBL1GJb__g_6_0"/>
      <w:bookmarkStart w:id="1295" w:name="Tc_RfKmpPzC1EGhlXokl_lI9A_5_0"/>
      <w:bookmarkStart w:id="1296" w:name="Tc_ngTbxlMoaUGOlN4p41TmTQ_4_4"/>
      <w:bookmarkStart w:id="1297" w:name="Tc_an4ox-6Vt0eLpRU1urV1kQ_4_2"/>
      <w:bookmarkStart w:id="1298" w:name="Tc_k6b-qqquFk-xG-RFcnWw1g_3_2"/>
      <w:bookmarkStart w:id="1299" w:name="Tc_immCuRVcoUegMSJ_0WQN3Q_2_2"/>
      <w:bookmarkStart w:id="1300" w:name="_5156a4d4_59c2_4c30_ba5f_601bbbda9ef8"/>
      <w:bookmarkStart w:id="1301" w:name="Tc_olCGZgYF7UOOAf0D3T_Thw_11_11"/>
      <w:bookmarkStart w:id="1302" w:name="Tc_lAeZFqY0eECdIufkEXcAqg_11_8"/>
      <w:bookmarkStart w:id="1303" w:name="Tc_AQYs2l3MXUO_EeZHIJ7O6g_11_5"/>
      <w:bookmarkStart w:id="1304" w:name="Tc_uZv4Q_8JQ0Wix8ot_TmDkw_11_2"/>
      <w:bookmarkStart w:id="1305" w:name="Tc_kcJxzyLSskenosiPyZL51w_11_0"/>
      <w:bookmarkStart w:id="1306" w:name="Tc_kKe0M4jbfkq246C9Y1ApTQ_10_0"/>
      <w:bookmarkStart w:id="1307" w:name="Tc_0qOf10Y7VkexAzWd7uToYg_9_9"/>
      <w:bookmarkStart w:id="1308" w:name="Tc_fxrHs2Zq4kC3KJ-JStDK6A_9_3"/>
      <w:bookmarkStart w:id="1309" w:name="Tc_oCLP5_Zx9UWrMsQhWnmD4A_9_0"/>
      <w:bookmarkStart w:id="1310" w:name="Tc_TJ-HfCPzT06JK4SbFA8nYA_8_0"/>
      <w:bookmarkStart w:id="1311" w:name="Tc_R8z00uYH60S4LzfLKqmtLw_7_0"/>
      <w:bookmarkStart w:id="1312" w:name="Tc_HtQDw4rQRE-rj_kUXwzCWA_6_11"/>
      <w:bookmarkStart w:id="1313" w:name="Tc_VeETgoPK90O6jKzzgZRTFA_6_8"/>
      <w:bookmarkStart w:id="1314" w:name="Tc_JVzUeU_RfkSzfrz4hxkg8g_6_5"/>
      <w:bookmarkStart w:id="1315" w:name="Tc_W-hOURNthECZUVk6hOz2Fg_6_2"/>
      <w:bookmarkStart w:id="1316" w:name="Tc_8VeCuFFz10y6vwEavDP4ew_6_0"/>
      <w:bookmarkStart w:id="1317" w:name="Tc_-0plRI2CUUmfKb07q1QidA_5_0"/>
      <w:bookmarkStart w:id="1318" w:name="Tc_clRrSNjKukeBadYJciRVqQ_4_11"/>
      <w:bookmarkStart w:id="1319" w:name="Tc_Q0njAG3Px0S1ZF8mDKx3CQ_4_8"/>
      <w:bookmarkStart w:id="1320" w:name="Tc_dazaM6Iab0OJSo_dWB-Brw_4_5"/>
      <w:bookmarkStart w:id="1321" w:name="Tc_1UMZ-ckXik2y1Re1A0QJAw_4_2"/>
      <w:bookmarkStart w:id="1322" w:name="Tc_pZR5ZCjQS0qp3tc_MBbjSA_3_8"/>
      <w:bookmarkStart w:id="1323" w:name="Tc_O819F177aU2929fyfHXZbw_3_2"/>
      <w:bookmarkStart w:id="1324" w:name="Tc_6W5jNOnYz0y782EZavmxdQ_2_8"/>
      <w:bookmarkStart w:id="1325" w:name="Tc_pRPbehfl10Sxl2eUGiBnAQ_2_2"/>
      <w:bookmarkStart w:id="1326" w:name="_3d8a7e7d_1a2b_482f_b4fa_949f58389c4a"/>
      <w:bookmarkStart w:id="1327" w:name="_847ff72f_70bc_434f_a02c_493d446d7b46"/>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r>
        <w:rPr>
          <w:rFonts w:ascii="Arial;Helvetica;sans-serif" w:hAnsi="Arial;Helvetica;sans-serif"/>
          <w:sz w:val="20"/>
        </w:rPr>
        <w:t>subject to repurchase by the Company (in thousands, except per share amounts):</w:t>
      </w:r>
    </w:p>
    <w:tbl>
      <w:tblPr>
        <w:tblW w:w="10205" w:type="dxa"/>
        <w:jc w:val="left"/>
        <w:tblInd w:w="0" w:type="dxa"/>
        <w:tblLayout w:type="fixed"/>
        <w:tblCellMar>
          <w:top w:w="0" w:type="dxa"/>
          <w:left w:w="0" w:type="dxa"/>
          <w:bottom w:w="0" w:type="dxa"/>
          <w:right w:w="0" w:type="dxa"/>
        </w:tblCellMar>
      </w:tblPr>
      <w:tblGrid>
        <w:gridCol w:w="4515"/>
        <w:gridCol w:w="326"/>
        <w:gridCol w:w="211"/>
        <w:gridCol w:w="800"/>
        <w:gridCol w:w="326"/>
        <w:gridCol w:w="211"/>
        <w:gridCol w:w="800"/>
        <w:gridCol w:w="326"/>
        <w:gridCol w:w="211"/>
        <w:gridCol w:w="800"/>
        <w:gridCol w:w="326"/>
        <w:gridCol w:w="211"/>
        <w:gridCol w:w="769"/>
        <w:gridCol w:w="373"/>
      </w:tblGrid>
      <w:tr>
        <w:trPr/>
        <w:tc>
          <w:tcPr>
            <w:tcW w:w="4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867025" cy="175260"/>
                      <wp:effectExtent l="0" t="0" r="0" b="0"/>
                      <wp:wrapNone/>
                      <wp:docPr id="222" name="Frame222"/>
                      <a:graphic xmlns:a="http://schemas.openxmlformats.org/drawingml/2006/main">
                        <a:graphicData uri="http://schemas.microsoft.com/office/word/2010/wordprocessingShape">
                          <wps:wsp>
                            <wps:cNvSpPr txBox="1"/>
                            <wps:spPr>
                              <a:xfrm>
                                <a:off x="0" y="0"/>
                                <a:ext cx="286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8000" cy="175260"/>
                      <wp:effectExtent l="0" t="0" r="0" b="0"/>
                      <wp:wrapNone/>
                      <wp:docPr id="225" name="Frame22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8000" cy="175260"/>
                      <wp:effectExtent l="0" t="0" r="0" b="0"/>
                      <wp:wrapNone/>
                      <wp:docPr id="228" name="Frame22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08000" cy="175260"/>
                      <wp:effectExtent l="0" t="0" r="0" b="0"/>
                      <wp:wrapNone/>
                      <wp:docPr id="231" name="Frame231"/>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88315" cy="175260"/>
                      <wp:effectExtent l="0" t="0" r="0" b="0"/>
                      <wp:wrapNone/>
                      <wp:docPr id="234" name="Frame234"/>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36855" cy="175260"/>
                      <wp:effectExtent l="0" t="0" r="0" b="0"/>
                      <wp:wrapNone/>
                      <wp:docPr id="235" name="Frame235"/>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348" w:type="dxa"/>
            <w:gridSpan w:val="5"/>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317" w:type="dxa"/>
            <w:gridSpan w:val="5"/>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73"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8"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1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3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  </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ordinary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(52,070)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(41,255)</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pPr>
            <w:r>
              <w:rPr/>
              <w:t>  </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ordinary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148,239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114,784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143,975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93,457</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weighted-average unvested restricted ordinary shares subject to repurchase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ordinary shares used in computing net loss per share attributable to ordinary shareholders,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148,239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114,759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143,975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93,325</w:t>
            </w:r>
          </w:p>
        </w:tc>
        <w:tc>
          <w:tcPr>
            <w:tcW w:w="373" w:type="dxa"/>
            <w:tcBorders/>
            <w:vAlign w:val="center"/>
          </w:tcPr>
          <w:p>
            <w:pPr>
              <w:pStyle w:val="TableContents"/>
              <w:bidi w:val="0"/>
              <w:spacing w:before="0" w:after="0"/>
              <w:ind w:left="0" w:right="0" w:hanging="0"/>
              <w:jc w:val="left"/>
              <w:rPr/>
            </w:pPr>
            <w:r>
              <w:rPr/>
              <w:t>​</w:t>
            </w:r>
          </w:p>
        </w:tc>
      </w:tr>
      <w:tr>
        <w:trPr/>
        <w:tc>
          <w:tcPr>
            <w:tcW w:w="45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ordinary shareholders,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(0.44)</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45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outstanding shares of potentially dilutive securities were excluded from the computation of diluted net loss per share attributable to ordinary shareholders for the periods presented because including them would have been antidilutive (in thousands):</w:t>
      </w:r>
    </w:p>
    <w:tbl>
      <w:tblPr>
        <w:tblW w:w="5676" w:type="dxa"/>
        <w:jc w:val="left"/>
        <w:tblInd w:w="0" w:type="dxa"/>
        <w:tblLayout w:type="fixed"/>
        <w:tblCellMar>
          <w:top w:w="0" w:type="dxa"/>
          <w:left w:w="0" w:type="dxa"/>
          <w:bottom w:w="0" w:type="dxa"/>
          <w:right w:w="0" w:type="dxa"/>
        </w:tblCellMar>
      </w:tblPr>
      <w:tblGrid>
        <w:gridCol w:w="3271"/>
        <w:gridCol w:w="326"/>
        <w:gridCol w:w="691"/>
        <w:gridCol w:w="326"/>
        <w:gridCol w:w="691"/>
        <w:gridCol w:w="37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7085" cy="175260"/>
                      <wp:effectExtent l="0" t="0" r="0" b="0"/>
                      <wp:wrapNone/>
                      <wp:docPr id="236" name="Frame236"/>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8785" cy="175260"/>
                      <wp:effectExtent l="0" t="0" r="0" b="0"/>
                      <wp:wrapNone/>
                      <wp:docPr id="238" name="Frame2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0" name="Frame2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5585" cy="175260"/>
                      <wp:effectExtent l="0" t="0" r="0" b="0"/>
                      <wp:wrapNone/>
                      <wp:docPr id="241" name="Frame24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1708" w:type="dxa"/>
            <w:gridSpan w:val="3"/>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7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c>
          <w:tcPr>
            <w:tcW w:w="37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12,042</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Unvested restricted share units</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committed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13,502</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12,042</w:t>
            </w:r>
          </w:p>
        </w:tc>
        <w:tc>
          <w:tcPr>
            <w:tcW w:w="371" w:type="dxa"/>
            <w:tcBorders/>
            <w:vAlign w:val="center"/>
          </w:tcPr>
          <w:p>
            <w:pPr>
              <w:pStyle w:val="TableContents"/>
              <w:bidi w:val="0"/>
              <w:spacing w:before="0" w:after="0"/>
              <w:ind w:left="0" w:right="0" w:hanging="0"/>
              <w:jc w:val="left"/>
              <w:rPr/>
            </w:pPr>
            <w:r>
              <w:rPr/>
              <w:t> </w:t>
            </w:r>
          </w:p>
        </w:tc>
      </w:tr>
      <w:tr>
        <w:trPr/>
        <w:tc>
          <w:tcPr>
            <w:tcW w:w="3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28" w:name="_30fb2283_40e3_4785_99e8_31847d83486c_3"/>
      <w:bookmarkStart w:id="1329" w:name="_30fb2283_40e3_4785_99e8_31847d83486c_2"/>
      <w:bookmarkStart w:id="1330" w:name="_30fb2283_40e3_4785_99e8_31847d83486c"/>
      <w:bookmarkStart w:id="1331" w:name="_f1cbf851_8c2d_438e_8e78_50a8a58d0360_3"/>
      <w:bookmarkStart w:id="1332" w:name="_f1cbf851_8c2d_438e_8e78_50a8a58d0360_2"/>
      <w:bookmarkStart w:id="1333" w:name="_f1cbf851_8c2d_438e_8e78_50a8a58d0360"/>
      <w:bookmarkEnd w:id="1328"/>
      <w:bookmarkEnd w:id="1329"/>
      <w:bookmarkEnd w:id="1330"/>
      <w:bookmarkEnd w:id="1331"/>
      <w:bookmarkEnd w:id="1332"/>
      <w:bookmarkEnd w:id="1333"/>
      <w:r>
        <w:rPr>
          <w:rFonts w:ascii="Arial;Helvetica;sans-serif" w:hAnsi="Arial;Helvetica;sans-serif"/>
          <w:b/>
          <w:sz w:val="20"/>
        </w:rPr>
        <w:t>9. Related Party Transactions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Ramy Farid, the President and Chief Executive Officer of Schrödinger, Inc. (“Schrödinger”) was a member of the Company’s board of directors until June 25, 2024. During the three and six months ended June 30, 2024 and 2023, the Company had existing collaboration agreements to use the results provided by Schrödinger’s software platform for its research purposes. During the three months ended June 30, 2024 and 2023, the Company paid $1.0 million and $0 to Schrödinger, respectively. During the six months ended June 30, 2024 and 2023, the Company paid $2.0 million and $0 to Schrödinger, respectively, and had a payable balance of $0 and $0.5 million to Schrödinger as of June 30, 2024 and December 31, 2023, respectively.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Lhotse Collaboration Agreement with Schrödinger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October 2020, Lhotse Bio, Inc. (“Lhotse”), the Company’s wholly-owned subsidiary, entered into a Collaboration Agreement (the “Lhotse-Schrödinger Agreement”) with Schrödinger, which is one of the Company’s shareholders, to discover and develop novel, orally bioavailable, small molecule inhibitors of lysophosphatidic acid 1 receptor (“LPA1R”). Under the Lhotse-Schrödinger Agreement, Schrödinger is obligated to provide computational modeling and design support, including by using its technology platform to perform virtual screens, and Lhotse is obligated to provide day-to-day chemistry and biology support.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Lhotse-Schrödinger Agreement, Lhotse is obligated to pay Schrödinger a quarterly active program payment in the low six digits for each successive three-month period during which Schrödinger continues to perform research work as agreed by the parties, and as of June 30, 2024, the Company has paid to Schrödinger an aggregate of $0.8 million. If Lhotse develops and commercializes a product containing a compound (a “Lhotse Collaboration Compound”), that is discovered or developed under the Lhotse-Schrödinger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Lhotse Royalty Term) to Schrödinger continues after the expiration or termination of the Lhotse-Schrödinger Agreement. As of June 30, 2024, no milestone or royalty payments have been paid or accrued.</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Aconcagua Collaboration Agreement with Schrödinger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2023, Aconcagua Bio, Inc. (“Aconcagua”), the Company’s wholly-owned subsidiary,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term of the Aconcagua-Schrödinger Agreement, Aconcagua is obligated to pay Schrödinger a monthly active program payment in the low six digits, which payment includes fees payable for certain Schrödinger software employed in the Collaboration, and as of June 30, 2024, the Company has paid to Schrödinger an aggregate of $2.0 million.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 June 30, 2024, no milestone or royalty payments have been paid or accrued under this agreement.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Purchase of non-voting ordinary shares by BVF</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May 2023, the Company entered into an Exchange Agreement with BVF, who in the aggregate held at the time of the transaction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September 29, 2023, the Company entered into a share purchase agreement to issue certain shares to Purchasers, including 2,401,920 newly designated non-voting ordinary shares at a purchase price of $12.49 per share (or the equivalent of $37.47 per ADS) to BVF, for aggregate gross proceeds of approximately $30.0 million, in the Private Placement which closed on October 3, 2023.</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December 31, 2023, all outstanding non-voting ordinary shares were </w:t>
      </w:r>
      <w:r>
        <w:rPr>
          <w:rFonts w:ascii="Arial;Helvetica;sans-serif" w:hAnsi="Arial;Helvetica;sans-serif"/>
          <w:b w:val="false"/>
          <w:i w:val="false"/>
          <w:caps w:val="false"/>
          <w:smallCaps w:val="false"/>
          <w:sz w:val="20"/>
        </w:rPr>
        <w:t>converted</w:t>
      </w:r>
      <w:r>
        <w:rPr>
          <w:rFonts w:ascii="Arial;Helvetica;sans-serif" w:hAnsi="Arial;Helvetica;sans-serif"/>
          <w:sz w:val="20"/>
        </w:rPr>
        <w:t xml:space="preserve"> into 9,812,438 ordinary shares.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334" w:name="Item2ManagementsDiscussionandAnalysisofF"/>
      <w:bookmarkStart w:id="1335" w:name="_083b2e68_4041_47da_a792_21d8b20ef22b"/>
      <w:bookmarkEnd w:id="1334"/>
      <w:bookmarkEnd w:id="1335"/>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(“Quarterly Report”). This discussion and other parts of this Quarterly Report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sections of this Quarterly Report entitled “Forward-Looking Statements” and “Risk Factors,” under Part II. Item 1A. and those discussed in our Annual Report on Form 10-K (“Annual Report”) for the year ended December 31, 2023 filed with the Securities and Exchange Commission (“SEC”) on March 8, 2024.</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Overview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clinical stage global biopharmaceutical company aiming to develop and deliver novel oral therapeutics to treat a wide range of chronic diseases with unmet medical need.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approximately $166.7 million, after deducting the underwriting discounts and commissions and estimated offering expenses payable by us. In September 2023, we entered into a share purchase agreement with certain institutional investors (the “Purchase Agreement”), pursuant to which we issued and sold an aggregate of 21,617,295 ordinary shares and 2,401,920 non-voting ordinary shares for net proceeds of approximately $281.5 million (the “Private Placement”). In June 2024, we entered into an underwriting agreement (the “Underwriting Agreement”) with Goldman Sachs &amp; Co. LLC, Morgan Stanley &amp; Co. LLC, Jefferies LLC and Leerink Partners LLC, as representatives of the underwriters named therein (collectively, the “Underwriters”), pursuant to which we issued and sold to the Underwriters, an aggregate of 10,427,017 American depositary shares, each representing three ordinary shares of the Company (“ADSs”), including the issuance of 1,360,045 ADSs in connection with the full exercise of underwriter’s option (the “Underwriters’ Option”) to purchase up to 1,360,045 additional ADSs (the “Follow-On Offering”). The net proceeds from the Follow-On Offering were approximately $512.7 million after deducting underwriting discounts and commissions and estimated offering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initial focus is on G-protein 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(“GLP-1R”) for the treatment of type 2 diabetes mellitus (“T2DM”) and obesity. We completed our Phase 1 single ascending dose (“SAD”) study of GSBR-1290 in September 2022. GSBR-1290 was generally well tolerated and demonstrated dose-dependent pharmacokinetic (“PK”) and pharmacodynamic (“PD”) activity. We submitted an investigational new drug (“IND”) application to the U.S. Food and Drug Administration (“FDA”) to support initiation of a Phase 1b study in T2DM and obesity and received FDA allowance in September 2022. We initiated the Phase 1b multiple ascending dose (“MAD”) study of GSBR-1290 in January 2023 and completed dosing in otherwise healthy overweight subjects in March 2023. In May 2023, we submitted a protocol amendment to the FDA and initiated dosing of the Phase 2a proof-of-concept study in T2DM and obesity. We reported topline data for the 28-day Phase 1b MAD study in September 2023, in which GSBR-1290 was generally well- tolerated with no adverse event-related discontinuations and demonstrated an encouraging safety profile and significant weight loss of up to 4.9% placebo-adjusted, supporting once-daily dosing. In December 2023, we reported clinically meaningful topline data from our Phase 2a T2DM cohort, interim results from our Phase 2a obesity cohort and topline data from a Japanese ethno-bridging study of GSBR-1290. These data demonstrated that GSBR-</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1290 was generally well-tolerated, with no treatment-related serious adverse events (“SAEs”) over 12 weeks, with only one participant discontinuing the study due to adverse events in the T2DM cohort and none in the obesity cohort. GSBR-1290 also showed significant reduction in weight in the obesity cohort at 8 weeks, and significant reductions in hemoglobin A1c (“HbA1c”) and weight in the T2DM cohort. In June 2024, we reported positive topline data from our Phase 2a obesity study, in which GSBR-1290 demonstrated a clinically meaningful and statistically significant placebo-adjusted mean decrease in weight of 6.2% at 12 weeks (p&lt;0.0001, using least-squares means (“LSM”) and analyzed based on the primary efficacy estimand using a mixed model for repeated measures) and demonstrated generally favorable safety and tolerability results following repeated, daily dosing up to 120mg. Furthermore, we explored a new tablet formulation of GSBR-1290 in a capsule to tablet PK study, which demonstrated a placebo-adjusted mean weight loss of up to 6.9% with the tablet formulation at 12 weeks (p&lt;0.0001, using LSM and analyzed based on the primary efficacy estimand using a mixed model for repeated measures). We are submitting an IND to the FDA in the third quarter of 2024 to support initiation of a trial in chronic weight management and expect to initiate a 36-week Phase 2b study for obesity in the fourth quarter of 2024. Details of the Phase 2 development plan in T2DM are expected to be determined in the second half of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June 2024, we initiated a Phase 1 clinical trial of LTSE-2578, our oral small molecule antagonist that targets the lysophosphatidic acid 1 receptor (“LPA1R”) for the treatment of idiopathic pulmonary fibrosis (“IPF”). The randomized, double-blind, placebo-controlled first-in-human clinical trial is designed to investigate the safety, tolerability and pharmacokinetics of single and multiple ascending doses of LTSE-2578 in approximately 64 healthy participants.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advancing a robust pipeline of small molecule therapeutic candidates for chronic diseases with unmet medical need.</w:t>
      </w:r>
    </w:p>
    <w:p>
      <w:pPr>
        <w:pStyle w:val="TextBody"/>
        <w:bidi w:val="0"/>
        <w:spacing w:before="0" w:after="0"/>
        <w:ind w:left="0" w:right="0" w:hanging="0"/>
        <w:jc w:val="left"/>
        <w:rPr/>
      </w:pPr>
      <w:r>
        <w:rPr/>
        <w:drawing>
          <wp:inline distT="0" distB="0" distL="0" distR="0">
            <wp:extent cx="6163310" cy="2483485"/>
            <wp:effectExtent l="0" t="0" r="0" b="0"/>
            <wp:docPr id="2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 descr=""/>
                    <pic:cNvPicPr>
                      <a:picLocks noChangeAspect="1" noChangeArrowheads="1"/>
                    </pic:cNvPicPr>
                  </pic:nvPicPr>
                  <pic:blipFill>
                    <a:blip r:embed="rId2"/>
                    <a:stretch>
                      <a:fillRect/>
                    </a:stretch>
                  </pic:blipFill>
                  <pic:spPr bwMode="auto">
                    <a:xfrm>
                      <a:off x="0" y="0"/>
                      <a:ext cx="6163310" cy="248348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We have established a manufacturing plan in the U.S. and continue to contract in parallel with additional suppliers in the US and other regions outside of China to diversify the manufacturing of our active pharmaceutical ingredient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1336" w:name="_Hlk148371914"/>
      <w:bookmarkEnd w:id="1336"/>
      <w:r>
        <w:rPr>
          <w:rFonts w:ascii="Arial;Helvetica;sans-serif" w:hAnsi="Arial;Helvetica;sans-serif"/>
          <w:sz w:val="20"/>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$52.1 million and $41.3 million in the six months ended June 30, 2024 and 2023, respectively. As of June 30, 2024, we had an accumulated deficit of $258.6 million. Historically, prior to our IPO, we have financed our operations primarily through the private placement of equity securities. In February 2023, we completed our IPO of our ADSs, in which we issued and sold an aggregate of 12,351,000 ADSs (inclusive of 1,611,000 ADSs purs</w:t>
      </w:r>
      <w:r>
        <w:rPr>
          <w:rFonts w:ascii="Arial;Helvetica;sans-serif" w:hAnsi="Arial;Helvetica;sans-serif"/>
          <w:sz w:val="20"/>
          <w:shd w:fill="FFFFFF" w:val="clear"/>
        </w:rPr>
        <w:t>uant to the exercise by the underwriters of their option) at a price of $15.00 per ADS for net cash proceeds of approximately $</w:t>
      </w:r>
      <w:r>
        <w:rPr>
          <w:rFonts w:ascii="Arial;Helvetica;sans-serif" w:hAnsi="Arial;Helvetica;sans-serif"/>
          <w:sz w:val="20"/>
        </w:rPr>
        <w:t>166.7</w:t>
      </w:r>
      <w:r>
        <w:rPr>
          <w:rFonts w:ascii="Arial;Helvetica;sans-serif" w:hAnsi="Arial;Helvetica;sans-serif"/>
          <w:sz w:val="20"/>
          <w:shd w:fill="FFFFFF" w:val="clear"/>
        </w:rPr>
        <w:t xml:space="preserve"> million, net of underwriting discounts and commissions and estimated offering costs. </w:t>
      </w:r>
      <w:r>
        <w:rPr>
          <w:rFonts w:ascii="Arial;Helvetica;sans-serif" w:hAnsi="Arial;Helvetica;sans-serif"/>
          <w:sz w:val="20"/>
        </w:rPr>
        <w:t>Upon the closing of the IPO, all outstanding shares of redeemable convertible preferred shares automatically converted into 67,018,087 ordinary shares. Subsequent to the closing of the IPO, there were no shares of redeemable convertible preferred shares outstanding. In September 2023, we entered into a share purchase agreement with certain institutional investors (the “Purchasers”), pursuant to which we agreed to sell and issue to the Purchasers an aggregate of 21,617,295 ordinary shares and 2,401,920 newly designated non-voting ordinary shares at a purchase price of $12.49 per share (or the equivalent of $37.47 per ADS), the closing price of our ADS on the Nasdaq Global Market on September 28, 2023. We completed the Private Placement in October 2023 and received approximately $281.5 million in net proceeds after deducting placement agent fees and other private placement expenses. In June 2024, we closed our Follow-On Offering, in which we issued and sold 10,427,017 ADSs, including the full exercise of the Underwriters’ Option, and received $512.7 million in net proceeds, after deducting the underwriting discounts and commissions and estimated offering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we have cash, cash equivalents and short-term investments of $927.1 million. Based on our current business plan, we estimate that our existing cash, cash equivalents and short-term investments will be sufficient to fund our projected operations and key clinical milestones through at least 2027. We have based this estimate on assumptions that may prove to be wrong, and we may exhaust our available capital resources sooner than we expect.</w:t>
      </w:r>
    </w:p>
    <w:p>
      <w:pPr>
        <w:pStyle w:val="TextBody"/>
        <w:bidi w:val="0"/>
        <w:spacing w:before="0" w:after="0"/>
        <w:ind w:left="0" w:right="0" w:hanging="0"/>
        <w:jc w:val="left"/>
        <w:rPr>
          <w:rFonts w:ascii="Arial;Helvetica;sans-serif" w:hAnsi="Arial;Helvetica;sans-serif"/>
          <w:sz w:val="20"/>
        </w:rPr>
      </w:pPr>
      <w:bookmarkStart w:id="1337" w:name="_Hlk127808626"/>
      <w:bookmarkEnd w:id="1337"/>
      <w:r>
        <w:rPr>
          <w:rFonts w:ascii="Arial;Helvetica;sans-serif" w:hAnsi="Arial;Helvetica;sans-serif"/>
          <w:sz w:val="20"/>
        </w:rPr>
        <w:t xml:space="preserve">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consulting, and tax-related services associated with being a public company, compliance with Nasdaq listing and SEC requirements, director and officer insurance premiums and investor relations costs that we did not incur as a private company. As a result, we will need substantial additional capital to develop our product candidates and fund operations for the foreseeable future.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valuable rights to our platform technology, future revenue streams, research programs or product candidates or may have to grant licenses on terms that may not be favorable to us and/or may reduce the value of our ordinary shares. Because of the numerous risks and uncertainties associated with product development, we cannot predict the timing or amount of increased expenses or when or if we will be able to achieve or maintain profitability.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Impact of Geopolitical and Macroeconomic Factors</w:t>
      </w:r>
    </w:p>
    <w:p>
      <w:pPr>
        <w:pStyle w:val="TextBody"/>
        <w:bidi w:val="0"/>
        <w:spacing w:before="0" w:after="240"/>
        <w:ind w:left="0" w:right="0" w:hanging="0"/>
        <w:jc w:val="left"/>
        <w:rPr>
          <w:rFonts w:ascii="Arial;Helvetica;sans-serif" w:hAnsi="Arial;Helvetica;sans-serif"/>
          <w:sz w:val="20"/>
        </w:rPr>
      </w:pPr>
      <w:bookmarkStart w:id="1338" w:name="_Hlk127808944"/>
      <w:bookmarkEnd w:id="1338"/>
      <w:r>
        <w:rPr>
          <w:rFonts w:ascii="Arial;Helvetica;sans-serif" w:hAnsi="Arial;Helvetica;sans-serif"/>
          <w:sz w:val="20"/>
        </w:rPr>
        <w:t>Although we did not see a significant financial impact to our business operations as a result of recent geopolitical and macroeconomic developments, such as recent and potential future disruptions in access to bank deposits or lending commitments due to bank failures, global pandemics, geopolitical tensions between the U.S. and China, the ongoing Russia/Ukraine conflict and the Israel-Hamas war for the six months ended June 30, 2024, there may be potential impacts to our business in the future that are highly uncertain and difficult to predict, including our ability to raise additional funds, disruptions to the supply chain and the manufacture or shipment of drug substances and finished drug products for our product candidates for use in our research, preclinical studies and clinical trials, impediments to our clinical trial initiation and recruitment, errors or omissions at our clinical sites and the ability of patients to continue in clinical trials, delays in the FDA’s review and approval processes, our ability to effectively operate across different geographies in which our offices are located, continued increases in interest rates and economic inflation, bank failures, the impact on the global economy due to the Israel-Hamas war, higher prices of supplies, and changes in availability and cost of credit and our ability to access capital. The ultimate impact of these geopolitical and macroeconomic factors, as well as any lasting effects on the way we conduct our business, is highly uncertain and subject to continued change, and we recognize that they may continue to present unique challenges for us.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Lhotse Collaboration Agreement with Schrödinger, LLC</w:t>
      </w:r>
    </w:p>
    <w:p>
      <w:pPr>
        <w:pStyle w:val="TextBody"/>
        <w:bidi w:val="0"/>
        <w:spacing w:before="0" w:after="240"/>
        <w:ind w:left="0" w:right="0" w:hanging="0"/>
        <w:jc w:val="left"/>
        <w:rPr>
          <w:rFonts w:ascii="Arial;Helvetica;sans-serif" w:hAnsi="Arial;Helvetica;sans-serif"/>
          <w:sz w:val="20"/>
        </w:rPr>
      </w:pPr>
      <w:bookmarkStart w:id="1339" w:name="_Hlk127809118"/>
      <w:bookmarkEnd w:id="1339"/>
      <w:r>
        <w:rPr>
          <w:rFonts w:ascii="Arial;Helvetica;sans-serif" w:hAnsi="Arial;Helvetica;sans-serif"/>
          <w:sz w:val="20"/>
        </w:rPr>
        <w:t>In October 2020, Lhotse Bio, Inc. (“Lhotse”), our wholly-owned subsidiary, entered into a Collaboration Agreement (the “Lhotse-Schrödinger Agreement”) with Schrödinger, LLC (together with its affiliates, “Schrödinger”) to discover and develop novel, orally bioavailable, small molecule inhibitors of lysophosphatidic acid 1 receptor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Under the Lhotse-Schrödinger Agreement, Lhotse is obligated to pay Schrödinger a quarterly active program payment in the low six digits for each successive three-month period during which Schrödinger continues to perform research work as agreed by the parties, and as of June 30, 2024, we have paid to Schrödinger an aggregate of $0.8 million. If Lhotse develops and commercializes a product containing a compound (a “Lhotse Collaboration Compound”), that is discovered or developed under the Lhotse-Schrödinger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 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 Lhotse Collaboration Product and country-by-country basis on the later of (i) the expiration of the last-to-expire Lhotse patent claim covering the composition of matter of the Lhotse Collaboration Compound contained in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 As of June 30, 2024, no milestone or royalty payments have been paid or accrued.</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Aconcagua Collaboration Agreement with Schrödinger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2023, Aconcagua Bio, Inc. (“Aconcagua”), our wholly-owned subsidiary,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term of the Aconcagua-Schrödinger Agreement, Aconcagua is obligated to pay Schrödinger a monthly active program payment in the low six digits, which payment includes fees payable for certain Schrödinger software employed in the Collaboration, and as of June 30, 2024, we have paid to Schrödinger an aggregate of $2.0 million. 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 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 June 30, 2024, no milestone or royalty payments have been paid or accrued.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40"/>
        <w:ind w:left="0" w:right="0" w:hanging="0"/>
        <w:jc w:val="left"/>
        <w:rPr>
          <w:rFonts w:ascii="Arial;Helvetica;sans-serif" w:hAnsi="Arial;Helvetica;sans-serif"/>
          <w:i/>
          <w:sz w:val="20"/>
        </w:rPr>
      </w:pPr>
      <w:bookmarkStart w:id="1340" w:name="_Hlk127809786"/>
      <w:bookmarkEnd w:id="1340"/>
      <w:r>
        <w:rPr>
          <w:rFonts w:ascii="Arial;Helvetica;sans-serif" w:hAnsi="Arial;Helvetica;sans-serif"/>
          <w:i/>
          <w:sz w:val="20"/>
        </w:rPr>
        <w:t>Research and Development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focusing substantially all of our resources on the development of our product candidates and the discovery of new product candidates through our structure-based drug discovery platform. At this time, we cannot reasonably estimate or know the nature, timing and estimated costs of the efforts that will be necessary to complete the development of our product candidates. The duration, costs and timing of clinical trials and development of our product candidates will depend on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rate of progress, expense and results of our clinical trials and preclinical studies and other research and development activities;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data collection omissions at any of our clinical sites;</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phases of development of our product candidates;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trials required for approval;</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sites included in our trials;</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countries in which our trials are conducted;</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 subject trial costs;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uncertainties in clinical trial enrollment rates or design and drop-out/discontinuation rates;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and changing government regulation;</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receipt of any regulatory approvals;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FDA’s, or other regulatory authority’s influence on clinical trial design;</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arrangements with third-party contract research organizations (“CROs”);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our product candidates;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commercializing product candidates, if and when approved, whether alone or in collaboration with others; </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establish additional strategic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patent and trade secret protection and regulatory exclusivity for our product candidates; and</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retention of key research and development personnel.</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 change in the outcome of any of these variables with respect to the development of a product candidate could significantly change the costs, timing and viability associated with the development of that product candidate. For example, if the FDA, or an applicable foreign authority, were to require us to conduct clinical trials beyond those that we currently anticipate will be required for the completion of clinical development of our product candidates, or if we experience significant delays in enrollment in any of our clinical trials, we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could be required to expend significant additional financial resources and time on the completion of clinical development. Furthermore, we are unable to predict when or if our product candidates will receive regulatory approval with any certainty.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our research and development expenses to continue to account for a significant portion of our operating expenses, and to increase substantially during the next several years as we seek to complete preclinical studies, initiate and/or complete clinical trials, identify new product candidates and potentially pursue regulatory approval of our product candidates.</w:t>
      </w:r>
    </w:p>
    <w:p>
      <w:pPr>
        <w:pStyle w:val="TextBody"/>
        <w:bidi w:val="0"/>
        <w:spacing w:before="0" w:after="240"/>
        <w:ind w:left="0" w:right="0" w:hanging="0"/>
        <w:jc w:val="left"/>
        <w:rPr>
          <w:rFonts w:ascii="Arial;Helvetica;sans-serif" w:hAnsi="Arial;Helvetica;sans-serif"/>
          <w:i/>
          <w:sz w:val="20"/>
        </w:rPr>
      </w:pPr>
      <w:bookmarkStart w:id="1341" w:name="_Hlk127809916"/>
      <w:bookmarkEnd w:id="1341"/>
      <w:r>
        <w:rPr>
          <w:rFonts w:ascii="Arial;Helvetica;sans-serif" w:hAnsi="Arial;Helvetica;sans-serif"/>
          <w:i/>
          <w:sz w:val="20"/>
        </w:rPr>
        <w:t>General and Administrative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our general and administrative expenses will increase during the next several years as we increase our headcount and expand our infrastructure to support our operations, particularly as a public company. Additionally, in connection with being a public company, we anticipate significant increased expenses related to legal, audit, accounting, regulatory, consulting, and tax-related services, compliance with SEC rules and regulations and Nasdaq listing requirements, director and officer insurance premiums and investor relations costs. Our general and administrative expenses may fluctuate from period to period as we continue to grow.</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Interest and 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(expense), net primarily consists of interest income earned on our cash, cash equivalents and short-term investments, including amortization and accretion of premiums and discounts on short-term investments, foreign currency exchange gains and losses and interest expense for the amortization of debt issuance costs.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June 30, 2024 and 2023</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consolidated results of operations for the periods indicated (in thousands):</w:t>
      </w:r>
    </w:p>
    <w:tbl>
      <w:tblPr>
        <w:tblW w:w="6023" w:type="dxa"/>
        <w:jc w:val="left"/>
        <w:tblInd w:w="0" w:type="dxa"/>
        <w:tblLayout w:type="fixed"/>
        <w:tblCellMar>
          <w:top w:w="0" w:type="dxa"/>
          <w:left w:w="0" w:type="dxa"/>
          <w:bottom w:w="0" w:type="dxa"/>
          <w:right w:w="0" w:type="dxa"/>
        </w:tblCellMar>
      </w:tblPr>
      <w:tblGrid>
        <w:gridCol w:w="2956"/>
        <w:gridCol w:w="326"/>
        <w:gridCol w:w="211"/>
        <w:gridCol w:w="811"/>
        <w:gridCol w:w="326"/>
        <w:gridCol w:w="211"/>
        <w:gridCol w:w="811"/>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77060" cy="175260"/>
                      <wp:effectExtent l="0" t="0" r="0" b="0"/>
                      <wp:wrapNone/>
                      <wp:docPr id="243" name="Frame24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14985" cy="175260"/>
                      <wp:effectExtent l="0" t="0" r="0" b="0"/>
                      <wp:wrapNone/>
                      <wp:docPr id="246" name="Frame2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14985" cy="175260"/>
                      <wp:effectExtent l="0" t="0" r="0" b="0"/>
                      <wp:wrapNone/>
                      <wp:docPr id="249" name="Frame24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35585" cy="175260"/>
                      <wp:effectExtent l="0" t="0" r="0" b="0"/>
                      <wp:wrapNone/>
                      <wp:docPr id="250" name="Frame24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19,411</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6,576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33,316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25,987</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(23,162)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(23,280)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increased by $2.6 million, or 14%, to $22.1 million during the three months ended June 30, 2024, compared to $19.4 million during the three months ended June 30, 2023. The increase in research and development expenses was primarily due to increases related to employee expenses, primarily due to an increase in personnel, consulting services and research and development expenses, partially offset by a decrease in contract research organization cost.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research and development expenses for the periods indicated (in thousands):</w:t>
      </w:r>
    </w:p>
    <w:tbl>
      <w:tblPr>
        <w:tblW w:w="6638" w:type="dxa"/>
        <w:jc w:val="left"/>
        <w:tblInd w:w="0" w:type="dxa"/>
        <w:tblLayout w:type="fixed"/>
        <w:tblCellMar>
          <w:top w:w="0" w:type="dxa"/>
          <w:left w:w="0" w:type="dxa"/>
          <w:bottom w:w="0" w:type="dxa"/>
          <w:right w:w="0" w:type="dxa"/>
        </w:tblCellMar>
      </w:tblPr>
      <w:tblGrid>
        <w:gridCol w:w="3811"/>
        <w:gridCol w:w="326"/>
        <w:gridCol w:w="211"/>
        <w:gridCol w:w="691"/>
        <w:gridCol w:w="326"/>
        <w:gridCol w:w="211"/>
        <w:gridCol w:w="691"/>
        <w:gridCol w:w="37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19985" cy="175260"/>
                      <wp:effectExtent l="0" t="0" r="0" b="0"/>
                      <wp:wrapNone/>
                      <wp:docPr id="251" name="Frame250"/>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785" cy="175260"/>
                      <wp:effectExtent l="0" t="0" r="0" b="0"/>
                      <wp:wrapNone/>
                      <wp:docPr id="254" name="Frame2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38785" cy="175260"/>
                      <wp:effectExtent l="0" t="0" r="0" b="0"/>
                      <wp:wrapNone/>
                      <wp:docPr id="257" name="Frame2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5585" cy="175260"/>
                      <wp:effectExtent l="0" t="0" r="0" b="0"/>
                      <wp:wrapNone/>
                      <wp:docPr id="258" name="Frame25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 candidate: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ANPA</w:t>
              <w:noBreakHyphen/>
              <w:t>0073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1,865</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GSBR</w:t>
              <w:noBreakHyphen/>
              <w:t>1290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LTSE</w:t>
              <w:noBreakHyphen/>
              <w:t>2578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1,453</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19,411</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General and administrative expenses increased by $4.7 million, or 71%, to $11.3 million during the three months ended June 30, 2024, compared to $6.6 million during the three months ended June 30, 2023. The increase in general and administrative expenses was primarily due to increases in employee expenses and professional services as we expanded our infrastructure to drive and support the growth in our operations as a publicly-traded company.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and 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(expense), net, increased by $4.5 million to an income of $7.3 million during the three months ended June 30, 2024, compared to an income of $2.8 million during the three months ended June 30, 2023. The increase in interest and other income (expense), net, was primarily due to an increase in interest income from higher interest rates and cash, cash equivalents and short-term investment balances.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Comparison of the Six Months Ended June 30, 2024 and 2023</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consolidated results of operations for the periods indicated (in thousands):</w:t>
      </w:r>
    </w:p>
    <w:tbl>
      <w:tblPr>
        <w:tblW w:w="6563" w:type="dxa"/>
        <w:jc w:val="left"/>
        <w:tblInd w:w="0" w:type="dxa"/>
        <w:tblLayout w:type="fixed"/>
        <w:tblCellMar>
          <w:top w:w="0" w:type="dxa"/>
          <w:left w:w="0" w:type="dxa"/>
          <w:bottom w:w="0" w:type="dxa"/>
          <w:right w:w="0" w:type="dxa"/>
        </w:tblCellMar>
      </w:tblPr>
      <w:tblGrid>
        <w:gridCol w:w="3496"/>
        <w:gridCol w:w="326"/>
        <w:gridCol w:w="211"/>
        <w:gridCol w:w="811"/>
        <w:gridCol w:w="326"/>
        <w:gridCol w:w="211"/>
        <w:gridCol w:w="811"/>
        <w:gridCol w:w="37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19960" cy="175260"/>
                      <wp:effectExtent l="0" t="0" r="0" b="0"/>
                      <wp:wrapNone/>
                      <wp:docPr id="259" name="Frame258"/>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14985" cy="175260"/>
                      <wp:effectExtent l="0" t="0" r="0" b="0"/>
                      <wp:wrapNone/>
                      <wp:docPr id="262" name="Frame26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14985" cy="175260"/>
                      <wp:effectExtent l="0" t="0" r="0" b="0"/>
                      <wp:wrapNone/>
                      <wp:docPr id="265" name="Frame26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35585" cy="175260"/>
                      <wp:effectExtent l="0" t="0" r="0" b="0"/>
                      <wp:wrapNone/>
                      <wp:docPr id="266" name="Frame26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1" w:type="dxa"/>
            <w:tcBorders/>
            <w:vAlign w:val="center"/>
          </w:tcPr>
          <w:p>
            <w:pPr>
              <w:pStyle w:val="TableContents"/>
              <w:bidi w:val="0"/>
              <w:spacing w:before="0" w:after="1"/>
              <w:ind w:left="0" w:right="0" w:hanging="0"/>
              <w:jc w:val="left"/>
              <w:rPr/>
            </w:pPr>
            <w:r>
              <w:rPr/>
              <w:t>    </w:t>
            </w:r>
          </w:p>
        </w:tc>
      </w:tr>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32,546</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13,090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45,636</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(45,636)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4,524</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(41,112)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w:t>
            </w:r>
          </w:p>
        </w:tc>
        <w:tc>
          <w:tcPr>
            <w:tcW w:w="37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(41,255)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increased by $10.2 million, or 31%, to $42.7 million during the six months ended June 30, 2024, compared to $32.5 million during the six months ended June 30, 2023. The increase in research and development expenses was primarily due to increases related to employee expenses, primarily due to an increase in personnel, consulting services and research and development expenses, partially offset by a decrease in contract research organization cost.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research and development expenses for the periods indicated (in thousands):</w:t>
      </w:r>
    </w:p>
    <w:tbl>
      <w:tblPr>
        <w:tblW w:w="6638" w:type="dxa"/>
        <w:jc w:val="left"/>
        <w:tblInd w:w="0" w:type="dxa"/>
        <w:tblLayout w:type="fixed"/>
        <w:tblCellMar>
          <w:top w:w="0" w:type="dxa"/>
          <w:left w:w="0" w:type="dxa"/>
          <w:bottom w:w="0" w:type="dxa"/>
          <w:right w:w="0" w:type="dxa"/>
        </w:tblCellMar>
      </w:tblPr>
      <w:tblGrid>
        <w:gridCol w:w="3811"/>
        <w:gridCol w:w="326"/>
        <w:gridCol w:w="211"/>
        <w:gridCol w:w="691"/>
        <w:gridCol w:w="326"/>
        <w:gridCol w:w="211"/>
        <w:gridCol w:w="691"/>
        <w:gridCol w:w="37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419985" cy="175260"/>
                      <wp:effectExtent l="0" t="0" r="0" b="0"/>
                      <wp:wrapNone/>
                      <wp:docPr id="267" name="Frame26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38785" cy="175260"/>
                      <wp:effectExtent l="0" t="0" r="0" b="0"/>
                      <wp:wrapNone/>
                      <wp:docPr id="270" name="Frame2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38785" cy="175260"/>
                      <wp:effectExtent l="0" t="0" r="0" b="0"/>
                      <wp:wrapNone/>
                      <wp:docPr id="273" name="Frame2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5585" cy="175260"/>
                      <wp:effectExtent l="0" t="0" r="0" b="0"/>
                      <wp:wrapNone/>
                      <wp:docPr id="274" name="Frame27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 candidate: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ANPA</w:t>
              <w:noBreakHyphen/>
              <w:t>0073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2,413</w:t>
            </w:r>
          </w:p>
        </w:tc>
        <w:tc>
          <w:tcPr>
            <w:tcW w:w="37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GSBR</w:t>
              <w:noBreakHyphen/>
              <w:t>1290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21,282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LTSE</w:t>
              <w:noBreakHyphen/>
              <w:t>2578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2,375</w:t>
            </w:r>
          </w:p>
        </w:tc>
        <w:tc>
          <w:tcPr>
            <w:tcW w:w="37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6,476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research and development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32,546</w:t>
            </w:r>
          </w:p>
        </w:tc>
        <w:tc>
          <w:tcPr>
            <w:tcW w:w="37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General and administrative expenses increased by $9.5 million, or 73%, to $22.6 million during the six months ended June 30, 2024, compared to $13.1 million during the six months ended June 30, 2023. The increase in general and administrative expenses was primarily due to increases in employee expenses and professional services as we expanded our infrastructure to drive and support the growth in our operations as a publicly-traded company.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and Other Income (Expense),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(expense), net, increased by $8.8 million to an income of $13.3 million during the six months ended June 30, 2024, compared to an income of $4.5 million during the six months ended June 30, 2023. The increase in interest and other income (expense), net, was primarily due to an increase in interest income from higher interest rates and cash, cash equivalents and short-term investment balances.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From our reorganization as a Cayman Islands exempted company in February 2019 through immediately prior to completion of our IPO, we funded our operations primarily with an aggregate of $198.0 million in gross cash proceeds from the sale of redeemable convertible preferred shares. In February 2023, we completed our IPO and received </w:t>
      </w:r>
      <w:r>
        <w:rPr>
          <w:rFonts w:ascii="Arial;Helvetica;sans-serif" w:hAnsi="Arial;Helvetica;sans-serif"/>
          <w:sz w:val="20"/>
          <w:shd w:fill="FFFFFF" w:val="clear"/>
        </w:rPr>
        <w:t>$</w:t>
      </w:r>
      <w:r>
        <w:rPr>
          <w:rFonts w:ascii="Arial;Helvetica;sans-serif" w:hAnsi="Arial;Helvetica;sans-serif"/>
          <w:sz w:val="20"/>
        </w:rPr>
        <w:t>166.7</w:t>
      </w:r>
      <w:r>
        <w:rPr>
          <w:rFonts w:ascii="Arial;Helvetica;sans-serif" w:hAnsi="Arial;Helvetica;sans-serif"/>
          <w:sz w:val="20"/>
          <w:shd w:fill="FFFFFF" w:val="clear"/>
        </w:rPr>
        <w:t xml:space="preserve"> million in net proceeds after deducting underwriting discounts and commissions and estimated offering costs. In October 2023, we completed our Private Placement and received $281.5 million in net proceeds after deducting placement agent fees and other private placement expenses. </w:t>
      </w:r>
      <w:r>
        <w:rPr>
          <w:rFonts w:ascii="Arial;Helvetica;sans-serif" w:hAnsi="Arial;Helvetica;sans-serif"/>
          <w:sz w:val="20"/>
        </w:rPr>
        <w:t>In June 2024, we closed our Follow-On Offering and received $512.7 million in net proceeds after deducting the underwriting discounts and commissions and estimated offering expenses. As of June 30, 2024, we had cash, cash equivalents and short-term investments of $927.1 million and an accumulated deficit of $258.6 million.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Funding Requirements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our IPO, we financed our operations primarily through the private placement of equity securities and have received aggregate gross proceeds of approximately $198.0 million. Since our inception, we have incurred net operating losses and negative cash flows from operations. We had net losses of $52.1 million and $41.3 million in the six months ended June 30, 2024 and 2023, respectively. As of June 30, 2024, we had an accumulated deficit of $258.6 million. In February 2023, we completed our IPO for net proceeds of $166.7 million. In October 2023, we completed our Private Placement and received $281.5 million in net proceeds after deducting placement agent fees and other private placement expenses. In June 2024, we closed our Follow-On Offering and received $512.7 million in net proceeds after deducting the underwriting discounts and commissions and estimated offering expenses.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we had cash, cash equivalents and short-term investments of $927.1 million. Based on our current business plan, we believe that our existing cash, cash equivalents and short-term investments will be sufficient to fund our projected operations for at least the next 12 months from the date of the issuance of our condensed consolidated financial statements. We have based this estimate on assumptions that may prove to be wrong, and we may exhaust our available capital resources sooner than we expect.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opportunities, although we currently have no agreements or understandings with respect to any such acquisitions or investments. We are subject to the risks typically related to the development of new product candidates, and we may encounter unforeseen expenses, difficulties, complications, delays and other unknown factors that may adversely affect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will need substantial additional capital to develop our product candidates and fund operations for the foreseeable future. 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timing, rate of progress and costs of our preclinical development activities, laboratory testing and clinical trials for our product candidates;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scope of clinical programs we decide to pursue;</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timing and outcome of preparing for and undergoing regulatory review of our product candidates;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associated with commercializing our product candidates, if they receive marketing approval;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enhance operational systems and our ability to attract, hire and retain qualified personnel, including personnel to support the development of our product candidates and, ultimately, the sale of our products, following FDA approval;</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implementation of operational, financial and management systems;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geopolitical and macroeconomic events, including future bank failures, increased geopolitical tensions between the U.S. and China, the Russia/Ukraine conflict, the Israel-Hamas war and global pandemics on U.S. and global economic conditions that may impact our ability to access capital on acceptable terms, if at all.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ability to raise additional funds may be adversely impacted by potential worsening global economic conditions and disruptions to and volatility in the credit and financial markets in the United States and worldwide resulting from geopolitical and macroeconomic events such as actual or anticipated changes in interest rates and economic inflation, future bank failures, global pandemics, geopolitical tensions between the U.S. and China and the impact of the Russia/Ukraine conflict and the Israel-Hamas war. 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Summary Statements of 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the periods presented below (in thousands):</w:t>
      </w:r>
    </w:p>
    <w:tbl>
      <w:tblPr>
        <w:tblW w:w="7088" w:type="dxa"/>
        <w:jc w:val="left"/>
        <w:tblInd w:w="0" w:type="dxa"/>
        <w:tblLayout w:type="fixed"/>
        <w:tblCellMar>
          <w:top w:w="0" w:type="dxa"/>
          <w:left w:w="0" w:type="dxa"/>
          <w:bottom w:w="0" w:type="dxa"/>
          <w:right w:w="0" w:type="dxa"/>
        </w:tblCellMar>
      </w:tblPr>
      <w:tblGrid>
        <w:gridCol w:w="3811"/>
        <w:gridCol w:w="326"/>
        <w:gridCol w:w="211"/>
        <w:gridCol w:w="916"/>
        <w:gridCol w:w="326"/>
        <w:gridCol w:w="211"/>
        <w:gridCol w:w="916"/>
        <w:gridCol w:w="37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419985" cy="175260"/>
                      <wp:effectExtent l="0" t="0" r="0" b="0"/>
                      <wp:wrapNone/>
                      <wp:docPr id="275" name="Frame27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81660" cy="175260"/>
                      <wp:effectExtent l="0" t="0" r="0" b="0"/>
                      <wp:wrapNone/>
                      <wp:docPr id="278" name="Frame27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81660" cy="175260"/>
                      <wp:effectExtent l="0" t="0" r="0" b="0"/>
                      <wp:wrapNone/>
                      <wp:docPr id="281" name="Frame28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5585" cy="175260"/>
                      <wp:effectExtent l="0" t="0" r="0" b="0"/>
                      <wp:wrapNone/>
                      <wp:docPr id="282" name="Frame28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8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(60,473)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(37,202)</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(117,727)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515,405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169,429</w:t>
            </w:r>
          </w:p>
        </w:tc>
        <w:tc>
          <w:tcPr>
            <w:tcW w:w="371" w:type="dxa"/>
            <w:tcBorders/>
            <w:vAlign w:val="center"/>
          </w:tcPr>
          <w:p>
            <w:pPr>
              <w:pStyle w:val="TableContents"/>
              <w:bidi w:val="0"/>
              <w:spacing w:before="0" w:after="1"/>
              <w:ind w:left="0" w:right="0" w:hanging="0"/>
              <w:jc w:val="left"/>
              <w:rPr/>
            </w:pPr>
            <w:r>
              <w:rPr/>
              <w:t>​</w:t>
            </w:r>
          </w:p>
        </w:tc>
      </w:tr>
      <w:tr>
        <w:trPr/>
        <w:tc>
          <w:tcPr>
            <w:tcW w:w="38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251,835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14,500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Flows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six months ended June 30, 2024, net cash used in operating activities was $60.5 million, consisting of a net loss of $52.1 million and an increase in net operating assets of $10.2 million, partially offset by non-cash charges of $1.8 million. The increase in net loss was primarily due to the increase in operating expenses as we invest in our research and development efforts and operate as a publicly-traded company. Non-cash charges consisted primarily of share-based compensation and accretion of net investment discount. The increase in net operating assets was primarily due to an increase in prepaid expenses and other current assets, an increase in other non-current assets and a decrease in accounts payable.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six months ended June 30, 2023, net cash used in operating activities was $37.2 million, consisting primarily of a net loss of $41.3 million, partially offset by non-cash charges of $2.6 million and a decrease in net operating assets of $1.5 million. The cash used in operations was primarily due to the increase in net loss from the increase in operating expenses as we invest in our research and development efforts and operate as a publicly-traded company. Non-cash charges consisted primarily of share-based compensation and accretion of net investment discount. The decrease in net operating assets was primarily due to an increase in accrued expenses and other current liabilities, partially offset by an increase in prepaid expenses and other current assets.</w:t>
      </w:r>
    </w:p>
    <w:p>
      <w:pPr>
        <w:pStyle w:val="TextBody"/>
        <w:bidi w:val="0"/>
        <w:spacing w:before="0" w:after="160"/>
        <w:ind w:left="0" w:right="0" w:hanging="0"/>
        <w:jc w:val="left"/>
        <w:rPr>
          <w:rFonts w:ascii="Arial;Helvetica;sans-serif" w:hAnsi="Arial;Helvetica;sans-serif"/>
          <w:i/>
          <w:sz w:val="20"/>
        </w:rPr>
      </w:pPr>
      <w:r>
        <w:rPr>
          <w:rFonts w:ascii="Arial;Helvetica;sans-serif" w:hAnsi="Arial;Helvetica;sans-serif"/>
          <w:i/>
          <w:sz w:val="20"/>
        </w:rPr>
        <w:t>Cash Flows Used in Investing Activities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2024, net cash used in investing activities was $203.1 million, consisting primarily of net purchases of short-term investments.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2023, net cash used in investing activities was $117.7 million, consisting primarily of net purchases of short-term investments.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i/>
          <w:sz w:val="20"/>
        </w:rPr>
      </w:pPr>
      <w:r>
        <w:rPr>
          <w:rFonts w:ascii="Arial;Helvetica;sans-serif" w:hAnsi="Arial;Helvetica;sans-serif"/>
          <w:i/>
          <w:sz w:val="20"/>
        </w:rPr>
        <w:t>Cash Flows Provided by Financing Activities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2024, net cash provided by financing activities was $515.4 million, consisting primarily of proceeds from our Follow-On Offering of $514.6 million, net of underwriting discounts and commissions, and proceeds from issuance of ordinary shares under employee share plans.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2023, net cash provided by financing activities was $169.4 million, consisting primarily of proceeds from our IPO of $172.3 million, net of underwriting discounts and commissions, partially offset by payment of deferred offering costs of $3.1 million.</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Contractual Obligations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As of June 30, 2024, our contractual obligations consist of facilities lease payments totaling $5.2 million, with $1.9 million expected to be paid within the next 12 months. See “Operating Leases” in Note 5 to our unaudited interim condensed consolidated financial statements for additional information.</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Critical Accounting Policies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Our condensed consolidated financial statements have been prepared in accordance with U.S. Generally Accepted Accounting Principles (“GAAP”). The preparation of our condensed consolidated financial statements requires us to make estimates and assumptions that affect the reported amounts of assets and liabilities, the disclosure of contingent assets and liabilities at the date of the condensed consolidated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Our critical accounting policies and estimates are described in “Management’s Discussion and Analysis of Financial Condition and Results of Operations - Critical Accounting Policies and Significant Judgments and Estimates” in our Annual Report. There were no material changes to these accounting policies during the six months ended June 30, 2024.</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JOBS Act Accounting Election and Smaller Reporting Company Status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are also currently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$250.0 million measured on the last business day of our second fiscal quarter, or our annual revenue is less than $100.0 million during the most recently completed fiscal year and our ordinary shares held by non-affiliates is less than $700.0 million measured on the last business day of our second fiscal quarter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2024, the market value of our ordinary shares held by non-affiliates exceeded $700.0 million. As a result, we will be a large accelerated filer and thus will cease to be an emerging growth company effective December 31, 2024. Additionally, we will no longer qualify as a smaller reporting company beginning with our first Quarterly Report on Form 10-Q for the quarterly period ending March 31, 2025. As a result of this transition, we will be subject to certain disclosure and compliance requirements that apply to other public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companies but did not previously apply to us due to our status as an emerging growth company and we will also not be able to take advantage of certain scaled disclosures available to smaller reporting companies.</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160"/>
        <w:ind w:left="0" w:right="0" w:hanging="0"/>
        <w:jc w:val="left"/>
        <w:rPr>
          <w:rFonts w:ascii="Arial;Helvetica;sans-serif" w:hAnsi="Arial;Helvetica;sans-serif"/>
          <w:b w:val="false"/>
          <w:sz w:val="20"/>
        </w:rPr>
      </w:pPr>
      <w:bookmarkStart w:id="1342" w:name="_Hlk140671329"/>
      <w:bookmarkEnd w:id="1342"/>
      <w:r>
        <w:rPr>
          <w:rFonts w:ascii="Arial;Helvetica;sans-serif" w:hAnsi="Arial;Helvetica;sans-serif"/>
          <w:b w:val="false"/>
          <w:sz w:val="20"/>
        </w:rPr>
        <w:t>See “Recent Accounting Pronouncements” in Note 2 to our unaudited interim condensed consolidated financial statements included in Part I. Item 1 “Financial Statements” in this Quarterly Report for additional information.</w:t>
      </w:r>
    </w:p>
    <w:p>
      <w:pPr>
        <w:pStyle w:val="TextBody"/>
        <w:bidi w:val="0"/>
        <w:spacing w:before="0" w:after="160"/>
        <w:ind w:left="0" w:right="0" w:hanging="0"/>
        <w:jc w:val="left"/>
        <w:rPr>
          <w:rFonts w:ascii="Arial;Helvetica;sans-serif" w:hAnsi="Arial;Helvetica;sans-serif"/>
          <w:b/>
          <w:sz w:val="20"/>
        </w:rPr>
      </w:pPr>
      <w:bookmarkStart w:id="1343" w:name="Item3QuantitativeandQualitativeDisclosur"/>
      <w:bookmarkStart w:id="1344" w:name="_4b26a4ad_e08e_47bf_a983_177ceefd518d"/>
      <w:bookmarkEnd w:id="1343"/>
      <w:bookmarkEnd w:id="1344"/>
      <w:r>
        <w:rPr>
          <w:rFonts w:ascii="Arial;Helvetica;sans-serif" w:hAnsi="Arial;Helvetica;sans-serif"/>
          <w:b/>
          <w:sz w:val="20"/>
        </w:rPr>
        <w:t>Item 3. Quantitative and Qualitative Disclosures About Market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smaller reporting company as defined in Item 10 of Regulation S-K and are not required to provide the information otherwise required under this item.</w:t>
      </w:r>
    </w:p>
    <w:p>
      <w:pPr>
        <w:pStyle w:val="TextBody"/>
        <w:bidi w:val="0"/>
        <w:spacing w:before="0" w:after="240"/>
        <w:ind w:left="0" w:right="0" w:hanging="0"/>
        <w:jc w:val="left"/>
        <w:rPr>
          <w:rFonts w:ascii="Arial;Helvetica;sans-serif" w:hAnsi="Arial;Helvetica;sans-serif"/>
          <w:b/>
          <w:sz w:val="20"/>
        </w:rPr>
      </w:pPr>
      <w:bookmarkStart w:id="1345" w:name="Item4ControlsandProcedures_589282"/>
      <w:bookmarkStart w:id="1346" w:name="_692c6717_dc5a_41c9_95a5_71bd2242077d"/>
      <w:bookmarkEnd w:id="1345"/>
      <w:bookmarkEnd w:id="1346"/>
      <w:r>
        <w:rPr>
          <w:rFonts w:ascii="Arial;Helvetica;sans-serif" w:hAnsi="Arial;Helvetica;sans-serif"/>
          <w:b/>
          <w:sz w:val="20"/>
        </w:rPr>
        <w:t>Item 4. Controls and Procedures.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Our management, with the participation of our Chief Executive Officer and our Chief Financial Officer, has evaluated the effectiveness of the design and operation of our disclosure controls and procedures (as defined in Rules 13a-15(e) and 15d-15(e) under the Exchange Act) as of June 30, 2024, which is the end of the period covered by this Quarterly Report.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to allow timely decisions regarding required disclosure. </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Based on that evaluation, our Chief Executive Officer and our Chief Financial Officer have concluded that, as of June 30, 2024, our disclosure controls and procedures were effective at the reasonable assurance level.</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Material Weakness in Internal Control Over Financial Reporting</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previously identified a material weakness in our internal control over financial reporting that continued to exist as of March 31, 2024, in that we did not design and maintain an effective control environment as we lacked a sufficient complement of professionals commensurate with our financial reporting requirements.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This material weakness did not result in any material misstatements to the consolidated financial statements.</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Remediation of the Previously Reported Material Weakness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 material weakness previously reported has been remediated as of June 30, 2024. We have hired additional accounting personnel, including but not limited to the hiring of a senior director of SEC reporting and technical accounting, senior director of financial planning and analysis, director of accounting, senior director of internal controls and SOX compliance, senior director of accounting and corporate controller, executive director, global tax and treasury and vice-president of finance. The additional personnel, third-party consultants and advisors and mitigating controls have been determined to have operated effectively for a sufficient period of time to conclude that the material weakness previously identified has been remediated as of June 30, 2024.</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Except for the changes in internal control as referenced above for the remediation of a previously reported material weakness, there were no changes in our internal control over financial reporting identified in management’s evaluation pursuant to Rules 13a-15(f) or 15d-15(f) of the Exchange Act during our first quarter ended June 30, 2024 that materially affected, or are reasonably likely to materially affect, our internal control over financial reporting.</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Limitations on Effectiveness of Disclosure Controls and Procedures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347" w:name="PARTIIOTHERINFORMATION_878281"/>
      <w:bookmarkStart w:id="1348" w:name="_67864370_a464_40ec_8182_7e6745f455e5"/>
      <w:bookmarkEnd w:id="1347"/>
      <w:bookmarkEnd w:id="1348"/>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349" w:name="Item1LegalProceedings_318368"/>
      <w:bookmarkStart w:id="1350" w:name="_a37f06cd_efa5_42a0_87d0_26e8c30ab25f"/>
      <w:bookmarkEnd w:id="1349"/>
      <w:bookmarkEnd w:id="1350"/>
      <w:r>
        <w:rPr>
          <w:rFonts w:ascii="Arial;Helvetica;sans-serif" w:hAnsi="Arial;Helvetica;sans-serif"/>
          <w:b/>
          <w:sz w:val="20"/>
        </w:rPr>
        <w:t>Item 1. Legal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the best of our knowledge, we are not currently the subject of any material governmental investigation, private lawsuit or other legal proceeding. From time to time, we may be involved in legal and regulatory proceedings or investigations concerning matters that arise in the ordinary course of our business and that could result in significant fines or penalties, have an adverse impact on our reputation, business and financial condition or results of operations and divert the attention of our management from the operation of our business.</w:t>
      </w:r>
    </w:p>
    <w:p>
      <w:pPr>
        <w:pStyle w:val="TextBody"/>
        <w:bidi w:val="0"/>
        <w:spacing w:before="0" w:after="240"/>
        <w:ind w:left="0" w:right="0" w:hanging="0"/>
        <w:jc w:val="left"/>
        <w:rPr>
          <w:rFonts w:ascii="Arial;Helvetica;sans-serif" w:hAnsi="Arial;Helvetica;sans-serif"/>
          <w:b/>
          <w:sz w:val="20"/>
        </w:rPr>
      </w:pPr>
      <w:bookmarkStart w:id="1351" w:name="Item1ARiskFactors_175993"/>
      <w:bookmarkStart w:id="1352" w:name="_cee1fd0e_3100_455e_a995_18846f2836fe"/>
      <w:bookmarkEnd w:id="1351"/>
      <w:bookmarkEnd w:id="1352"/>
      <w:r>
        <w:rPr>
          <w:rFonts w:ascii="Arial;Helvetica;sans-serif" w:hAnsi="Arial;Helvetica;sans-serif"/>
          <w:b/>
          <w:sz w:val="20"/>
        </w:rPr>
        <w:t>Item 1A. Risk Factors.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Investing in our securities, involves a high degree of risk. You should carefully consider the risks and uncertainties described below, together with all of the other information contained in this Quarterly Report, including our consolidated financial statements and their related notes included in Part I. Item 1 “Financial Statements” of this Quarterly Report and Part I. Item 2.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Limited Operating History, Financial Position and Capital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a limited operating history, have incurred significant operating losses since our inception and expect to incur significant losses for the foreseeable future.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Biopharmaceutical product development is a highly speculative undertaking and involves a substantial degree of risk. We are a clinical-stage biopharmaceutical company with a limited operating histor</w:t>
      </w:r>
      <w:r>
        <w:rPr>
          <w:rFonts w:ascii="Arial;Helvetica;sans-serif" w:hAnsi="Arial;Helvetica;sans-serif"/>
          <w:i/>
          <w:sz w:val="20"/>
        </w:rPr>
        <w:t>y,</w:t>
      </w:r>
      <w:r>
        <w:rPr>
          <w:rFonts w:ascii="Arial;Helvetica;sans-serif" w:hAnsi="Arial;Helvetica;sans-serif"/>
          <w:sz w:val="20"/>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GSBR-1290, our product candidate for T2DM and obesity, and ANPA-0073 and LTSE-2578, our product candidates for idiopathic pulmonary fibrosis (“IPF”),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$52.1 million and $89.6 million for the six months ended June 30, 2024 and year ended December 31, 2023, respectively. As of June 30, 2024, we had an accumulated deficit of $258.6 million. Substantially all of our losses have resulted from expenses incurred in connection with our research and development programs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and from general and administrative costs associated with our operations. All of our product candidates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GSBR-1290, ANPA-0073, LTSE-2578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have and expect to continue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Based on our current operating plan, we believe that our cash, cash equivalents and short-term investments as of June 30, 2024 will be sufficient to fund our operating expenses and key clinical milestones through at least 2027.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actual or anticipated changes in interest rates and economic inflation and the impact of the Russia/Ukraine conflict and Israel-Hamas war,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and credit markets deteriorate, including as a result of future bank failures, it may make any necessary debt or equity financing more difficult to obtain in a timely manner or on favorable terms, more costly or more dilutive.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funding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progress, costs, design, results of and timing of our planned and ongoing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FDA or applicable foreign authorities to accept our clinical trials, as well as data from our planned and ongoing preclinical studies and clinical trials and other work, as the basis for review and approval of our product candidates;</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outcome, costs and timing of seeking and obtaining FDA and applicable foreign regulatory approvals;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characteristics of product candidates that we pursue;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expand our research and development capabilities, including further development of our structure-based drug discovery platform or in-licensing of complementary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associated with manufacturing our product candidates, and establishing commercial supplies and sales, marketing, and distribution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and ability to retain key management and hire scientific, technical, business, and medical personnel;</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implement additional internal systems and infrastructure, including financial and reporting systems;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associated with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economic and other terms, timing of and success of our current and any future collaboration, licensing or other arrangements which we may enter in the future; and</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receipt, and amount of sales from our potential products, if approved.</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Raising additional capital may cause dilution to our shareholders, restrict our operations or require us to relinquish rights to our technologies or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Until such time, if ever, as we can generate substantial product revenue, we expect to finance our operations through equity offerings, debt financings or other capital sources, including potentially grants, collaborations, licenses or other similar arrangements. For example, in October 2023, we issued and sold an aggregate of 21,617,295 ordinary shares and 2,401,920 newly designated non-voting ordinary shares in the Private Placement. In June 2024, we issued and sold an aggregate of 10,427,017 ADSs in our Follow-On Offering.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ADS holders. Debt financing, if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the Discovery, Development and Regulatory Approval of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approach to the discovery of product candidates based on our technology platform is unproven, and we do not know whether we will be able to develop any products of commercial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success of our business depends primarily upon our ability to identify novel product candidates based on our structure-based drug discovery platform and to successfully develop and commercialize those product candidates. While we have had favorable preclinical study results for certain of our development programs, 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any of these events occur, our ability to successfully discover, develop and commercialize any product candidates may be impaired and the value of our company could decline significantly.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early in our development efforts and only have three product candidates, GSBR-1290, ANPA-0073 and LTSE-2578,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in the early stages of our development efforts and have three product candidates, GSBR-1290, ANPA-0073 and LTSE-2578, in early clinical development. We completed a Phase 1 SAD study of GSBR-1290 in healthy volunteers in September 2022 for T2DM and obesity. Furthermore, we initiated the Phase 1b MAD study in January 2023 and completed dosing in otherwise healthy overweight subjects in March 2023. We also initiated the dosing of the Phase 2a study in May 2023. We reported topline data for the 28-day Phase 1b MAD study in September 2023, in which GSBR-1290 was generally well-tolerated with no adverse event-related discontinuations and demonstrated an encouraging safety profile and significant weight loss up to 4.9% placebo-adjusted, supporting once-daily dosing. We also reported topline data for the 12-week Phase 2a clinical trial in December 2023, in which GSBR-1290 was generally well-tolerated with no treatment-related SAEs, no AE-related discontinuation in obesity and only one adverse event-related discontinuation in T2DM. Furthermore, GSBR-1290 demonstrated significant reductions in HbA1c and weight at 12 weeks in T2DM. We further reported topline Phase 2a obesity cohort data, in which GSBR-1290 demonstrated significant reductions in weight at 8 weeks and positive topline data in June 2024, in which GSBR-1290 achieved a clinically meaningful and statistically significant placebo-adjusted mean decrease in weight of 6.2% at 12 weeks and demonstrated generally favorable safety and tolerability results following repeated, daily dosing up to 120mg. Due to the preliminary, topline nature of these results and the length of the study and sample size, these results are not necessarily indicative of the results for our future clinical trials for GSBR-1290 and may not be comparable to other weight loss products or product candidates, including other oral selective GLP-1R agonists (“GLP-1RAs"). In addition, given the size of the Phase 2a obesity cohort, the primary efficacy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We also reported results from a Japanese ethno-bridging study and findings from 6- and 9-month toxicology studies demonstrating encouraging safety to support advancing into Phase 2b development. We reported data from a formulation bridging study of a tablet formulation of GSBR-1290 in June 2024. Based on the successful results, the tablet formulation will be used in future GSBR-1290 studies starting with the Phase 2b study for obesity which we expect to initiate in the fourth quarter of 2024 and an additional Phase 2 study for T2DM, which we expect to initiate in the second half of 2024. Additionally, we completed our Phase 1 SAD and MAD study for ANPA-0073 in healthy volunteers for IPF in September 2022. We expect to conduct additional preclinical studies of ANPA-0073 for its effects in selective weight loss. In June 2024, we initiated a Phase 1 clinical trial of LTSE-2578. The randomized, double-blind, placebo-controlled first-in-human clinical trial is designed to investigate the safety, tolerability and pharmacokinetics of single and multiple ascending doses of LTSE-2578 in approximately 64 healthy participants. 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completion of preclinical studies with favorable results;</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 enrollment in, and completion of, clinical trials;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sufficiency of our financial and other resources to complete the necessary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allowance to proceed with clinical trials under INDs by the FDA or under similar regulatory submissions by applicable foreign authorities for the conduct of clinical trials of our product candidates and our proposed design of future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demonstrating the safety and efficacy of our product candidates to the satisfaction of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receipt of regulatory approvals from applicable regulatory authorities, including NDAs from the FDA and maintaining such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arrangements with third-party manufacturers, or establishing clinical and commercial manufacturing capabilities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sales, marketing and distribution capabilities and launching commercial sales of our products, if and when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and maintaining patent and trade secret protection or regulatory exclusivity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acceptance of any products we develop and their benefits and uses, if and when approved, by patients, the medical community and third-party payors;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effectively competing with other therapies;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healthcare coverage and adequate reimbursement from third-party payors;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maintaining an acceptable safety profile of our products following approval; and</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building and maintaining an organization of people who can successfully develop our product candidates.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non-human primates (“NHP”) to conduct certain preclinical studies that we are required to complete prior to submitting an IND and initiating clinical development. There is currently a global shortage of NHPs available for drug development.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 the results of later clinical trials of the product candidate, and interim results of a clinical trial are not necessarily indicative of final results. For example, in December 2023, we reported topline and interim data from our 12-week Phase 2a clinical trial, which focused on safety and tolerability of GSBR-1290 in a total of 94 participants, including 60 participants randomized to GSBR-1290. The results showed GSBR-1290 was generally well-tolerated with no treatment-related SAEs, no adverse event-related discontinuation in obesity and only one adverse event-related discontinuation in T2DM. Furthermore, GSBR-1290 demonstrated significant reductions in hemoglobin A1c and weight at 12 weeks in T2DM. We further reported positive topline data from our Phase 2a obesity cohort in June 2024, in which GSBR-1290 achieved a clinically meaningful and statistically significant placebo-adjusted mean decrease in weight of 6.2% at 12 weeks and demonstrated generally favorable safety and tolerability results following repeated, daily dosing up to 120mg. Due to the preliminary topline nature of these results and the length of the study and sample size, these results are not necessarily indicative of the results for our future clinical trials for GSBR-1290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Product candidates in later stages of clinical trials may fail to show the desired safety and efficacy characteristics despite having progressed through preclinical studies and initial clinical trials.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trials. As we investigate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GSBR-1290 for T2DM and obesity and ANPA-0073 and LTSE-2578 for IPF, we may encounter new and unforeseen difficulties.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Any difficulties or delays in the commencement or completion, or termination or suspension, of our planned clinical trials could result in increased costs to us, delay or limit our ability to generate revenue and adversely affect our commercial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order to obtain FDA approval to market our product candidates, we must demonstrate the safety and efficacy of our product candidates in humans to the satisfaction of the FDA. To meet these requirements, we will have to conduct adequate and well-controlled clinical trials. In addition, before we can initiate clinical trials for any product candidate,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and we are also required to submit comparable applications to foreign regulatory authorities for clinical trials outside of the United States. We are submitting an IND to the FDA for our planned Phase 2b study of GSBR-1290 for chronic weight management in the third quarter of 2024 and will need to receive allowance from the FDA to proceed before initiating this planned study.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trials may not be conducted as planned or completed on schedule, if at all. For example, in September 2023 we reported that a data collection omission had occurred at a clinical site that impacted the obesity cohort (120 mg dose level) of the Phase 2a study for GSBR-1290, where weight was not collected at the final (week 12) visit for 24 of the 40 enrolled participants. Other safety and laboratory assessments were measured at all visits, including the week 12 visit as per protocol. We have completed the enrollment of additional participants in the Phase 2a obesity cohort to replace those for whom 12-week weight data was not collected. The replacement participants followed the same study protocol, without changes in the titration schema or target dose (120 mg at once-daily dosing). However, as a result of this data collection omission, we reported interim Phase 2a obesity cohort data in December 2023, and topline 12-week obesity data in June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Events that may prevent successful or timely completion of clinical development include:</w:t>
      </w:r>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 consensus with applicable regulatory authorities on trial design or implementation;</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regulatory authorization to commence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agreement on acceptable terms with prospective CROs, other vendors, or clinical trial sites, the terms of which can be subject to extensive negotiation and may vary significantly among different vendors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approval from one or more institutional review boards (“IRB”) refusing to approve, suspending or terminating the trial at an investigational site, precluding enrollment of additional participants, or withdrawing their approval of the trial;</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recruiting suitable patients to participate in our ongoing and planned clinical trials;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to the clinical trial protocol;</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sites deviating from trial protocol such as the data collection omission we experienced at a clinical site as discussed above or dropping out of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manufacturing sufficient quantities of our product candidates for use in clinical trials, or delays in sufficiently developing, characterizing or controlling a manufacturing process suitable for clinical trials;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having patients complete participation in a trial or return for post-treatment follow-up;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participants choosing an alternative treatment for the indication for which we are developing our product candidates, or participating in competing clinical trials;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adequate funding to continue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AEs or SAEs associated with the product candidate that are viewed to outweigh its potential benefits;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SAEs in clinical trials of the same class of agents conducted by other companies;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imposition of a temporary or permanent clinical hold by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selection of clinical trial end points that require prolonged periods of clinical observation or analysis of the resulting data;</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trials producing negative or inconclusive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regulatory requirements, guidance, or feedback from regulatory agencies that require amending or submitting new clinical protocols or otherwise modifying the design of our clinical trials.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due to limitations on travel, quarantines or social distancing protocols imposed or recommended by federal or state governments, employers and others in connection with public health concerns. We have faced and may continue to face delays in meeting our anticipated timelines for our ongoing and planned clinical trials. We experienced delays in our patient enrollment and our supply chain as a direct result of COVID-19 on our suppliers’ ability to timely manufacture and ship certain supplies such as reagents and other lab consumables and due to the data collection omission at a clinical site as discussed above. These delays have previously impacted and could in the future adversely affect our business, financial condition, results of operations and growth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 approval of our product candidates. Even once enrolled we may be unable to retain a sufficient number of patients to complete any of our trials.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size and nature of the patient population;</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severity of the disease under investigation;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 of the trial protocol;</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existing body of safety and efficacy data for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nature of competing treatments and ongoing clinical trials of competing therapies for the same indication;</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proximity of patients to clinical sites;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eligibility criteria for the trial;</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adequately monitor patients during a trial, clinicians’ and patients’ perceptions as to the potential advantages of the product candidate being studied;</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risk that patients will drop out of a trial before completing all site visits;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clinicians’ and patients’ perceptions as to the potential advantages of the drug being studied in relation to other available therapies.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our efforts to build relationships with patient communities may not succeed, which could result in delays in patient enrollment in our clinical trials. If we encounter any delays in enrolling such additional participants, this may further delay our clinical trial.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III trials or, in some cases, after they are made available to patients on a commercial scale after approval. If additional clinical experience indicates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that any of our current product candidates and any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trials. In our completed Phase 1 SAD and Phase 1b MAD study of GSBR-1290, the following adverse events occurred and were considered probably or possibly related to the study drug: nausea, headache, vomiting, dehydration, decreased appetite, dizziness, and diarrhea. In our completed Phase 2a study of GSBR-1290, the following adverse events occurred and were considered probably or possibly related to the study drug: nausea, headache, vomiting, decreased appetite, dyspepsia, and diarrhea. In our completed Phase 1 SAD and MAD study of ANPA-0073,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any of our product candidates receive marketing approval, the FDA could require us to include a black box warning in our label or adopt a risk evaluation and mitigation strategy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GSBR-1290, because it also targets GLP-1R, it is possible that absent compelling data to the contrary, the FDA and applicable foreign authorities will similarly require a black box warning for GSBR-1290 if it is approved for marketing. Furthermore, if we or others later identify undesirable side effects caused by our product candidates, several other potentially significant negative consequences could result, including: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suspend or withdraw approvals of such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required to change the way a product candidate is administered or conduct additional clinical trials;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sued and held liable for harm caused to patients;</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subject to fines, injunctions, or the imposition of criminal or civil penalties;</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need to conduct a recall;</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forced to suspend marketing of that product, or decide to remove the product from the marketplace;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product may become less competitive, and our reputation may suffer.</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 an organization, we have never conducted later-stage clinical trials or submitted an NDA, and may be unable to do so for any of our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early in our development efforts for our product candidates, and we will need to successfully complete pivotal clinical trials in order to seek FDA or applicable foreign authority approval to market GSBR-1290, ANPA-0073, LTSE-2578 and any future product candidates we may develop. Carrying out clinical trials and the submission of NDAs is complicated. We completed a Phase 1 SAD study for GSBR-1290 in healthy volunteers in September 2022. We reported topline data for the Phase 1b MAD study in September 2023. We also reported topline data for the 12-week Phase 2a clinical trial in December 2023. We further reported interim Phase 2a obesity cohort data, in which GSBR-1290 demonstrated significant reductions in weight at 8 weeks and positive topline data in June 2024, in which GSBR-1290 achieved a clinically meaningful and statistically significant placebo-adjusted mean decrease in weight of 6.2% at 12 weeks and demonstrated generally favorable safety and tolerability results following repeated, daily dosing up to 120mg. Due to the preliminary, topline nature of these results and the length of the study and sample size, these results are not necessarily indicative of the results for our future clinical trials for GSBR-1290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We also reported results from a Japanese ethno-bridging study and findings from 6- and 9-month toxicology studies demonstrating encouraging safety to support advancing into Phase 2b development. We also reported successful results from a formulation bridging study to evaluate a tablet formulation of GSBR-1290 in June 2024. Additionally, we completed our Phase 1 SAD and MAD study for ANPA-0073 in healthy volunteers for IPF in September 2022. In June 2024, we initiated a Phase 1 clinical trial of LTSE-2578. The randomized, double-blind, placebo-controlled first-in-human clinical trial is designed to investigate the safety, tolerability and pharmacokinetics of single and multiple ascending doses of LTSE-2578 in approximately 64 healthy participants. We have not conducted any later stage or pivotal clinical trials, have limited experience as a company in preparing, submitting and prosecuting regulatory filings and have not previously submitted an NDA or other applicable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no interactions with the FDA or applicable foreign authorities and cannot be certain how many clinical trials of our product candidates will be required or how such trials will have to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studies and clinical trials that will be required for FDA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FDA or applicable foreign authorities can delay, limit or deny approval of our product candidates or require us to conduct additional nonclinical or clinical testing or abandon a program for various reasons, including the following:</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to the satisfaction of the FDA or applicable foreign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clinical trials may not meet the level of statistical significance required by the FDA or applicable foreign authorities for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serious and unexpected drug-related side effects experienced by participants in our clinical trials or by individuals using drugs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FDA’s or the applicable foreign authority’s requirement for additional nonclinical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the applicable foreign authority may disagree regarding the formulation, labeling and/or the specifications of our product candidates;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approval policies or regulations of the FDA or applicable foreign authorities may significantly change in a manner rendering our clinical data insufficient for approval.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In addition, in recent years, a number of companies have entered the drug discovery industry utilizing different AI approaches. The success of other such AI approaches to drug discovery could create more competition for us. We believe that we must continue to invest a significant amount of time and resources in our platform technologies to maintain and improve our competitive position.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be able to obtain or maintain orphan drug designations or exclusivity for our product candidates, which could limit the potential profitability of our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conducted our initial clinical studies for GSBR-1290 and ANPA-0073 in Australia, and will likely conduct our Phase 1 studies for other drug candidates in Australia. The acceptance of study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clinical data generated in Australia will be accepted by the FDA and its foreign equivalents outside of Australia; however, there can be no assurance the FDA or applicable foreign authorities will accept data from any other clinical studies that we may conduct in Australia. If the FDA or applicable foreign authorities do not accept any such data, we would likely be required to conduct additional Phase 1 clinical studies, which would be costly and time consuming, and delay aspects of our development plan, which could harm our business.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Conducting clinical trials outside the United States exposes us to additional risks, including risks associated with:</w:t>
      </w:r>
    </w:p>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foreign regulatory requirements;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exchange fluctuations;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foreign manufacturing, customs, shipment and storage requirements;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cultural differences in medical practice and clinical research; and</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diminished protection of intellectual property in some countries.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time to time, we may publicly disclose interim,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For example, in December 2023, we reported clinically meaningful topline data from our 12-week Phase 2a clinical trial, which focused on safety and tolerability of GSBR-1290 in a total of 94 participants to date, including 60 participants randomized to GSBR-1290. The results showed GSBR-1290 was generally well-tolerated with no treatment-related SAEs, no adverse event-related discontinuation in obesity and only one adverse event-related discontinuation in T2DM. Furthermore, GSBR-1290 demonstrated significant reductions in HbA1c and weight at 12 weeks in T2DM. We further reported interim Phase 2a obesity cohort data, in which GSBR-1290 demonstrated significant reductions in weight at 8 weeks and positive topline data in June 2024, in which GSBR-1290 achieved a clinically meaningful and statistically significant placebo-adjusted mean decrease in weight of 6.2% at 12 weeks and demonstrated generally favorable safety and tolerability results following repeated, daily dosing up to 120mg. Due to the preliminary, topline nature of these results and the length of the study and sample size, these results are not necessarily indicative of the results for our future clinical trials for GSBR-1290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Due to the preliminary nature of these results and the length of the study and sample size, these results are not necessarily indicative of the final results for our clinical trials for GSBR-1290. If the final data is materially different from the preliminary topline data reported, this could significantly harm our business prospects.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Obtaining and maintaining marketing approval of our product candidates in one jurisdiction does not mean that we will be successful in obtaining marketing approval of our product candidates in other jurisdictions.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If a prolonged government shutdown occurs, it could significantly impact the ability of the FDA and applicable foreign authorities to timely review and process our regulatory submissions, which could have a material adverse effect on our business.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 prolonged government shutdown occurs, or if global health concerns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Reliance on Third Parties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single-source supplier, WuXi STA, a subsidiary of WuXi AppTec, and we expect to rely on this supplier for the foreseeable future. Contract manufacturing organizations may become subject to legislation, trade restrictions, sanctions, and other regulatory requirements by the U.S. government, which could restrict or even prohibit our ability to work with such entities, thereby potentially disrupting the supply of material to us. For example, the recently proposed BIOSECURE Act introduced in the U.S. House of Representatives, and a substantially similar bill in the U.S. Senate, target U.S. government contracts, grants, and loans for entities that use equipment and services from specific named Chinese biotechnology companies, which currently include WuXi AppTec and WuXi Biologics and certain of their respective subsidiaries and affiliates, and authorizes the U.S. government to include additional Chinese biotechnology companies of concern. The current House version of the BIOSECURE Act provides a grandfathering provision with respect to a contract or agreement entered into with a designated biotechnology company of concern before the effective date until January 1, 2032. Given the current legislative climate, the pathway and timing for the BIOSECURE Act or its provisions to become law are uncertain. Should the BIOSECURE Act or its provisions become law with the currently proposed grandfathering provisions, we expect such grandfathering provisions will allow adequate time to identify and execute agreements with alternative manufacturers if necessary. In addition to the BIOSECURE Act, any additional executive action, legislative action or potential sanctions applicable to our current and any future suppliers could materially impact our relationship with such suppliers.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any current or future supplier is designated on any U.S. government prohibited party lists, such designation could impact and potentially restrict our engagement with such suppliers. We have contracted with, or are in the process of pursuing contracts with, alternative suppliers or manufacturers outside of China for our active pharmaceutical ingredients and drug product for our product candidates. While we believe that our current manufacturing plan will provide us with alternative sources for such supplies, there is a risk that, if supplies are interrupted, or the quality of ingredients provided by such alternative sources is not to our specification, it would cause delays in our supply chain and increase the cost of manufacturing our drugs, which could materially harm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future global pandemics,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or a third party’s failure to execute on our manufacturing requirements on commercially reasonable terms and timelines, if at all, and comply with cGMP requirements could adversely affect our business in a number of ways, including:</w:t>
      </w:r>
    </w:p>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meet our drug specifications and quality requirements consistently;</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 or inability to procure or expand sufficient manufacturing capacity;</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issues related to scale-up of manufacturing;</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and validation of new equipment and facilities required for scale-up;</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comply with cGMP or similar foreign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negotiate manufacturing agreements with third parties under commercially reasonable terms, if at all;</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reliance on single source manufacturers for drug substances and drug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qualified backup suppliers for those components that are currently purchased from a sole or single source supplier;</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misappropriation of proprietary information, including our trade secrets and know-how;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mislabeling of clinical supplies, potentially resulting in the wrong dose amounts being supplied or study drug or placebo not being properly identified;</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supplies not being delivered to clinical sites on time, leading to clinical trial interruptions;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operations of our third-party manufacturers or suppliers could be disrupted by conditions unrelated to our business or operations, including the bankruptcy of the manufacturer or supplier; and</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carrier disruptions or increased costs that are beyond our control.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and our CROs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For example, in September 2023 we announced that topline data from the obesity cohort of our Phase 2a trial of GSBR-1290 would be delayed because of a data collection omission by a clinical</w:t>
      </w:r>
      <w:r>
        <w:rPr>
          <w:rFonts w:ascii="Arial;Helvetica;sans-serif" w:hAnsi="Arial;Helvetica;sans-serif"/>
          <w:color w:val="010101"/>
          <w:sz w:val="20"/>
          <w:shd w:fill="FFFFFF" w:val="clear"/>
        </w:rPr>
        <w:t xml:space="preserve"> site, where weight was not collected at the final (week 12) visit for 24 of the 40 enrolled participants. </w:t>
      </w:r>
      <w:r>
        <w:rPr>
          <w:rFonts w:ascii="Arial;Helvetica;sans-serif" w:hAnsi="Arial;Helvetica;sans-serif"/>
          <w:sz w:val="20"/>
        </w:rPr>
        <w:t>Accordingly, if our CROs fail to comply with these regulations or fail to recruit a sufficient number of participants or ensure the collection of requisite data by clinical sites, we may be required to enroll additional participants or repeat clinical trials, which would delay the marketing approval process.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While we will have agreements governing their activities, our CROs will not be our employees, and we will not control whether or not they devote sufficient time and resources to our future clinical and nonclinical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quarantines, shelter-in-place, and similar government orders, or the perception that such orders, shutdowns or other restrictions on the conduct of business operations could occur, which could disrupt our clinical timelines, which could have a material adverse impact on our business, prospects, financial condition, and results of operations. 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collaborations are subject to numerous risks, which may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have significant discretion in determining the efforts and resources that they will apply to a collaboration, and may not commit sufficient efforts and resources, or may misapply those efforts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delay, provide insufficient resources to, or modify or stop clinical trials for our structure-based drug discovery platform or collaboration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could develop or acquire products outside of the collaboration that compete directly or indirectly with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collaborations may be terminated and, if terminated, may result in a need for additional capital and personnel to pursue further development or commercialization of our structure-based drug discovery platform or the applicable product candidates;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own or co-own intellectual property covering our products that results from our collaborating with them, and in such cases, we may not have the exclusive right to commercialize such intellectual property.</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existing discovery collaborations with Schrödinger are important to our business. If we are unable to maintain these collaborations, or if these collaborations are not successful, our business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October 2020, Lhotse, our wholly-owned subsidiary, entered into the Lhotse-Schrödinger Agreement. In November 2023, Aconcagua, our wholly-owned subsidiary, entered into the Aconcagua-Schrödinger Agreement. Under both agreements,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both agreements. See the discussion in Part II. Item 2. “Management’s Discussion and Analysis of Results of Operations and Financial Condition—Lhotse Collaboration Agreement with Schrödinger, LLC” and Part II. Item 2. “Management’s Discussion and Analysis of Results of Operations and Financial Condition—Aconcagua Collaboration Agreement with Schrödinger, Inc.” of this Quarterly Report.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we currently rely on Schrödinger for a substantial portion of our discovery capabilities, if Schrödinger delays or fails to perform its obligations under the Lhotse-Schrödinger Agreement or Aconcagua-Schrödinger Agreement, disagrees with our interpretation of the terms of the collaborations or our discovery plan or terminates the Lhotse-Schrödinger Agreement or Aconcagua-Schrödinger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 the right to terminate the collaboration pursuant to the terms of the Lhotse-Schrödinger Agreement or Aconcagua-Schrödinger Agreement, as applicable. If either of our collaborations with Schrödinger is terminated, especially during our discovery phase, the development of our product candidates would be materially delayed or harmed.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Confidentiality agreements with employees and third parties may not prevent unauthorized disclosure of trade secrets and other proprietary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adoption and deployment of artificial intelligence (“AI”) in our, and any third-party collaborators’ operations, and in particular our and any third-party collaborators’ research and development (“R&amp;D”) efforts to explore new targets and develop effective products, may not be effective and may expose us to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industry in which we compete is characterized by rapid technological advancements, frequent introductions of new products and heavy competition. The discovery of new products and targets remain vital to our success and the implementation by us and by any third-party collaborators of artificial intelligence technologies and processes, including advanced predictive analytics, computational approaches for drug discovery and so-called “generative” AI, has the potential to provide significant benefits in these areas. Use of AI in our efforts may be difficult to deploy successfully due to operational issues inherent in such methods. In particular, the AI algorithms utilize machine learning and predictive analytics which may lead to flawed, biased, and inaccurate results, which could lead to ineffective product or target candidates and exposure to competitive and reputational harm. We face increased competition from other companies that are using AI and related methods for drug discovery, some of which have more resources than we do and may have developed more effective methods than we and any third-party collaborators have, which may reduce our and any third-party collaborator’s effectiveness in identifying potential targets and attracting additional collaborators to work with us. Even with the successful implementation of AI, we may fail to correctly identify indications and allocate resources efficiently, which could adversely impact our pipeline and ability to compete effectively.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Further, AI presents additional risks and challenges, especially as the use of these technologies becomes more important to our operations over time. Generative AI may be used improperly or inappropriately which could lead to the tainting of our proprietary information and render us unable to qualify for patent protection. Their use by people, including our vendors, employees, suppliers and contractors, with access to our proprietary and confidential information, including trade secrets, may continue to increase and may lead to the release of such information, which may impact our ability to realize the benefit of our intellectual property. Our use of generative AI platforms may lead to novel and urgent cybersecurity risks, which may adversely affect our operations and reputation, as well as the operations of any third-party collaborators. Emerging ethical issues surround the use of AI, and we may be subject to reputational and legal risk if our deployment or use of AI becomes controversial. Regulators could limit our, or any third-party collaborator’s ability to develop or implement AI-based technologies as part of measures taken against us or any third-party collaborators in particular or as a consequence of broader legislation, which could have an adverse effect on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or any third-party collaborators’ business, results of operations and financial conditions. Several jurisdictions around the globe, including Europe and certain U.S. states, have proposed, enacted, or are considering laws governing the development and use of AI/ML, such as the EU’s AI Act. We expect other jurisdictions will adopt similar laws. Uncertainty in the legal regulatory regime may require significant resources to modify and maintain business practices to comply with U.S. and non-U.S. laws, the nature of which cannot be determined at this time.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Commercialization of Our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fail to comply with applicable regulatory requirements following approval of our current or future product candidates, a regulatory authority may, among other things:</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 an untitled letter or warning letter asserting that we are in violation of the law;</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an injunction or impose administrative, civil or criminal penalties or monetary fines;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or withdraw marketing approval;</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any ongoing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approve a pending NDA or NDA supplement, or comparable foreign marketing application (or any supplements thereto) submitted by us or our strategic partners;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 or suspend the marketing or manufacturing of the drug;</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seize or detain the drug or otherwise require the withdrawal of the drug from the market;</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permit the import or export of product candidates; or</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allow us to enter into supply contracts, including government contracts.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FDA’s policies, and those of equivalent foreign regulatory agencies, may change and additional government regulations may be enacted that could cause changes to or delays in the drug review process, or suspend or restrict marketing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Even if our current or future product candidates receive marketing approval, they may fail to achieve market acceptance by physicians, patients, third-party payors or others in the medical community necessary for commercial success.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clinical indications for which the product candidate is approved;</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efficacy and potential advantages compared to alternative treatments and therapies;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market introduction of the product as well as competitive products;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effectiveness of sales and marketing efforts;</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our relationships with patient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treatment in relation to alternative treatments and therapies, including any similar generic treatments;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offer such product for sale at competitive prices;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convenience and ease of administration compared to alternative treatments and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target patient population to try new therapies and of physicians to prescribe these therapies;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third-party coverage and adequate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patients to pay out-of-pocket in the absence of coverage and adequate reimbursement by third-party payors and government authorities;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marketing and distribution support;</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prevalence and severity of any side effects; and</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restrictions on the use of the product together with other medications.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Coverage and adequate reimbursement may not be available for our current or any future product candidates, which could make it difficult for us to sell profitably, if approved.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face substantial competition, which may result in others discovering, developing or commercializing products before or more successfully than us.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new or different approaches, potentially eliminating the advantages in our drug discovery process that we believe we derive from our research approach and platform.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aware of GLP-1R small molecules in development by Pfizer, Eli Lilly, Qilu Regor Therapeutics, AstraZeneca/Eccogene, Terns Pharmaceuticals, Jiangsu Hengrui Medicine, Sciwind Biosciences, Carmot Therapeutics (acquired by Roche Group in January 2024) and Hercules CM Newco (licensed HRS-7535, an oral small molecule GLP-1; HRS-9531 a GLP-1/GIP; and preclinical asset HRS-4729 from Jiangsu Hengrui Medicine). There are currently approved GLP-1R peptides for the treatment of diabetes and obesity marketed by Novo Nordisk, Eli Lilly, AstraZeneca, Sanofi and Hercules CM Newco. We are also aware of other GLP-1R plus dual/tri incretin targeting peptides in development by Eli Lilly, Jiangsu Hansoh Pharmaceutical Group, Boehringer Ingelheim, Altimmune, Carmot Therapeutics, Sciwind Biosciences, Novo Nordisk, Viking Therapeutics, Amgen, Zealand Pharma, D&amp;D Pharmatech, GMAX Biopharma, Jiangsu Hengrui Medicine, BrightGene, Innovent Biologics, PegBio, NeuroBo Pharmaceuticals, Hanmi Phamaceuticals, Progen Holdings, Pep2Tango and Biomed Industries. Additionally, 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Bristol Myers Squibb (“BMS”) have APJR targeted product candidates for heart failure. Furthermore, we are aware of LPA1R targeted product candidates in development for IPF by BMS, Horizon Therapeutics (acquired by Amgen in October 2023) and DJS Antibodies; and myelin restoration and neuroinflammation by Pipeline Therapeutics.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we and any third-party collaborators are facing increasing competition from companies utilizing AI and other computational approaches for drug discovery. Some of these competitors are involved in drug discovery themselves and/or with partners, and others develop software or as well as other tools utilizing AI which can be used, directly or indirectly, in drug discovery. To the extent these other AI approaches to drug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discovery prove to be successful, or more successful, than our and any third-party collaborators’ approach, our business, financial condition and operating results could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the market opportunities for any of our product candidates are smaller than we estimate, even assuming approval of a product candidate, our revenue may be adversely affected, and our business may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future growth may depend, in part, on our ability to commercialize products in foreign markets, where we would be subject to additional regulatory burdens and other risks and uncertainties.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different regulatory requirements for approval of drugs in foreign countries;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reduced protection for intellectual property rights;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existence of additional third-party patent rights of potential relevance to our business;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changes in tariffs, trade barriers and regulatory requirements;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foreign economies and markets;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reimbursement, pricing and insurance regimes;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common;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shortages resulting from any events affecting raw material supply or manufacturing capabilities abroad;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Business Operations and Industry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degree of success and cost of, and level of investment in, research, development, regulatory approval and commercialization activities relating to our product candidates, which may change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coverage and reimbursement policies with respect to our product candidates, if approved, and potential future drugs that compete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manufacturing our product candidates, which may vary depending on the quantity of production and the terms of our agreements with third-party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expenditures that we may incur to acquire, develop or commercialize additional product candidates and technologies;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level of demand for any approved products, which may vary significantly;</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future accounting pronouncements or changes in our accounting policies; and</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success or failure of preclinical studies or clinical trials for our product candidates or any competing product candidates, or any other change in the competitive landscape of our industry, including consolidation among our competitors or partners.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highly dependent on the services of our senior management team and if we are not able to retain these members of our management team and recruit and retain additional management, clinical and scientific personnel, our business will be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will need to expand our organization, and we may experience difficulties in managing this growth, which could disrupt our operations.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2024, we had 136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candidates receives marketing approval, sales, marketing and distribution. To manage any future growth, we must:</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recruit, integrate, maintain and motivate additional qualified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our development efforts effectively, including the initiation and conduct of clinical trials for our product candidates; and</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improve our operational, financial and management controls, reporting systems and procedures.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sz w:val="20"/>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w:t>
      </w:r>
      <w:r>
        <w:rPr>
          <w:rFonts w:ascii="Arial;Helvetica;sans-serif" w:hAnsi="Arial;Helvetica;sans-serif"/>
          <w:sz w:val="20"/>
        </w:rPr>
        <w:t xml:space="preserve"> </w:t>
      </w:r>
      <w:r>
        <w:rPr>
          <w:rFonts w:ascii="Arial;Helvetica;sans-serif" w:hAnsi="Arial;Helvetica;sans-serif"/>
          <w:b/>
          <w:i/>
          <w:sz w:val="20"/>
        </w:rPr>
        <w:t>or reserve for such credit in our financial statements, our business and results of operations could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current Australian tax regulations provide for a refundable research and development tax credit equal to 43.5% of qualified expenditures. Although we have previously claimed a refundable research and development tax credit there is a possibility that we may not be able to claim such credit or we might qualify for a lesser credit. If we lose our ability to operate Annapurna AU or Gasherbrum AU in Australia, or if in the future we are ineligible or unable to receive the research and development tax credit or are required to refund any research and development tax credit previously received or have to reserve for such credit in our financial statements, or if the Australian government significantly reduces or eliminates the tax credit, our business and results of operation may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relationships with customers, physicians and other healthcare providers,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The laws that may affect our operations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Health Insurance Portability and Accountability Act of 1996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Helvetica;sans-serif" w:hAnsi="Arial;Helvetica;sans-serif"/>
                <w:b w:val="false"/>
                <w:i/>
                <w:sz w:val="20"/>
              </w:rPr>
              <w:t>e.g.</w:t>
            </w:r>
            <w:r>
              <w:rPr>
                <w:rFonts w:ascii="Arial;Helvetica;sans-serif" w:hAnsi="Arial;Helvetica;sans-serif"/>
                <w:b w:val="false"/>
                <w:i w:val="false"/>
                <w:caps w:val="false"/>
                <w:smallCaps w:val="false"/>
                <w:sz w:val="20"/>
              </w:rPr>
              <w:t>, public or private). Similar to the federal Anti-Kickback Statute, a person or entity does not need to have actual knowledge of this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HIPAA, as amended by the Health Information Technology for Economic and Clinical Health Act of 2009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and covered contractors,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Healthcare legislative reform measures may have a negative impact on our business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its enactment, there have been judicial, Congressional and executive branch challenges to certain aspects of the ACA. On June 17, 2021, the U.S. Supreme Court dismissed the most recent judicial challenge to the ACA brought by several states on procedural grounds without specifically ruling on the constitutionality of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the ACA will be subject to judicial or Congressional challenges in the future.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July 2021, the Biden administration released an executive order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or our third-party manufacturers use hazardous and biological materials in a manner that causes injury or violates applicable law, we may be liable for damages.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Product liability lawsuits against us could cause us to incur substantial liabilities and could limit commercialization of any product candidate that we may develop.</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decreased demand for any product candidate that we may develop;</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recalls, withdrawals or labeling, marketing or promotional restrictions;</w:t>
            </w:r>
          </w:p>
        </w:tc>
      </w:tr>
    </w:tbl>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of revenue;</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substantial monetary awards to trial participants or patients;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time and costs to defend the related litigation;</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diversion of management’s time and our resources;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withdrawal of clinical trial participants;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initiation of investigations by regulators;</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inability to commercialize any product candidate that we may develop;</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injury to our reputation and significant negative media attention; and</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decline in our ADS price.</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currently hold approximately $10.0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 disruptions of our business operations; loss of revenue or profits; loss of customers or sales; or other adverse consequences.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increasingly dependent on information technology systems and infrastructure, including mobile and third-party, cloud-based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due to the COVID-19 pandemic, we enabled all of our employees to work remotely, which may make us more vulnerable to cyberattacks. Cyberattacks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or unauthorized access can also be difficult to detect, can result from the intentional or inadvertent actions or inactions of those with authorized access to our network and any delay in identifying them may lead to increased harm. In addition, the prevalent use of mobile devices increases the risk of data security incidents.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and certain of our service providers are from time to time subject to cyberattacks and security incidents. While we have no reason to believe that we have been subject to any significant system failure, accident or security breach to date,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impact on our business, financial condition, results of operations and prospects, including the imposition of significant fines or other sanctions.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Governments outside the United States tend to impose strict price controls, which may adversely affect our revenues, if any.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unavailable or limited in scope or amount, or if pricing is set at unsatisfactory levels, our business could be harmed, possibly materially.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subject to stringent and evolving U.S. and foreign laws, regulations, rules, industry standards, contractual obligations, policies and other obligations related to data security and privacy. Our actual or perceived failure to comply with such obligations could lead to government enforcement actions, which could include civil, criminal or administrative penalties, litigation (including class claims) and arbitration demands, fines and penalties, disruptions of our business operations, reputational harm, adverse publicity, and/or and other adverse business consequences and could negatively affect our operating results and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bookmarkStart w:id="1353" w:name="_Hlk125026269"/>
      <w:bookmarkEnd w:id="1353"/>
      <w:r>
        <w:rPr>
          <w:rFonts w:ascii="Arial;Helvetica;sans-serif" w:hAnsi="Arial;Helvetica;sans-serif"/>
          <w:sz w:val="20"/>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may collect about trial participants in connection with clinical trials, sensitive third-party data, business plans, transactions, and financial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Outside the United States, an increasing number of laws, regulations, and industry standards may govern data privacy and security. For example, the EU GDPR, the United Kingdom’s GDPR, and the Personal Information Protection Act in South Korea,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Other jurisdictions may adopt similarly stringent interpretations of their data localization and cross-border data transfer laws. Although there are currently various mechanisms that may be used to transfer personal data from the European Economic Area (“EEA”) and United Kingdom (“UK”) to the United States in compliance with law, such as the EEA and UK’s standard contractual clauses, these mechanisms are subject to legal challenges, and there is no assurance that we can satisfy or rely on these measures to lawfully transfer personal data to the United States. Recently, however, the UK has implemented an International Data Transfer Agreement/Addendum and the EU-U.S. Data Privacy Framework has been introduced, (the latter of which allows for transfers of personal data for relevant U.S.-based organizations who self-certify compliance and participate in the Framework), but these mechanisms are subject to legal challenges, and there is no assurance that we can satisfy or rely on these measures to lawfully transfer personal data to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EU has also proposed a Regulation on Privacy and Electronic Communications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prevent unauthorized or unlawful processing, accidental loss or destruction of personal data; and (h) the personal data may not be transferred to a country unless that country ensures an adequate level of protection for the rights and freedoms of data subjects.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(“PIPL”) which became effective from November 1, 2021. The PIPL imposes a set of specific obligations on covered businesses in connection with their processing and transfer of personal data and imposes fines of up to RMB 50 million or 5% of the prior year’s total annual revenue of the violator. Under the PIPL,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data privacy and security laws, we contractually may be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threatened or actual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or our third-party service providers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There is tax risk associated with the reporting of cross-border arrangements and activities between us and our subsidiaries.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Tax authorities may disagree with our positions and conclusions regarding certain tax positions, resulting in unanticipated costs, taxes or non-realization of expected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Changes in tax laws or regulations that are applied adversely to us or our customers may have a material adverse effect on our business, cash flow, financial condition, or results of operations. </w:t>
      </w:r>
    </w:p>
    <w:p>
      <w:pPr>
        <w:pStyle w:val="TextBody"/>
        <w:bidi w:val="0"/>
        <w:spacing w:before="0" w:after="240"/>
        <w:ind w:left="0" w:right="0" w:hanging="0"/>
        <w:jc w:val="left"/>
        <w:rPr>
          <w:rFonts w:ascii="Arial;Helvetica;sans-serif" w:hAnsi="Arial;Helvetica;sans-serif"/>
          <w:b w:val="false"/>
          <w:sz w:val="20"/>
        </w:rPr>
      </w:pPr>
      <w:r>
        <w:rPr>
          <w:rFonts w:ascii="Arial;Helvetica;sans-serif" w:hAnsi="Arial;Helvetica;sans-serif"/>
          <w:b w:val="false"/>
          <w:sz w:val="20"/>
        </w:rPr>
        <w:t xml:space="preserve">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instance, the recently enacted IRA imposes, among other rules, a 15% minimum tax on the book income of certain large corporations and a 1% excise tax on certain corporate stock repurchases. The Tax Cuts and Jobs Act of 2017 (“TCJA”), as amended by the Coronavirus Aid, Relief, and Economic Security Act significantly reformed the United States Internal Revenue Code of 1986, as amended (the “Code”), by lowering U.S. federal corporate income tax rates, changing the utilization of future net operating loss carryforwards, permitting for the expensing of certain capital expenditures, eliminating the option to currently deduct research and development expenditures and requiring taxpayers to capitalize and amortize U.S.-based and non-U.S.-based research and development expenditures over five and fifteen years, respectively. and putting into effect significant changes to U.S. taxation of international business activities. Outside the U.S., various governments and organizations are increasingly focused on tax reform and other legislative or regulatory action to increase tax revenue, including the Organisation for Economic Co-operation and Development’s Base Erosion and Profit Shifting Project (“BEPS 2.0”). The IRA, TCJA, BEPS 2.0 or any future tax reform legislation could have a material impact on the value of our deferred tax assets, result in significant one-time charges, and increase our future tax expenses.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Doing Business in China and Our International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the political and economic policies or in relations between China and the United States may affect our business, financial condition, results of operations and the market price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and impact the value of our ADSs. Any economic downturn, whether actual or perceived, further decrease in economic growth rates or an otherwise uncertain economic outlook could affect our business, financial condition and results of operations, as well as the market price of our ADSs.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 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and geopolitical tensions between China and the United States increase, our business in China and United States, as well as the market price of our ADSs, may also be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U.S. and Chinese regulations may impact our business, our operating results, our ability to raise capital and the market price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variable interest entity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response to the SEC’s July 30, 2021 statement, the China Securities Regulatory Commission (“CSRC”) announced on August 1, 2021, that “[i]t is our belief that Chinese and U.S. regulators shall continue to enhance communication with the principle of mutual respect and cooperation, and properly address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Compliance with China’s current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China has implemented or will implement rules and is considering a number of additional proposals relating to data protection. China’s current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Additionally, China’s Cyber Security Law, promulgated by the Standing Committee of the National People’s Congress (“SCNPC”)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July 10, 2021, the Cyberspace Administration of China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under which data processors refer to individuals and organizations who determine the data processing activities in terms of the purpose and methods at their discretion. The Draft Management Regulations reiterate that data processors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shall be subject to cybersecurity review if (i) they process personal information of more than one million persons and they are aiming to list on 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the date of this Quarterly Report,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Draft Management Regulations or other laws and regulations related to privacy, data protection and information security.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and was further revised in May 2024.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came into effect in April 2021 and was further revised in April 2024. The Biosecurity Law of the PRC reaffirms the regulatory requirements stipulated by the HGR Regulation while potentially increasing the administrative sanctions where China’s human genetic resources are collected, preserved, exported or used in international cooperation in violation of applicable laws. In May 2023, the Ministry of Science and Technology published the Implementing Rules for the Regulations on the Administration of Human Genetic Resources (the “HGR Implementing Rules”) which came into effect in July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Interpretation, application and enforcement of these laws, rules and regulations evolve from time to time and their scope may continually change, through new legislation, amendments to existing legislation or changes in enforcement. Compliance with China’s current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Regulations on Mergers and Acquisitions of Domestic Enterprises by Foreign Investors purport to require offshore special purpose vehicles that are controlled by Chinese companies or individuals and that have been formed for the purpose of seeking a public listing on an overseas stock exchange through acquisitions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Chinese domestic companies or assets in exchange for the shares of the offshore special purpose vehicles shall obtain CSRC approval prior to publicly listing their securities on an overseas stock exchange.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on February 17, 2023, the CSRC promulgated a new set of regulations that consists of the Trial Administrative Measures of Overseas Securities Offering and Listing by Domestic Companies (the “Trial Measures”) and five supporting guidelines which came into effect on March 31, 2023 to regulate overseas securities offering and listing activities by domestic companies either in direct or indirect form. According to the Trial Measures, we may be required to submit filings to the CSRC in connection with future issuances of our equity securities to foreign investors. For more details, see the Part I. Item 1. “Business—Regulation—Other Significant Chinese Regulation Affecting Our Business Activities in China” of our Annual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the date of this Quarterly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came into effect on March 31, 2023, we would not at once be required to submit an application to the CSRC for our previous issuances of securities to foreign investors, but if we intend to make any subsequent securities offering in the same overseas market which are determined as indirect overseas offering and listing by a domestic company under the Trial Measures, we 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for our previous issuances of securities to foreign investors, or if we are required to complete relevant procedures for our subsequent securities offering in the same overseas market,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 a company with operations and business relationships outside of the United States, our business is subject to economic, political, regulatory and other risks associated with international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non-U.S. economies and markets;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and changing regulatory requirements for product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jurisdictions could present different issues for securing, maintaining or obtaining freedom to operate in such jurisdictions;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potentially reduced protection for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regulations and customs, tariffs and trade barriers;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currency exchange rates of the RMB;</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geopolitical tensions between the U.S. and China and changes in a specific country’s or region’s political or economic environment especially with respect to a particular country’s treatment of or stance towards other countries;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trade protection measures, import or export licensing requirements or other restrictive actions by governments;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reimbursement regimes and price controls in certain non-U.S. markets;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negative consequences from changes in tax laws;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variable tax treatment in different jurisdictions of options granted under our equity incentive plans;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more common than in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health epidemics, or natural disasters including earthquakes, typhoons, floods and fires.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fail to comply with Chinese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could be materially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Development in the Chinese legal system could materially and adversely affect us.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Chinese laws and regulations govern our operations in China and the PRC legal system is a civil law system based on written statutes. Unlike the common law system, prior court decisions under the civil law system may be cited for reference but have limited precedential value. As the laws and regulations are relatively new and the PRC legal system continues to evolve, there may be room for discretion in the implementation of these laws and regulations. And as these laws and regulations are evolving in response to changing economic and other conditions, factors related to the application and implementation of these laws and regulations may affect our business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 exposed to liabilities under the U.S. Foreign Corrupt Practices Act (the “FCPA”),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Regulatory Requirements on currency exchange may limit our ability to receive and use effectively financing in foreign currencies.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Chinese subsidiaries’ ability to obtain currency exchange is subject to certain foreign exchange regulations and, in the case of transactions under the capital account, requires the approval of and/or registration with Chinese government authorities, including the State Administration of Foreign Exchange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Ministry of Commerce of the People’s Republic of China, or its local branch or registration with other governmental authorities in China.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received from the IPO and to capitalize or otherwise fund our Chinese operations, including our technology development and early discovery activities through Basecamp Bio, may be negatively affected, which could materially and adversely affect our ability to fund and expand our business.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classified as a China resident enterprise for China income tax purposes, such classification could result in unfavorable tax consequences to us and our non-Chinese shareholders or ADS holders.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(“EIT”), rate on its global income. The Notice Regarding the Determination of Chinese-Controlled Offshore-Incorporated Enterprises as Chinese Tax Resident Enterprises on the Basis of De Facto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Management Bodies (“SAT Circular 82”), issued by the State Taxation Administration of the People’s Republic of China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and our shareholders face uncertainties in China with respect to indirect transfers of equity interests in China resident enterprises.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indirect transfer of equity interests in China resident enterprises by a non-China resident enterprise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February 2012, the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Intellectual Property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global pandemics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United States and other countries may diminish the value of our patents or narrow the scope of our patent protection. In addition, the laws of foreign countries may not protect our rights to the same extent as the laws of the United States, or vice versa.</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and when patents may issue based on our patent applications;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protection of any patent issuing based on our patent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claims of any patent issuing based on our patent applications will provide protection against competitors;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third parties will find ways to invalidate or circumvent our patent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others will obtain patents claiming aspects similar to those covered by our patents and patent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will need to initiate litigation or administrative proceedings to enforce and/or defend our patent rights which will be costly whether we win or lose;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patent applications that we own or in-license will result in issued patents with claims that cover our product candidates or uses thereof in the United States or in other foreign countries; and/or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may experience patent office interruption or delays to our ability to timely secure patent coverage to our product candidates.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Helvetica;sans-serif" w:hAnsi="Arial;Helvetica;sans-serif"/>
          <w:i/>
          <w:sz w:val="20"/>
        </w:rPr>
        <w:t>inter partes</w:t>
      </w:r>
      <w:r>
        <w:rPr>
          <w:rFonts w:ascii="Arial;Helvetica;sans-serif" w:hAnsi="Arial;Helvetica;sans-serif"/>
          <w:sz w:val="20"/>
        </w:rPr>
        <w:t xml:space="preserve"> review (“IPR”)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trade secret and proprietary know-how which can be difficult to trace and enforce and, if we are unable to protect the confidentiality of our trade secrets, our business and competitive position would be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Moreover, disputes may arise with respect to our licensing or other upstream agreements, including:</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rights granted under the agreements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and the extent to which our systems and consumables, technologies and processes infringe on intellectual property of the licensor that is not subject to the licensing agreement;</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sublicensing of patent and other rights under our collaborative development relationships;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diligence obligations under the license agreements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inventorship and ownership of inventions and know-how resulting from the joint creation or use of intellectual property by our licensors and us and our partners;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priority of invention of patented technology.</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intellectual property licensed from third parties may be subject to retained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Patent terms may be inadequate to protect our competitive position on our product candidates for an adequate amount of time.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Given the amount of time required for the development, testing and regulatory review of our new product candidates such as GSBR-1290, ANPA-0073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The following examples are illustrative: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be able to make compounds or formulations that are similar to our product candidates but that are not covered by the claims of any patents that we own or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or any strategic partners might not have been the first to make the inventions covered by the issued patents or pending patent applications that we own or control;</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might not have been the first to file patent applications covering certain of the inventions we own or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pending patent applications that we own or control may not lead to issued patents;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issued patents that we own or control may be held invalid or unenforceable as a result of legal challenges;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countries other than the United States may have patent laws that are less favorable to patentees than those upheld by U.S. courts, allowing foreign competitors a better opportunity to create, develop and market competing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claims of any patent issuing based on our patent applications may not provide protection against competitors or any competitive advantages, or may be challenged by third parties;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enforced, a court may not hold that our patents are valid, enforceable and infringed;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patents of others may have an adverse effect on our business, including if others obtain patents claiming subject matter similar to or improving that covered by our patents and patent applications.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necessary to continue our operations or could otherwise have a material adverse effect on our business, results of operations, financial condition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become involved in lawsuits to protect or enforce our patents or other intellectual property, which could be expensive, time consuming and unsuccessful.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w:t>
      </w:r>
      <w:r>
        <w:rPr>
          <w:rFonts w:ascii="Arial;Helvetica;sans-serif" w:hAnsi="Arial;Helvetica;sans-serif"/>
          <w:i/>
          <w:sz w:val="20"/>
        </w:rPr>
        <w:t>ex parte</w:t>
      </w:r>
      <w:r>
        <w:rPr>
          <w:rFonts w:ascii="Arial;Helvetica;sans-serif" w:hAnsi="Arial;Helvetica;sans-serif"/>
          <w:sz w:val="20"/>
        </w:rPr>
        <w:t xml:space="preserve"> reexaminations, IPR, or PGR, or oppositions or similar proceedings outside the United States, in parallel with litigation or even outside the 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are successful, any award of monetary damages or other remedy we receive may not be commercially valuable.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Because of the expense and uncertainty of litigation, we may not be in a position to enforce our intellectual property rights against third parties.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Leahy-Smith Act included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be able to protect our intellectual property rights throughout the world, which could negatively impact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Filing, prosecuting and defending patents covering our current and any future product candidates throughout the world would be prohibitively expensive, and our intellectual property rights in some countries outside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 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our trademarks and trade names are not adequately protected, we may not be able to build name recognition in our markets of interest and our business may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price of our ADSs may be volatile, and you could lose all or part of your investment.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trading price of our ADSs is likely to be highly volatile and could be subject to wide fluctuations in response to various factors, some of which are beyond our control, including limited trading volume. In addition to the factors discussed in this “Risk Factors” section and elsewhere in this Quarterly Report,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commencement, enrollment or results of our ongoing and planned preclinical studies and clinical trials, or any future preclinical studies or clinical trials, we may conduct of our current and any future </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14" w:type="dxa"/>
        <w:jc w:val="left"/>
        <w:tblInd w:w="0" w:type="dxa"/>
        <w:tblLayout w:type="fixed"/>
        <w:tblCellMar>
          <w:top w:w="28" w:type="dxa"/>
          <w:left w:w="28" w:type="dxa"/>
          <w:bottom w:w="28" w:type="dxa"/>
          <w:right w:w="28" w:type="dxa"/>
        </w:tblCellMar>
      </w:tblPr>
      <w:tblGrid>
        <w:gridCol w:w="124"/>
        <w:gridCol w:w="109"/>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candidates, or changes in the development status of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results or delays in our preclinical studies and clinical trials;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decision to initiate a clinical trial, not to initiate a clinical trial, or to terminate an existing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regulatory decisions, including failure to receive marketing approval for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laws or regulations applicable to our current and any future product candidates, including but not limited to clinical trial requirements for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failure to obtain coverage and adequate reimbursement of our current and any future product candidates, if approved;</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on the structure of healthcare payment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changes to our relationship with any manufacturers, suppliers, licensors, future collaborators or other strategic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obtain adequate product supply for any approved drug product or inability to do so at acceptable prices;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establish collaborations if needed;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commercialize our current and any future product candidates;</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or departures of key scientific or management personnel;</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unanticipated serious safety concerns related to the use of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introduction of new products or services offered by us or our competitors, or the release or publication of clinical trial results from competing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announcements of significant acquisitions, strategic partnerships, joint ventures, or capital commitments by us or our competitors;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effectively manage our growth;</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 or anticipated variations in quarterly operating results;</w:t>
            </w:r>
          </w:p>
        </w:tc>
      </w:tr>
    </w:tbl>
    <w:tbl>
      <w:tblPr>
        <w:tblW w:w="2076" w:type="dxa"/>
        <w:jc w:val="left"/>
        <w:tblInd w:w="0" w:type="dxa"/>
        <w:tblLayout w:type="fixed"/>
        <w:tblCellMar>
          <w:top w:w="28" w:type="dxa"/>
          <w:left w:w="28" w:type="dxa"/>
          <w:bottom w:w="28" w:type="dxa"/>
          <w:right w:w="28" w:type="dxa"/>
        </w:tblCellMar>
      </w:tblPr>
      <w:tblGrid>
        <w:gridCol w:w="124"/>
        <w:gridCol w:w="25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cash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meet the estimates and projections of the investment community or that we may otherwise provide to the public;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publication of research reports about us or our industry or positive or negative recommendations or withdrawal of research coverage by securities analysts;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market valuations of similar companies;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overall performance of the equity markets;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issuances of debt or equity securities;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our ADSs by us or our shareholders in the future, or the perception that such sales may occur;</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volume of our ADSs;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accounting practices;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ineffectiveness of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or other developments relating to proprietary rights, including patents, litigation matters, and our ability to obtain patent protection for our technologies;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lawsuits, including patent or shareholder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geopolitical and macroeconomic conditions, including as a result of bank failures, global pandemics, the Russia/Ukraine conflict or the Israel-Hamas war; and</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events or factors, many of which are beyond our control.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Although our annual financial statements were audited and reported upon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issuers and 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In December 2022, the PCAOB vacated its determination that it was unable to inspect and investigate PCAOB-registered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May 2023, we dismissed PricewaterhouseCoopers LLP and engaged Ernst &amp; Young LLP as our independent registered public accounting firm. Each of PricewaterhouseCoopers LLP and Ernst &amp; Young LLP, is headquartered in the United States, is registered with the PCAOB and is an auditor of companies that are both registered with the SEC and publicly traded in the United States. As a result, the HFCA Act did not previously and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identified material weaknesses in our internal control over financial reporting in the past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previously reported a material weakness which existed as of March 31, 2024 in that 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material weakness did not result in any material misstatements to the consolidated financial statements. This material weakness could result in a misstatement of substantially all of our accounts or disclosures that would result in a material misstatement to the annual or interim consolidated financial statements that would not be prevented or detected.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management has concluded, through testing, that the controls operated for a sufficient period of time and are effective. See Part I. Item 4. “Controls and Procedures— Remediation of the Previously Reported Material Weakness” of this Quarterly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future we may determine that we have additional material weaknesses. Our failure to identify and address any other material weaknesses that may be identified in the future could result in material misstatements to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securities.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principal shareholders and management own a significant percentage of our voting securities and will be able to exert significant control over matters subject to shareholder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our executive officers, directors, five percent shareholders and their affiliates beneficially owned approximately 21% of the voting power of our outstanding share capital. Therefore, these 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 significant portion of our total outstanding shares are restricted from immediate resale, but may be sold into the market in the near future. This could cause the market price of our ADSs to drop significantly, even if our business is doing well.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August 2, 2023, 77,752,483 ordinary shares (excluding the 18,000,000 ordinary shares issued to our depositary bank for bulk issuance of ADSs reserved for future issuances upon the exercise or vesting of awards granted under our equity incentive plans) became available for sale in the public market, following the expiration of lock-up agreements entered into by substantially all of our shareholders in connection with the IPO. Sales of a substantial number of such shares, or the perception that such sales may occur, could cause the market price of our ADSs to fall or make it more difficult for our securityholders to sell their ADSs at a time and price that they deem appropriate.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October 2023, we completed our Private Placement for aggregate gross proceeds of approximately $300 million before deducting placement agent fees and other private placement expenses. An aggregate of 21,617,295 ordinary shares and 2,401,920 newly designated non-voting ordinary shares were issued pursuant to the Purchase Agreement and we filed a registration statement registering the resale of the ordinary shares issued in the Private Placement. Each holder of the non-voting ordinary shares had the right to convert each non-voting ordinary share held by such holder into one ordinary share, subject to certain beneficial ownership limitations. The purchase price was $12.49 per share (or the equivalent of $37.47 per ADS), which represents the ADS closing price on the Nasdaq Global Market immediately preceding the signing of the Purchase Agreement on September 29, 2023. In December 2023, all outstanding non-voting ordinary shares had been converted into ordinary shares.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promptly following the completion of our IPO, we filed a registration statement registering the issuance of approximately 22,099,376 ordinary shares (which may be in the form of ADSs) subject to options or other equity awards issued or reserved for future issuance under our equity incentive plans, including pursuant to automatic increase provisions in such equity incentive plans. Shares (or ADSs) registered under this registration statement are available for sale in the public market subject to vesting arrangements and exercise of options and, in the case of our affiliates, the restrictions of Rule 144 under the Securities Act. If these additional shares or ADSs are sold, or if it is perceived that they will be sold, in the public market, the trading price of our ADSs could decline.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Holders of our ADSs have fewer rights than our shareholders and must act through the depositary to exercise their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 may not receive distributions on our ordinary shares represented by the ADSs or any value for them if it is illegal or impractical to make them available to holders of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Your right to participate in any future rights offerings may be limited, which may cause dilution to your holdings.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Because we do not anticipate paying any cash dividends on our ADSs in the foreseeable future, capital appreciation, if any, will be your sole source of gains and you may never receive a return on your investment.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restrictions and other factors deemed relevant by our board of directors. As a result, capital appreciation, if any, on our ADSs will be your sole source of gains for the foreseeable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subject to tax in the Cayman Islands and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Cayman Islands corporation as of the date of this Quarterly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unlikely that we will pay any dividends on our ordinary shares or ADSs in the foreseeable future. However, dividends received by “non-U.S.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holder or prospective holder of our ordinary shares or ADSs should seek tax advice from an independent tax advisor based on such holder’s particular circumstances.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ability to use our net operating loss carryforwards and certain other tax attributes may be limited.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December 31, 2023, we had $84.8 million and $146.5 million of U.S. federal and state net operating loss (“NOL”) carryforwards, respectively, available to offset future taxable income. Under U.S. federal income tax law, federal NOLs incurred in tax years beginning after December 31, 2017, may be carried forward indefinitely, but the deductibility of such federal NOLs is limited to 80% of taxable income for taxable years beginning after December 31, 2020. Any NOLs incurred in tax years beginning before December 31, 2017, may be used to offset up to 100% of future taxable income, but will begin to expire in varying amounts in 2037, unless previously utilized. Similar rules may apply under state tax laws. As of December 31, 2023, we also had aggregate U.S. federal and state R&amp;D credits of approximately $2.2 million and $0.5 million, respectively. U.S. federal R&amp;D credits carryforwards begin to expire in 2039 unless previously utilized. The state R&amp;D credit carryforwards do not expire. Our NOL carryforwards and R&amp;D credits are subject to review and possible adjustment by the U.S. and state tax authorities.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our IPO. As a result, if we earn net taxable income, our ability to use our pre-change NOLs to offset U.S. federal taxable income may be subject to limitations, which could potentially result in increased future tax liability to us. At the state level, California has suspended the use of NOLs by certain taxpayers for tax years beginning on or after January 1, 2024, and before January 1, 2027. Other states may also suspend or otherwise place limitations on the use of NOLs, which could accelerate or permanently increase state taxes owed.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will incur significantly increased costs as a result of operating as a company whose ADSs are publicly traded in the United States, and our management will be required to devote substantial time to new compliance initiatives.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public company in the United States, we will incur significant legal, accounting and other expenses that we did not incur prior to our IPO. These expenses will likely be even more significant after we no longer qualify as an emerging growth company and/or a smaller reporting company. We are subject to the reporting requirements of the Exchange Act, which require, among other things, that we file with the SEC annual, quarterly and current reports with respect to our business and financial condition. In addition, the Sarbanes-Oxley Act, the Dodd-Frank Wall Street Reform and Consumer Protection Act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Section 404 of the Sarbanes-Oxley Act, we are required to furnish a report by our senior management on our internal control over financial reporting. However, while we remain an emerging growth company or a smaller reporting company as discussed below, we will not be required to include an attestation report on internal control over financial reporting issued by our independent registered public accounting firm. As of June 30, 2024, the market value of our ordinary shares held by non-affiliates exceeded $700.0 million. As a result, we will be a large accelerated filer and thus will cease to be an emerging growth company effective December 31, 2024. Additionally, we will no longer qualify as a smaller reporting company beginning with our first Quarterly Report on Form 10-Q for the quarterly period ending March 31, 2025. As a result of this transition, we will be required to include an attestation report on internal control over financial reporting issued by our independent registered public accounting firm with our Annual Report on Form 10-K for the fiscal year ending December 31, 2024. To prepare for compliance with Section 404, we have engaged in a process to document and evaluate our internal control over financial reporting, which is both costly and challenging. In this regard, we have dedicated internal resources, engaged outside consultants and adopted a detailed work plan to assess and document the adequacy of internal control over financial reporting. We have continued steps to improve control processes as appropriate, validate through testing that controls are functioning as documented and implement a continuous reporting and improvement process for internal control over financial reporting. Despite our efforts to date and continued efforts, there is a risk that we will not be able to conclude, within the prescribed time frame or at all, that our internal control over financial reporting is effective as required by Section 404.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an emerging growth company and a smaller reporting company, and the reduced reporting requirements applicable to emerging growth companies and smaller reporting companies may make our ADSs less attractive to investors.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an “emerging growth company,” as defined in the JOBS Act. For as long as we continue to be an emerging growth company, we may take advantage of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under Section 404 of the Sarbanes-Oxley Act, reduced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may take advantage of these exemptions until December 31, 2028, the last day of the fiscal year ending after the fifth anniversary of our IPO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equal or exceed $1.235 billion or we issue more than $1.0 billion of non-convertible debt in any three-year period prior to such time. Accordingly, the information contained herein may be different than the information you receive from other public companies in which you hold stock.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 JOBS Act provides that an emerging growth company can take advantage of an extended transition period for complying with certain new or revised accounting standards until those standards would otherwise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also currently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ADSs held by non-affiliates is less than $250.0 million measured on the last business day of our second fiscal quarter, or our annual revenue is less than $100.0 million during the most recently completed fiscal year and our ADSs held by non-affiliates is less than $700.0 million measured on the last business day of our second fiscal quarter.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2024, the market value of our ordinary shares held by non-affiliates exceeded $700.0 million. As a result, we will be a large accelerated filer and thus will cease to be an emerging growth company effective December 31, 2024. Additionally, we will no longer qualify as a smaller reporting company beginning with our first Quarterly Report on Form 10-Q for the quarterly period ending March 31, 2025. As a result of this transition, we will be subject to certain disclosure and compliance requirements that apply to other public companies but did not previously apply to us due to our status as an emerging growth company and we will also not be able to take advantage of certain scaled disclosures available to smaller reporting companies.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Since shareholder rights under Cayman Islands law differ from those under U.S. law, you may have difficulty protecting your shareholder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an exempted company limited by shares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as of the date of this Quarterly Report, our board of directors will have the authority to issue up to 90,187,562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charter documents will also contain other provisions that could have an anti-takeover effect, including:</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one of our three classes of directors will be elected each year;</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be entitled to remove directors only for cause;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not be permitted to take actions by written consent;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must give advance notice to nominate directors or submit proposals for consideration at annual general meetings.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 may be subject to limitations on transfers of your ADSs.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depositary deems it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Risk Factors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Failure to build our finance infrastructure and improve our accounting systems and controls could impair our ability to comply with the financial reporting and internal controls requirements for publicly traded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 over financial reporting to allow management to report on the effectiveness of our internal control over financial reporting in our annual report, as required by Section 404 of the Sarbanes-Oxley Act. Prior to our IPO, we had never been required to test our internal controls within a specified period and, as a result, we may experience difficulty in meeting these reporting requirements in a timely manner.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which will be our Annual Report on Form 10-K for the year ending December 31,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unable to maintain effective internal controls, our business, financial position and results of operations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public company, we are subject to the requirements of Section 404 of the Sarbanes-Oxley Act, which require annual management assessments of the effectiveness of our internal control over financial reporting.</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has in the past and may in the future identify material weaknesses or deficiencies which may not be remedied in time to meet the deadline imposed by the Sarbanes-Oxley Act. For example, we have previously identified material weaknesses in our internal control over financial reporting in the past, one of which we reported to have been remediated as of June 30, 2024. These reporting and other obligations place significant demands on our management and administrative and operational resources, including accounting resources.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If we identify any future material weaknesses and are unable to remediate such material weakness and conclude that our internal control over financial reporting is effective, or if in the future our independent registered public accounting firm determines we have a material weakness in our internal control over financial reporting, this could have an adverse effect on our business, financial position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Future changes in financial accounting standards or practices may cause adverse and unexpected revenue fluctuations and adversely affect our reported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Part I. Item 2. “Management’s Discussion and Analysis of Financial Condition and Results of Operations—Recent Accounting Pronouncements” of this Quarterly Report.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equity research analysts do not publish research or reports, or publish unfavorable research or reports, about us, our business or our market, the price and trading volume of our ADSs could decline.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could be subject to securities class action litigation or material legal proceedings which could have a negative impact on our reputation or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In addition, from time to time, we have been and may in the future be involved in legal and regulatory proceedings or investigations concerning matters that arise in the ordinary course of our business. Such proceedings could result in significant fines or penalties, have an adverse impact on our reputation, business and financial condition or results or operations and divert the attention of our management from the operation of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160"/>
        <w:ind w:left="0" w:right="0" w:hanging="0"/>
        <w:jc w:val="left"/>
        <w:rPr>
          <w:rFonts w:ascii="Arial;Helvetica;sans-serif" w:hAnsi="Arial;Helvetica;sans-serif"/>
          <w:b/>
          <w:i/>
          <w:sz w:val="20"/>
        </w:rPr>
      </w:pPr>
      <w:r>
        <w:rPr>
          <w:rFonts w:ascii="Arial;Helvetica;sans-serif" w:hAnsi="Arial;Helvetica;sans-serif"/>
          <w:b/>
          <w:i/>
          <w:sz w:val="20"/>
        </w:rPr>
        <w:t>Our failure to meet Nasdaq’s continued listing requirements could result in a delisting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pStyle w:val="TextBody"/>
        <w:bidi w:val="0"/>
        <w:spacing w:before="0" w:after="160"/>
        <w:ind w:left="0" w:right="0" w:hanging="0"/>
        <w:jc w:val="left"/>
        <w:rPr>
          <w:rFonts w:ascii="Arial;Helvetica;sans-serif" w:hAnsi="Arial;Helvetica;sans-serif"/>
          <w:b/>
          <w:sz w:val="20"/>
        </w:rPr>
      </w:pPr>
      <w:bookmarkStart w:id="1354" w:name="Item2UnregisteredSalesofEquitySecurities"/>
      <w:bookmarkStart w:id="1355" w:name="_0ea94bbc_5ec9_4e9e_9647_282e680bab6f"/>
      <w:bookmarkEnd w:id="1354"/>
      <w:bookmarkEnd w:id="1355"/>
      <w:r>
        <w:rPr>
          <w:rFonts w:ascii="Arial;Helvetica;sans-serif" w:hAnsi="Arial;Helvetica;sans-serif"/>
          <w:b/>
          <w:sz w:val="20"/>
        </w:rPr>
        <w:t>Item 2. Unregistered Sales of Equity Securities and Use of Proceeds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did not have any unregistered sales of equity securities during the three months ended June 30, 2024.</w:t>
      </w:r>
    </w:p>
    <w:p>
      <w:pPr>
        <w:pStyle w:val="TextBody"/>
        <w:bidi w:val="0"/>
        <w:spacing w:before="0" w:after="160"/>
        <w:ind w:left="0" w:right="0" w:hanging="0"/>
        <w:jc w:val="left"/>
        <w:rPr>
          <w:rFonts w:ascii="Arial;Helvetica;sans-serif" w:hAnsi="Arial;Helvetica;sans-serif"/>
          <w:b/>
          <w:i/>
          <w:sz w:val="20"/>
        </w:rPr>
      </w:pPr>
      <w:r>
        <w:rPr>
          <w:rFonts w:ascii="Arial;Helvetica;sans-serif" w:hAnsi="Arial;Helvetica;sans-serif"/>
          <w:b/>
          <w:i/>
          <w:sz w:val="20"/>
        </w:rPr>
        <w:t>Use of proceeds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On February 2, 2023, the registration statement on Form S-1 (Registration No. 333-269200) for our IPO of our ADSs was declared effective by the SEC. On February 7, 2023, we closed our IPO and 12,351,000 ADSs, each representing three ordinary shares, were issued and sold at a public offering price of $15.00 per ADS (including the underwriters’ exercise in full of their option to purchase up to 1,611,000 additional ADSs). We raised approximately $185.3 million in aggregate offering proceeds.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Jefferies LLC, SVB Securities LLC, Guggenheim Securities, LLC, and BMO Capital Markets Corp. acted as representatives of the underwriters for the offering. We compensated the underwriters of our IPO underwriting discounts and commissions totaling $13.0 million and incurred approximately $5.6 million in estimated offering costs, thus our net offering proceeds, after deducting underwriting discounts and commissions and estimated offering expenses, were approximately $166.7 million.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There has been no material change in the expected use of the net proceeds from our IPO as described in our final prospectus filed with the SEC on February 6, 2023 pursuant to Rule 424(b)(4).</w:t>
      </w:r>
    </w:p>
    <w:p>
      <w:pPr>
        <w:pStyle w:val="TextBody"/>
        <w:bidi w:val="0"/>
        <w:spacing w:before="0" w:after="160"/>
        <w:ind w:left="0" w:right="0" w:hanging="0"/>
        <w:jc w:val="left"/>
        <w:rPr>
          <w:rFonts w:ascii="Arial;Helvetica;sans-serif" w:hAnsi="Arial;Helvetica;sans-serif"/>
          <w:b/>
          <w:sz w:val="20"/>
        </w:rPr>
      </w:pPr>
      <w:bookmarkStart w:id="1356" w:name="Item3DefaultsUponSeniorSecurities_556237"/>
      <w:bookmarkStart w:id="1357" w:name="_71c0969c_5b73_46e3_9ec1_a98a252c5a6f"/>
      <w:bookmarkEnd w:id="1356"/>
      <w:bookmarkEnd w:id="1357"/>
      <w:r>
        <w:rPr>
          <w:rFonts w:ascii="Arial;Helvetica;sans-serif" w:hAnsi="Arial;Helvetica;sans-serif"/>
          <w:b/>
          <w:sz w:val="20"/>
        </w:rPr>
        <w:t>Item 3. Defaults Upon Senior Securities.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160"/>
        <w:ind w:left="0" w:right="0" w:hanging="0"/>
        <w:jc w:val="left"/>
        <w:rPr>
          <w:rFonts w:ascii="Arial;Helvetica;sans-serif" w:hAnsi="Arial;Helvetica;sans-serif"/>
          <w:b/>
          <w:sz w:val="20"/>
        </w:rPr>
      </w:pPr>
      <w:bookmarkStart w:id="1358" w:name="Item4MineSafetyDisclosures_5631"/>
      <w:bookmarkStart w:id="1359" w:name="_26129381_7208_4ec9_81d4_7062ad66fbdd"/>
      <w:bookmarkEnd w:id="1358"/>
      <w:bookmarkEnd w:id="1359"/>
      <w:r>
        <w:rPr>
          <w:rFonts w:ascii="Arial;Helvetica;sans-serif" w:hAnsi="Arial;Helvetica;sans-serif"/>
          <w:b/>
          <w:sz w:val="20"/>
        </w:rPr>
        <w:t>Item 4. Mine Safety Disclosures.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160"/>
        <w:ind w:left="0" w:right="0" w:hanging="0"/>
        <w:jc w:val="left"/>
        <w:rPr>
          <w:rFonts w:ascii="Arial;Helvetica;sans-serif" w:hAnsi="Arial;Helvetica;sans-serif"/>
          <w:b/>
          <w:sz w:val="20"/>
        </w:rPr>
      </w:pPr>
      <w:bookmarkStart w:id="1360" w:name="Item5OtherInformation_958351"/>
      <w:bookmarkStart w:id="1361" w:name="_b97caa70_473b_4ff2_b135_fbcdb2959a4a"/>
      <w:bookmarkEnd w:id="1360"/>
      <w:bookmarkEnd w:id="1361"/>
      <w:r>
        <w:rPr>
          <w:rFonts w:ascii="Arial;Helvetica;sans-serif" w:hAnsi="Arial;Helvetica;sans-serif"/>
          <w:b/>
          <w:sz w:val="20"/>
        </w:rPr>
        <w:t>Item 5. Other Information.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1362" w:name="Tc_6lOkVg3d9U2wK2LjonOuSw_7_0"/>
      <w:bookmarkStart w:id="1363" w:name="Tc_Xt54FMoxl0y2U-l7xCaRjg_6_0"/>
      <w:bookmarkStart w:id="1364" w:name="Tc_U_Lhw3TKCkK7dRj5dHyjNA_4_1"/>
      <w:bookmarkStart w:id="1365" w:name="Tc_41qbY4LVGUOOHLicK94Olg_4_0"/>
      <w:bookmarkStart w:id="1366" w:name="Tc_XQrQTtS11U6scyNh_0ntdg_3_1"/>
      <w:bookmarkStart w:id="1367" w:name="Tc_IZzBVnE6ZkSSGH_GOfPMaQ_3_0"/>
      <w:bookmarkStart w:id="1368" w:name="Tc_1MMvLZPmIUKJ22GIrujfrw_2_6"/>
      <w:bookmarkStart w:id="1369" w:name="Tc_HPVWSQswwkGGwhwwej_qlQ_2_5"/>
      <w:bookmarkStart w:id="1370" w:name="Tc_fGR48KdgrU2w4Bf3K-jf3A_2_4"/>
      <w:bookmarkStart w:id="1371" w:name="Tc_m1GFoVcdRU2XRUZQKaQzgA_2_3"/>
      <w:bookmarkStart w:id="1372" w:name="Tc_WjM4uFC5-UKBiQe3666bvg_2_2"/>
      <w:bookmarkStart w:id="1373" w:name="Tc_LBog_DdsVkuJv5DoP5cyHQ_2_1"/>
      <w:bookmarkStart w:id="1374" w:name="Tc_sEjj8UkGtUusaY_s38Q2Tw_2_0"/>
      <w:bookmarkStart w:id="1375" w:name="Tc_LjCtE2-vykaqg0EQgQFz8Q_1_3"/>
      <w:bookmarkStart w:id="1376" w:name="_b1507748_37d6_43e5_96da_ec213bc7e908"/>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Arial;Helvetica;sans-serif" w:hAnsi="Arial;Helvetica;sans-serif"/>
          <w:sz w:val="20"/>
        </w:rPr>
        <w:t>During the three months ended June 30, 2024, the following officers (as defined in Rule 16a-1(f) under the Exchange Act) adopted or modified a “Rule 10b5-1 trading arrangement” (as such term is defined in Item 408(a) of Regulation S-K).</w:t>
      </w:r>
    </w:p>
    <w:tbl>
      <w:tblPr>
        <w:tblW w:w="10205" w:type="dxa"/>
        <w:jc w:val="left"/>
        <w:tblInd w:w="0" w:type="dxa"/>
        <w:tblLayout w:type="fixed"/>
        <w:tblCellMar>
          <w:top w:w="0" w:type="dxa"/>
          <w:left w:w="0" w:type="dxa"/>
          <w:bottom w:w="28" w:type="dxa"/>
          <w:right w:w="0" w:type="dxa"/>
        </w:tblCellMar>
      </w:tblPr>
      <w:tblGrid>
        <w:gridCol w:w="2797"/>
        <w:gridCol w:w="1156"/>
        <w:gridCol w:w="992"/>
        <w:gridCol w:w="1092"/>
        <w:gridCol w:w="1094"/>
        <w:gridCol w:w="1537"/>
        <w:gridCol w:w="1537"/>
      </w:tblGrid>
      <w:tr>
        <w:trPr/>
        <w:tc>
          <w:tcPr>
            <w:tcW w:w="2797"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15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992"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92"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94" w:type="dxa"/>
            <w:tcBorders>
              <w:bottom w:val="single" w:sz="2" w:space="0" w:color="000000"/>
            </w:tcBorders>
            <w:vAlign w:val="center"/>
          </w:tcPr>
          <w:p>
            <w:pPr>
              <w:pStyle w:val="TableContents"/>
              <w:bidi w:val="0"/>
              <w:spacing w:before="0" w:after="0"/>
              <w:ind w:left="0" w:right="0" w:hanging="0"/>
              <w:jc w:val="center"/>
              <w:rPr/>
            </w:pPr>
            <w:r>
              <w:rPr/>
              <w:t>​</w:t>
            </w:r>
          </w:p>
        </w:tc>
        <w:tc>
          <w:tcPr>
            <w:tcW w:w="1537"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537"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2797" w:type="dxa"/>
            <w:tcBorders>
              <w:top w:val="single" w:sz="2" w:space="0" w:color="000000"/>
              <w:left w:val="single" w:sz="2" w:space="0" w:color="000000"/>
              <w:bottom w:val="single" w:sz="2" w:space="0" w:color="000000"/>
            </w:tcBorders>
            <w:tcMar>
              <w:top w:w="28" w:type="dxa"/>
              <w:left w:w="103" w:type="dxa"/>
            </w:tcMar>
            <w:vAlign w:val="center"/>
          </w:tcPr>
          <w:p>
            <w:pPr>
              <w:pStyle w:val="TableContents"/>
              <w:bidi w:val="0"/>
              <w:spacing w:before="0" w:after="0"/>
              <w:ind w:left="0" w:right="0" w:hanging="0"/>
              <w:jc w:val="center"/>
              <w:rPr/>
            </w:pPr>
            <w:r>
              <w:rPr/>
              <w:t>​</w:t>
            </w:r>
          </w:p>
        </w:tc>
        <w:tc>
          <w:tcPr>
            <w:tcW w:w="115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w:t>
            </w:r>
          </w:p>
        </w:tc>
        <w:tc>
          <w:tcPr>
            <w:tcW w:w="992"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w:t>
            </w:r>
          </w:p>
        </w:tc>
        <w:tc>
          <w:tcPr>
            <w:tcW w:w="2186"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Type of Trading Arrangement</w:t>
            </w:r>
          </w:p>
        </w:tc>
        <w:tc>
          <w:tcPr>
            <w:tcW w:w="1537"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w:t>
            </w:r>
          </w:p>
        </w:tc>
        <w:tc>
          <w:tcPr>
            <w:tcW w:w="1537" w:type="dxa"/>
            <w:tcBorders>
              <w:top w:val="single" w:sz="2" w:space="0" w:color="000000"/>
              <w:bottom w:val="single" w:sz="2" w:space="0" w:color="000000"/>
              <w:right w:val="single" w:sz="2" w:space="0" w:color="000000"/>
            </w:tcBorders>
            <w:tcMar>
              <w:top w:w="28" w:type="dxa"/>
              <w:right w:w="103" w:type="dxa"/>
            </w:tcMar>
            <w:vAlign w:val="center"/>
          </w:tcPr>
          <w:p>
            <w:pPr>
              <w:pStyle w:val="TableContents"/>
              <w:bidi w:val="0"/>
              <w:spacing w:before="0" w:after="0"/>
              <w:ind w:left="0" w:right="0" w:hanging="0"/>
              <w:jc w:val="center"/>
              <w:rPr/>
            </w:pPr>
            <w:r>
              <w:rPr/>
              <w:t>​</w:t>
            </w:r>
          </w:p>
        </w:tc>
      </w:tr>
      <w:tr>
        <w:trPr/>
        <w:tc>
          <w:tcPr>
            <w:tcW w:w="2797" w:type="dxa"/>
            <w:tcBorders>
              <w:top w:val="single" w:sz="2" w:space="0" w:color="000000"/>
              <w:left w:val="single" w:sz="8" w:space="0" w:color="000000"/>
              <w:bottom w:val="single" w:sz="8" w:space="0" w:color="000000"/>
              <w:right w:val="single" w:sz="8" w:space="0" w:color="000000"/>
            </w:tcBorders>
            <w:tcMar>
              <w:top w:w="28" w:type="dxa"/>
              <w:left w:w="9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and Position</w:t>
            </w:r>
          </w:p>
        </w:tc>
        <w:tc>
          <w:tcPr>
            <w:tcW w:w="1156"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Action</w:t>
            </w:r>
          </w:p>
        </w:tc>
        <w:tc>
          <w:tcPr>
            <w:tcW w:w="992"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c>
          <w:tcPr>
            <w:tcW w:w="1092"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Rule 10b5-1*</w:t>
            </w:r>
          </w:p>
        </w:tc>
        <w:tc>
          <w:tcPr>
            <w:tcW w:w="1094"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Non-</w:t>
            </w:r>
          </w:p>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Rule 10b5-1**</w:t>
            </w:r>
          </w:p>
        </w:tc>
        <w:tc>
          <w:tcPr>
            <w:tcW w:w="1537"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ADSs to be Sold</w:t>
            </w:r>
          </w:p>
        </w:tc>
        <w:tc>
          <w:tcPr>
            <w:tcW w:w="1537" w:type="dxa"/>
            <w:tcBorders>
              <w:top w:val="single" w:sz="2" w:space="0" w:color="000000"/>
              <w:bottom w:val="single" w:sz="8" w:space="0" w:color="000000"/>
              <w:right w:val="single" w:sz="8" w:space="0" w:color="000000"/>
            </w:tcBorders>
            <w:tcMar>
              <w:top w:w="28" w:type="dxa"/>
              <w:right w:w="9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Expiration Date</w:t>
            </w:r>
          </w:p>
        </w:tc>
      </w:tr>
      <w:tr>
        <w:trPr/>
        <w:tc>
          <w:tcPr>
            <w:tcW w:w="2797" w:type="dxa"/>
            <w:tcBorders>
              <w:left w:val="single" w:sz="8" w:space="0" w:color="000000"/>
              <w:bottom w:val="single" w:sz="2" w:space="0" w:color="000000"/>
              <w:right w:val="single" w:sz="8" w:space="0" w:color="000000"/>
            </w:tcBorders>
            <w:tcMar>
              <w:left w:w="98" w:type="dxa"/>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Mark Bach, M.D., Ph.D., Chief Medical Officer</w:t>
            </w:r>
          </w:p>
        </w:tc>
        <w:tc>
          <w:tcPr>
            <w:tcW w:w="1156"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Adoption</w:t>
            </w:r>
          </w:p>
        </w:tc>
        <w:tc>
          <w:tcPr>
            <w:tcW w:w="992"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June 10, 2024</w:t>
            </w:r>
          </w:p>
        </w:tc>
        <w:tc>
          <w:tcPr>
            <w:tcW w:w="1092"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X</w:t>
            </w:r>
          </w:p>
        </w:tc>
        <w:tc>
          <w:tcPr>
            <w:tcW w:w="1094"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pPr>
            <w:r>
              <w:rPr/>
              <w:t>​</w:t>
            </w:r>
          </w:p>
        </w:tc>
        <w:tc>
          <w:tcPr>
            <w:tcW w:w="1537"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24,000</w:t>
            </w:r>
          </w:p>
        </w:tc>
        <w:tc>
          <w:tcPr>
            <w:tcW w:w="1537"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February 15, 2025</w:t>
            </w:r>
          </w:p>
        </w:tc>
      </w:tr>
      <w:tr>
        <w:trPr/>
        <w:tc>
          <w:tcPr>
            <w:tcW w:w="2797" w:type="dxa"/>
            <w:tcBorders>
              <w:left w:val="single" w:sz="8" w:space="0" w:color="000000"/>
              <w:bottom w:val="single" w:sz="2" w:space="0" w:color="000000"/>
              <w:right w:val="single" w:sz="8" w:space="0" w:color="000000"/>
            </w:tcBorders>
            <w:tcMar>
              <w:left w:w="98" w:type="dxa"/>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Xichen Lin, Ph.D., Chief Scientific Officer</w:t>
            </w:r>
          </w:p>
        </w:tc>
        <w:tc>
          <w:tcPr>
            <w:tcW w:w="1156"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Modification</w:t>
            </w:r>
          </w:p>
        </w:tc>
        <w:tc>
          <w:tcPr>
            <w:tcW w:w="992"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June 14, 2024</w:t>
            </w:r>
          </w:p>
        </w:tc>
        <w:tc>
          <w:tcPr>
            <w:tcW w:w="1092"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X</w:t>
            </w:r>
          </w:p>
        </w:tc>
        <w:tc>
          <w:tcPr>
            <w:tcW w:w="1094"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center"/>
              <w:rPr/>
            </w:pPr>
            <w:r>
              <w:rPr/>
              <w:t>​</w:t>
            </w:r>
          </w:p>
        </w:tc>
        <w:tc>
          <w:tcPr>
            <w:tcW w:w="1537"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24,000</w:t>
            </w:r>
          </w:p>
        </w:tc>
        <w:tc>
          <w:tcPr>
            <w:tcW w:w="1537" w:type="dxa"/>
            <w:tcBorders>
              <w:bottom w:val="single" w:sz="2" w:space="0" w:color="000000"/>
              <w:right w:val="single" w:sz="8" w:space="0" w:color="000000"/>
            </w:tcBorders>
            <w:tcMar>
              <w:right w:w="9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November 15, 2024</w:t>
            </w:r>
          </w:p>
        </w:tc>
      </w:tr>
      <w:tr>
        <w:trPr/>
        <w:tc>
          <w:tcPr>
            <w:tcW w:w="279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1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99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092"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094"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53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53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0205" w:type="dxa"/>
            <w:gridSpan w:val="7"/>
            <w:tcBorders/>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Contract, instruction or written plan intended to satisfy the affirmative defense conditions of Rule 10b5-1(c) under the Exchange Act.</w:t>
            </w:r>
          </w:p>
        </w:tc>
      </w:tr>
      <w:tr>
        <w:trPr/>
        <w:tc>
          <w:tcPr>
            <w:tcW w:w="10205" w:type="dxa"/>
            <w:gridSpan w:val="7"/>
            <w:tcBorders/>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 “Non-Rule 10b5-1 trading arrangement” as defined in Item 408(c) of Regulation S-K under the Exchange Act.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377" w:name="Item6Exhibits_663042"/>
      <w:bookmarkStart w:id="1378" w:name="_bc6acbd3_7667_4b6d_b851_4f6203f68221"/>
      <w:bookmarkEnd w:id="1377"/>
      <w:bookmarkEnd w:id="1378"/>
      <w:r>
        <w:rPr>
          <w:rFonts w:ascii="Arial;Helvetica;sans-serif" w:hAnsi="Arial;Helvetica;sans-serif"/>
          <w:b/>
          <w:sz w:val="20"/>
        </w:rPr>
        <w:t>Item 6. Exhibits.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EXHIBIT INDEX</w:t>
      </w:r>
    </w:p>
    <w:tbl>
      <w:tblPr>
        <w:tblW w:w="10205" w:type="dxa"/>
        <w:jc w:val="left"/>
        <w:tblInd w:w="0" w:type="dxa"/>
        <w:tblLayout w:type="fixed"/>
        <w:tblCellMar>
          <w:top w:w="0" w:type="dxa"/>
          <w:left w:w="0" w:type="dxa"/>
          <w:bottom w:w="0" w:type="dxa"/>
          <w:right w:w="0" w:type="dxa"/>
        </w:tblCellMar>
      </w:tblPr>
      <w:tblGrid>
        <w:gridCol w:w="811"/>
        <w:gridCol w:w="206"/>
        <w:gridCol w:w="4236"/>
        <w:gridCol w:w="206"/>
        <w:gridCol w:w="556"/>
        <w:gridCol w:w="206"/>
        <w:gridCol w:w="799"/>
        <w:gridCol w:w="206"/>
        <w:gridCol w:w="691"/>
        <w:gridCol w:w="206"/>
        <w:gridCol w:w="958"/>
        <w:gridCol w:w="206"/>
        <w:gridCol w:w="91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Exhibit </w:t>
              <w:br/>
              <w:t>Number</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Description of Document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Form</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File No.</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Exhibit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Filing Date</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Filed </w:t>
              <w:br/>
              <w:t>Herewith</w:t>
            </w:r>
          </w:p>
        </w:tc>
      </w:tr>
      <w:tr>
        <w:trPr/>
        <w:tc>
          <w:tcPr>
            <w:tcW w:w="8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color w:val="0000FF"/>
                  <w:sz w:val="18"/>
                </w:rPr>
                <w:t>Amended and Restated Memorandum and Articles of Association of the registrant.</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8-K</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001-41608</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3.1</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February 7, 2023</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color w:val="0000FF"/>
              </w:rPr>
            </w:pPr>
            <w:r>
              <w:rPr>
                <w:color w:val="0000FF"/>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4.1</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color w:val="0000FF"/>
                  <w:sz w:val="18"/>
                </w:rPr>
                <w:t>Registrant’s Specimen Certificate for Ordinary Shares.</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S-1/A</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4.1</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color w:val="0000FF"/>
              </w:rPr>
            </w:pPr>
            <w:r>
              <w:rPr>
                <w:color w:val="0000FF"/>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4.2</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color w:val="0000FF"/>
                  <w:sz w:val="18"/>
                </w:rPr>
                <w:t>Form of Deposit Agreement.</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S-1/A</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4.2</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color w:val="0000FF"/>
              </w:rPr>
            </w:pPr>
            <w:r>
              <w:rPr>
                <w:color w:val="0000FF"/>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4.3</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color w:val="0000FF"/>
                  <w:sz w:val="18"/>
                </w:rPr>
                <w:t>Form of American Depositary Receipt evidencing American Depositary Shares (included in Exhibit 4.2).</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S-1/A</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4.3</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color w:val="0000FF"/>
              </w:rPr>
            </w:pPr>
            <w:r>
              <w:rPr>
                <w:color w:val="0000FF"/>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4.4</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r:id="rId7">
              <w:r>
                <w:rPr>
                  <w:rStyle w:val="InternetLink"/>
                  <w:rFonts w:ascii="Arial;Helvetica;sans-serif" w:hAnsi="Arial;Helvetica;sans-serif"/>
                  <w:b w:val="false"/>
                  <w:i w:val="false"/>
                  <w:caps w:val="false"/>
                  <w:smallCaps w:val="false"/>
                  <w:color w:val="0000FF"/>
                  <w:sz w:val="18"/>
                </w:rPr>
                <w:t>Amended and Restated Investors’ Rights Agreement, dated July 30, 2021, by and between the registrant and the investors named therein.</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S-1</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4.4</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95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31.1</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w:anchor="gpcr-20240630xex31d1.htm">
              <w:r>
                <w:rPr>
                  <w:rStyle w:val="InternetLink"/>
                  <w:rFonts w:ascii="Arial;Helvetica;sans-serif" w:hAnsi="Arial;Helvetica;san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31.2</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hyperlink w:anchor="gpcr-20240630xex31d2.htm">
              <w:r>
                <w:rPr>
                  <w:rStyle w:val="InternetLink"/>
                  <w:rFonts w:ascii="Arial;Helvetica;sans-serif" w:hAnsi="Arial;Helvetica;san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3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4"/>
        <w:gridCol w:w="109"/>
        <w:gridCol w:w="8129"/>
        <w:gridCol w:w="109"/>
        <w:gridCol w:w="109"/>
        <w:gridCol w:w="109"/>
        <w:gridCol w:w="109"/>
        <w:gridCol w:w="109"/>
        <w:gridCol w:w="109"/>
        <w:gridCol w:w="109"/>
        <w:gridCol w:w="109"/>
        <w:gridCol w:w="109"/>
        <w:gridCol w:w="272"/>
      </w:tblGrid>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32.1˄</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hyperlink w:anchor="gpcr-20240630xex32d1.htm">
              <w:r>
                <w:rPr>
                  <w:rStyle w:val="InternetLink"/>
                  <w:rFonts w:ascii="Arial;Helvetica;sans-serif" w:hAnsi="Arial;Helvetica;sans-serif"/>
                  <w:b w:val="false"/>
                  <w:i w:val="false"/>
                  <w:caps w:val="false"/>
                  <w:smallCaps w:val="false"/>
                  <w:sz w:val="20"/>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color w:val="0000FF"/>
              </w:rPr>
            </w:pPr>
            <w:r>
              <w:rPr>
                <w:color w:val="0000FF"/>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32.2˄</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hyperlink w:anchor="gpcr-20240630xex32d2.htm">
              <w:r>
                <w:rPr>
                  <w:rStyle w:val="InternetLink"/>
                  <w:rFonts w:ascii="Arial;Helvetica;sans-serif" w:hAnsi="Arial;Helvetica;sans-serif"/>
                  <w:b w:val="false"/>
                  <w:i w:val="false"/>
                  <w:caps w:val="false"/>
                  <w:smallCaps w:val="false"/>
                  <w:sz w:val="20"/>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101.INS</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Instance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101.SCH</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101.CAL</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101.DEF</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101.LAB</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Labels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101.PRE</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7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104</w:t>
            </w:r>
          </w:p>
        </w:tc>
        <w:tc>
          <w:tcPr>
            <w:tcW w:w="109" w:type="dxa"/>
            <w:tcBorders/>
            <w:vAlign w:val="center"/>
          </w:tcPr>
          <w:p>
            <w:pPr>
              <w:pStyle w:val="TableContents"/>
              <w:bidi w:val="0"/>
              <w:spacing w:before="0" w:after="0"/>
              <w:ind w:left="0" w:right="0" w:hanging="0"/>
              <w:jc w:val="left"/>
              <w:rPr/>
            </w:pPr>
            <w:r>
              <w:rPr/>
              <w:t>​</w:t>
            </w:r>
          </w:p>
        </w:tc>
        <w:tc>
          <w:tcPr>
            <w:tcW w:w="81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Cover Page Interactive Data File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bl>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 The certifications attached as Exhibits 32.1 and 32.2 accompanying this Quarterly Report on Form 10-Q are not deemed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379" w:name="Signatures"/>
      <w:bookmarkStart w:id="1380" w:name="_36e688a5_79ab_49a2_af5a_7014156b66b2"/>
      <w:bookmarkEnd w:id="1379"/>
      <w:bookmarkEnd w:id="1380"/>
      <w:r>
        <w:rPr>
          <w:rFonts w:ascii="Arial;Helvetica;sans-serif" w:hAnsi="Arial;Helvetica;sans-serif"/>
          <w:b/>
          <w:sz w:val="20"/>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August 8, 2024</w:t>
      </w:r>
    </w:p>
    <w:tbl>
      <w:tblPr>
        <w:tblW w:w="4337" w:type="dxa"/>
        <w:jc w:val="left"/>
        <w:tblInd w:w="0" w:type="dxa"/>
        <w:tblLayout w:type="fixed"/>
        <w:tblCellMar>
          <w:top w:w="0" w:type="dxa"/>
          <w:left w:w="0" w:type="dxa"/>
          <w:bottom w:w="0" w:type="dxa"/>
          <w:right w:w="0" w:type="dxa"/>
        </w:tblCellMar>
      </w:tblPr>
      <w:tblGrid>
        <w:gridCol w:w="421"/>
        <w:gridCol w:w="3916"/>
      </w:tblGrid>
      <w:tr>
        <w:trPr/>
        <w:tc>
          <w:tcPr>
            <w:tcW w:w="42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4337" w:type="dxa"/>
            <w:gridSpan w:val="2"/>
            <w:tcBorders/>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STRUCTURE THERAPEUTICS INC.</w:t>
            </w:r>
          </w:p>
        </w:tc>
      </w:tr>
      <w:tr>
        <w:trPr/>
        <w:tc>
          <w:tcPr>
            <w:tcW w:w="421" w:type="dxa"/>
            <w:tcBorders/>
            <w:vAlign w:val="center"/>
          </w:tcPr>
          <w:p>
            <w:pPr>
              <w:pStyle w:val="TableContents"/>
              <w:bidi w:val="0"/>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/s/ Raymond Stevens, Ph.D.</w:t>
            </w:r>
          </w:p>
        </w:tc>
      </w:tr>
      <w:tr>
        <w:trPr/>
        <w:tc>
          <w:tcPr>
            <w:tcW w:w="421" w:type="dxa"/>
            <w:tcBorders/>
            <w:vAlign w:val="center"/>
          </w:tcPr>
          <w:p>
            <w:pPr>
              <w:pStyle w:val="TableContents"/>
              <w:bidi w:val="0"/>
              <w:spacing w:before="0" w:after="120"/>
              <w:ind w:left="0" w:right="0" w:hanging="0"/>
              <w:jc w:val="center"/>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Raymond Stevens, Ph.D.</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Chief Executive Officer</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Executive Officer)</w:t>
            </w:r>
          </w:p>
        </w:tc>
      </w:tr>
      <w:tr>
        <w:trPr/>
        <w:tc>
          <w:tcPr>
            <w:tcW w:w="421" w:type="dxa"/>
            <w:tcBorders/>
            <w:vAlign w:val="center"/>
          </w:tcPr>
          <w:p>
            <w:pPr>
              <w:pStyle w:val="TableContents"/>
              <w:bidi w:val="0"/>
              <w:spacing w:before="0" w:after="0"/>
              <w:ind w:left="0" w:right="0" w:hanging="0"/>
              <w:jc w:val="center"/>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/s/ Jun Yoon</w:t>
            </w:r>
          </w:p>
        </w:tc>
      </w:tr>
      <w:tr>
        <w:trPr/>
        <w:tc>
          <w:tcPr>
            <w:tcW w:w="421" w:type="dxa"/>
            <w:tcBorders/>
            <w:vAlign w:val="center"/>
          </w:tcPr>
          <w:p>
            <w:pPr>
              <w:pStyle w:val="TableContents"/>
              <w:bidi w:val="0"/>
              <w:spacing w:before="0" w:after="120"/>
              <w:ind w:left="0" w:right="0" w:hanging="0"/>
              <w:jc w:val="center"/>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Jun Yoon</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Chief Financial Officer</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Financial and Accounting Officer)</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127</w:t>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381" w:name="gpcr-20240630xex31d1.htm"/>
      <w:bookmarkStart w:id="1382" w:name="ksgpcr20240630xex31d1"/>
      <w:bookmarkEnd w:id="1381"/>
      <w:bookmarkEnd w:id="1382"/>
      <w:r>
        <w:rPr>
          <w:rFonts w:ascii="Times New Roman;Times;serif" w:hAnsi="Times New Roman;Times;serif"/>
          <w:b/>
          <w:sz w:val="20"/>
        </w:rPr>
        <w:t>Exhibit 31.1</w:t>
      </w:r>
      <w:r>
        <w:br w:type="page"/>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Raymond Stevens, Ph.D., certify that:</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Structure 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490"/>
        <w:jc w:val="left"/>
        <w:rPr/>
      </w:pPr>
      <w:r>
        <w:rPr/>
        <w:t>​</w:t>
      </w:r>
    </w:p>
    <w:tbl>
      <w:tblPr>
        <w:tblW w:w="4957" w:type="dxa"/>
        <w:jc w:val="center"/>
        <w:tblInd w:w="0" w:type="dxa"/>
        <w:tblLayout w:type="fixed"/>
        <w:tblCellMar>
          <w:top w:w="0" w:type="dxa"/>
          <w:left w:w="0" w:type="dxa"/>
          <w:bottom w:w="0" w:type="dxa"/>
          <w:right w:w="0" w:type="dxa"/>
        </w:tblCellMar>
      </w:tblPr>
      <w:tblGrid>
        <w:gridCol w:w="1846"/>
        <w:gridCol w:w="109"/>
        <w:gridCol w:w="406"/>
        <w:gridCol w:w="259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72210" cy="175260"/>
                      <wp:effectExtent l="0" t="0" r="0" b="0"/>
                      <wp:wrapNone/>
                      <wp:docPr id="283" name="Frame28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48460" cy="175260"/>
                      <wp:effectExtent l="0" t="0" r="0" b="0"/>
                      <wp:wrapNone/>
                      <wp:docPr id="285" name="Frame28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Raymond Stevens</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Chief Executive Officer </w:t>
            </w:r>
          </w:p>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383" w:name="gpcr-20240630xex31d2.htm"/>
      <w:bookmarkStart w:id="1384" w:name="ksgpcr20240630xex31d2"/>
      <w:bookmarkEnd w:id="1383"/>
      <w:bookmarkEnd w:id="1384"/>
      <w:r>
        <w:rPr>
          <w:rFonts w:ascii="Times New Roman;Times;serif" w:hAnsi="Times New Roman;Times;serif"/>
          <w:b/>
          <w:sz w:val="20"/>
        </w:rPr>
        <w:t>Exhibit 31.2</w:t>
      </w:r>
      <w:r>
        <w:br w:type="page"/>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Jun Yoon, certify that:</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Structure 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490"/>
        <w:jc w:val="left"/>
        <w:rPr/>
      </w:pPr>
      <w:r>
        <w:rPr/>
        <w:t>​</w:t>
      </w:r>
    </w:p>
    <w:tbl>
      <w:tblPr>
        <w:tblW w:w="4627" w:type="dxa"/>
        <w:jc w:val="center"/>
        <w:tblInd w:w="0" w:type="dxa"/>
        <w:tblLayout w:type="fixed"/>
        <w:tblCellMar>
          <w:top w:w="0" w:type="dxa"/>
          <w:left w:w="0" w:type="dxa"/>
          <w:bottom w:w="0" w:type="dxa"/>
          <w:right w:w="0" w:type="dxa"/>
        </w:tblCellMar>
      </w:tblPr>
      <w:tblGrid>
        <w:gridCol w:w="1846"/>
        <w:gridCol w:w="109"/>
        <w:gridCol w:w="406"/>
        <w:gridCol w:w="22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172210" cy="175260"/>
                      <wp:effectExtent l="0" t="0" r="0" b="0"/>
                      <wp:wrapNone/>
                      <wp:docPr id="286" name="Frame28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38910" cy="175260"/>
                      <wp:effectExtent l="0" t="0" r="0" b="0"/>
                      <wp:wrapNone/>
                      <wp:docPr id="288" name="Frame287"/>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and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Accounting Officer)</w:t>
            </w:r>
          </w:p>
          <w:p>
            <w:pPr>
              <w:pStyle w:val="TableContents"/>
              <w:bidi w:val="0"/>
              <w:spacing w:lineRule="auto" w:line="285" w:before="0" w:after="0"/>
              <w:ind w:left="0" w:right="0" w:hanging="0"/>
              <w:jc w:val="center"/>
              <w:rPr/>
            </w:pPr>
            <w:r>
              <w:rPr/>
              <w:t>​</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385" w:name="gpcr-20240630xex32d1.htm"/>
      <w:bookmarkStart w:id="1386" w:name="ksgpcr20240630xex32d1"/>
      <w:bookmarkEnd w:id="1385"/>
      <w:bookmarkEnd w:id="1386"/>
      <w:r>
        <w:rPr/>
        <w:t>​</w:t>
      </w:r>
      <w:r>
        <w:br w:type="page"/>
      </w:r>
    </w:p>
    <w:p>
      <w:pPr>
        <w:pStyle w:val="TextBody"/>
        <w:shd w:fill="FFFFFF" w:val="clear"/>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Structure Therapeutics Inc. (the “Company”) on Form 10-Q for the period ended June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lineRule="auto" w:line="285" w:before="0" w:after="0"/>
        <w:ind w:left="0" w:right="0" w:hanging="490"/>
        <w:jc w:val="left"/>
        <w:rPr/>
      </w:pPr>
      <w:r>
        <w:rPr/>
        <w:t>​</w:t>
      </w:r>
    </w:p>
    <w:tbl>
      <w:tblPr>
        <w:tblW w:w="4957" w:type="dxa"/>
        <w:jc w:val="center"/>
        <w:tblInd w:w="0" w:type="dxa"/>
        <w:tblLayout w:type="fixed"/>
        <w:tblCellMar>
          <w:top w:w="0" w:type="dxa"/>
          <w:left w:w="0" w:type="dxa"/>
          <w:bottom w:w="0" w:type="dxa"/>
          <w:right w:w="0" w:type="dxa"/>
        </w:tblCellMar>
      </w:tblPr>
      <w:tblGrid>
        <w:gridCol w:w="1846"/>
        <w:gridCol w:w="109"/>
        <w:gridCol w:w="406"/>
        <w:gridCol w:w="259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172210" cy="175260"/>
                      <wp:effectExtent l="0" t="0" r="0" b="0"/>
                      <wp:wrapNone/>
                      <wp:docPr id="289" name="Frame28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648460" cy="175260"/>
                      <wp:effectExtent l="0" t="0" r="0" b="0"/>
                      <wp:wrapNone/>
                      <wp:docPr id="291" name="Frame29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Raymond Stevens</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Chief Executive Officer </w:t>
            </w:r>
          </w:p>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387" w:name="gpcr-20240630xex32d2.htm"/>
      <w:bookmarkStart w:id="1388" w:name="ksgpcr20240630xex32d2"/>
      <w:bookmarkEnd w:id="1387"/>
      <w:bookmarkEnd w:id="1388"/>
      <w:r>
        <w:rPr/>
        <w:t>​</w:t>
      </w:r>
      <w:r>
        <w:br w:type="page"/>
      </w:r>
    </w:p>
    <w:p>
      <w:pPr>
        <w:pStyle w:val="TextBody"/>
        <w:shd w:fill="FFFFFF" w:val="clear"/>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Structure Therapeutics Inc. (the “Company”) on Form 10-Q for the period ended June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lineRule="auto" w:line="285" w:before="0" w:after="0"/>
        <w:ind w:left="0" w:right="0" w:hanging="490"/>
        <w:jc w:val="left"/>
        <w:rPr/>
      </w:pPr>
      <w:r>
        <w:rPr/>
        <w:t>​</w:t>
      </w:r>
    </w:p>
    <w:tbl>
      <w:tblPr>
        <w:tblW w:w="4627" w:type="dxa"/>
        <w:jc w:val="center"/>
        <w:tblInd w:w="0" w:type="dxa"/>
        <w:tblLayout w:type="fixed"/>
        <w:tblCellMar>
          <w:top w:w="0" w:type="dxa"/>
          <w:left w:w="0" w:type="dxa"/>
          <w:bottom w:w="0" w:type="dxa"/>
          <w:right w:w="0" w:type="dxa"/>
        </w:tblCellMar>
      </w:tblPr>
      <w:tblGrid>
        <w:gridCol w:w="1846"/>
        <w:gridCol w:w="109"/>
        <w:gridCol w:w="406"/>
        <w:gridCol w:w="22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172210" cy="175260"/>
                      <wp:effectExtent l="0" t="0" r="0" b="0"/>
                      <wp:wrapNone/>
                      <wp:docPr id="292" name="Frame29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38910" cy="175260"/>
                      <wp:effectExtent l="0" t="0" r="0" b="0"/>
                      <wp:wrapNone/>
                      <wp:docPr id="294" name="Frame29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and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Accounting Officer)</w:t>
            </w:r>
          </w:p>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8886/000110465923011717/tm235639d1_ex3-1.htm" TargetMode="External"/><Relationship Id="rId4" Type="http://schemas.openxmlformats.org/officeDocument/2006/relationships/hyperlink" Target="https://www.sec.gov/Archives/edgar/data/1888886/000110465923007657/tm225197d15_ex4-1.htm" TargetMode="External"/><Relationship Id="rId5" Type="http://schemas.openxmlformats.org/officeDocument/2006/relationships/hyperlink" Target="https://www.sec.gov/Archives/edgar/data/1888886/000110465923007657/tm225197d15_ex4-2.htm" TargetMode="External"/><Relationship Id="rId6" Type="http://schemas.openxmlformats.org/officeDocument/2006/relationships/hyperlink" Target="https://www.sec.gov/Archives/edgar/data/1888886/000110465923007657/tm225197d15_ex4-2.htm" TargetMode="External"/><Relationship Id="rId7" Type="http://schemas.openxmlformats.org/officeDocument/2006/relationships/hyperlink" Target="https://www.sec.gov/Archives/edgar/data/1888886/000110465923003415/tm225197d11_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79632</Words>
  <Characters>447357</Characters>
  <CharactersWithSpaces>527894</CharactersWithSpaces>
  <Paragraphs>6599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